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1444"/>
        <w:rPr>
          <w:rFonts w:ascii="宋体" w:hAnsi="宋体" w:cs="宋体"/>
          <w:b/>
          <w:sz w:val="36"/>
          <w:szCs w:val="36"/>
          <w:highlight w:val="none"/>
        </w:rPr>
      </w:pPr>
    </w:p>
    <w:p>
      <w:pPr>
        <w:adjustRightInd w:val="0"/>
        <w:snapToGrid w:val="0"/>
        <w:spacing w:line="360" w:lineRule="auto"/>
        <w:ind w:right="1444"/>
        <w:rPr>
          <w:rFonts w:ascii="宋体" w:hAnsi="宋体" w:cs="宋体"/>
          <w:b/>
          <w:sz w:val="36"/>
          <w:szCs w:val="36"/>
          <w:highlight w:val="none"/>
        </w:rPr>
      </w:pPr>
    </w:p>
    <w:p>
      <w:pPr>
        <w:adjustRightInd w:val="0"/>
        <w:snapToGrid w:val="0"/>
        <w:spacing w:line="360" w:lineRule="auto"/>
        <w:rPr>
          <w:rFonts w:ascii="宋体" w:hAnsi="宋体" w:cs="宋体"/>
          <w:b/>
          <w:spacing w:val="20"/>
          <w:kern w:val="10"/>
          <w:sz w:val="32"/>
          <w:szCs w:val="32"/>
          <w:highlight w:val="none"/>
        </w:rPr>
      </w:pPr>
    </w:p>
    <w:p>
      <w:pPr>
        <w:adjustRightInd w:val="0"/>
        <w:snapToGrid w:val="0"/>
        <w:spacing w:line="360" w:lineRule="auto"/>
        <w:jc w:val="center"/>
        <w:rPr>
          <w:rFonts w:hint="eastAsia" w:ascii="宋体" w:hAnsi="宋体" w:eastAsia="宋体" w:cs="宋体"/>
          <w:b/>
          <w:spacing w:val="20"/>
          <w:kern w:val="10"/>
          <w:sz w:val="40"/>
          <w:szCs w:val="40"/>
          <w:highlight w:val="none"/>
          <w:lang w:eastAsia="zh-CN"/>
        </w:rPr>
      </w:pPr>
      <w:r>
        <w:rPr>
          <w:rFonts w:hint="eastAsia" w:ascii="宋体" w:hAnsi="宋体" w:cs="宋体"/>
          <w:b/>
          <w:spacing w:val="20"/>
          <w:kern w:val="10"/>
          <w:sz w:val="40"/>
          <w:szCs w:val="40"/>
          <w:highlight w:val="none"/>
        </w:rPr>
        <w:t>项目名称：</w:t>
      </w:r>
      <w:r>
        <w:rPr>
          <w:rFonts w:hint="eastAsia" w:ascii="宋体" w:hAnsi="宋体" w:cs="宋体"/>
          <w:b/>
          <w:spacing w:val="20"/>
          <w:kern w:val="10"/>
          <w:sz w:val="40"/>
          <w:szCs w:val="40"/>
          <w:highlight w:val="none"/>
          <w:lang w:eastAsia="zh-CN"/>
        </w:rPr>
        <w:t>国家税务总局广东潮州经济开发区税务局后勤综合服务项目</w:t>
      </w:r>
    </w:p>
    <w:p>
      <w:pPr>
        <w:pStyle w:val="34"/>
        <w:rPr>
          <w:rFonts w:ascii="宋体" w:hAnsi="宋体" w:cs="宋体"/>
          <w:b/>
          <w:spacing w:val="20"/>
          <w:kern w:val="10"/>
          <w:sz w:val="40"/>
          <w:szCs w:val="40"/>
          <w:highlight w:val="none"/>
        </w:rPr>
      </w:pPr>
    </w:p>
    <w:p>
      <w:pPr>
        <w:pStyle w:val="34"/>
        <w:rPr>
          <w:rFonts w:ascii="宋体" w:hAnsi="宋体" w:cs="宋体"/>
          <w:b/>
          <w:spacing w:val="20"/>
          <w:kern w:val="10"/>
          <w:sz w:val="40"/>
          <w:szCs w:val="40"/>
          <w:highlight w:val="none"/>
        </w:rPr>
      </w:pPr>
    </w:p>
    <w:p>
      <w:pPr>
        <w:jc w:val="center"/>
        <w:rPr>
          <w:rFonts w:ascii="宋体" w:hAnsi="宋体" w:cs="宋体"/>
          <w:b/>
          <w:spacing w:val="20"/>
          <w:kern w:val="10"/>
          <w:sz w:val="84"/>
          <w:szCs w:val="84"/>
          <w:highlight w:val="none"/>
        </w:rPr>
      </w:pPr>
      <w:r>
        <w:rPr>
          <w:rFonts w:hint="eastAsia" w:ascii="宋体" w:hAnsi="宋体" w:cs="宋体"/>
          <w:b/>
          <w:spacing w:val="20"/>
          <w:kern w:val="10"/>
          <w:sz w:val="84"/>
          <w:szCs w:val="84"/>
          <w:highlight w:val="none"/>
        </w:rPr>
        <w:t>招 标 文 件</w:t>
      </w:r>
    </w:p>
    <w:p>
      <w:pPr>
        <w:adjustRightInd w:val="0"/>
        <w:snapToGrid w:val="0"/>
        <w:spacing w:line="312" w:lineRule="auto"/>
        <w:rPr>
          <w:rFonts w:ascii="宋体" w:hAnsi="宋体" w:cs="宋体"/>
          <w:b/>
          <w:spacing w:val="20"/>
          <w:kern w:val="10"/>
          <w:sz w:val="32"/>
          <w:szCs w:val="32"/>
          <w:highlight w:val="none"/>
        </w:rPr>
      </w:pPr>
    </w:p>
    <w:p>
      <w:pPr>
        <w:adjustRightInd w:val="0"/>
        <w:snapToGrid w:val="0"/>
        <w:spacing w:line="312" w:lineRule="auto"/>
        <w:rPr>
          <w:rFonts w:ascii="宋体" w:hAnsi="宋体" w:cs="宋体"/>
          <w:b/>
          <w:spacing w:val="20"/>
          <w:kern w:val="10"/>
          <w:sz w:val="32"/>
          <w:szCs w:val="32"/>
          <w:highlight w:val="none"/>
        </w:rPr>
      </w:pPr>
    </w:p>
    <w:p>
      <w:pPr>
        <w:adjustRightInd w:val="0"/>
        <w:snapToGrid w:val="0"/>
        <w:spacing w:line="312" w:lineRule="auto"/>
        <w:rPr>
          <w:rFonts w:ascii="宋体" w:hAnsi="宋体" w:cs="宋体"/>
          <w:b/>
          <w:spacing w:val="20"/>
          <w:kern w:val="10"/>
          <w:sz w:val="32"/>
          <w:szCs w:val="32"/>
          <w:highlight w:val="none"/>
        </w:rPr>
      </w:pPr>
    </w:p>
    <w:p>
      <w:pPr>
        <w:adjustRightInd w:val="0"/>
        <w:snapToGrid w:val="0"/>
        <w:spacing w:line="312" w:lineRule="auto"/>
        <w:rPr>
          <w:rFonts w:ascii="宋体" w:hAnsi="宋体" w:cs="宋体"/>
          <w:b/>
          <w:spacing w:val="20"/>
          <w:kern w:val="10"/>
          <w:sz w:val="32"/>
          <w:szCs w:val="32"/>
          <w:highlight w:val="none"/>
        </w:rPr>
      </w:pPr>
    </w:p>
    <w:p>
      <w:pPr>
        <w:adjustRightInd w:val="0"/>
        <w:snapToGrid w:val="0"/>
        <w:spacing w:line="480" w:lineRule="auto"/>
        <w:ind w:firstLine="1259" w:firstLineChars="392"/>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采购代理编号：</w:t>
      </w:r>
      <w:r>
        <w:rPr>
          <w:rFonts w:hint="eastAsia" w:ascii="宋体" w:hAnsi="宋体" w:cs="宋体"/>
          <w:b/>
          <w:sz w:val="32"/>
          <w:szCs w:val="32"/>
          <w:highlight w:val="none"/>
          <w:lang w:eastAsia="zh-CN"/>
        </w:rPr>
        <w:t>05-12-04A-2022-D-E13897</w:t>
      </w:r>
    </w:p>
    <w:p>
      <w:pPr>
        <w:adjustRightInd w:val="0"/>
        <w:snapToGrid w:val="0"/>
        <w:spacing w:line="480" w:lineRule="auto"/>
        <w:ind w:firstLine="1259" w:firstLineChars="392"/>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采购人：</w:t>
      </w:r>
      <w:r>
        <w:rPr>
          <w:rFonts w:hint="eastAsia" w:ascii="宋体" w:hAnsi="宋体" w:cs="宋体"/>
          <w:b/>
          <w:sz w:val="32"/>
          <w:szCs w:val="32"/>
          <w:highlight w:val="none"/>
          <w:lang w:eastAsia="zh-CN"/>
        </w:rPr>
        <w:t>国家税务总局广东潮州经济开发区税务局</w:t>
      </w:r>
    </w:p>
    <w:p>
      <w:pPr>
        <w:adjustRightInd w:val="0"/>
        <w:snapToGrid w:val="0"/>
        <w:spacing w:line="480" w:lineRule="auto"/>
        <w:ind w:firstLine="1259" w:firstLineChars="392"/>
        <w:rPr>
          <w:rFonts w:ascii="宋体" w:hAnsi="宋体" w:cs="宋体"/>
          <w:b/>
          <w:sz w:val="32"/>
          <w:szCs w:val="32"/>
          <w:highlight w:val="none"/>
        </w:rPr>
      </w:pPr>
      <w:r>
        <w:rPr>
          <w:rFonts w:hint="eastAsia" w:ascii="宋体" w:hAnsi="宋体" w:cs="宋体"/>
          <w:b/>
          <w:sz w:val="32"/>
          <w:szCs w:val="32"/>
          <w:highlight w:val="none"/>
        </w:rPr>
        <w:t>采购代理机构：公诚管理咨询有限公司</w:t>
      </w:r>
    </w:p>
    <w:p>
      <w:pPr>
        <w:spacing w:line="480" w:lineRule="auto"/>
        <w:jc w:val="center"/>
        <w:rPr>
          <w:rFonts w:ascii="宋体" w:hAnsi="宋体" w:cs="宋体"/>
          <w:b/>
          <w:sz w:val="32"/>
          <w:szCs w:val="32"/>
          <w:highlight w:val="none"/>
        </w:rPr>
        <w:sectPr>
          <w:footerReference r:id="rId3" w:type="default"/>
          <w:pgSz w:w="11907" w:h="16840"/>
          <w:pgMar w:top="1440" w:right="1800" w:bottom="1440" w:left="1800" w:header="737" w:footer="737" w:gutter="0"/>
          <w:pgNumType w:start="1"/>
          <w:cols w:space="720" w:num="1"/>
          <w:docGrid w:linePitch="312" w:charSpace="0"/>
        </w:sectPr>
      </w:pPr>
      <w:r>
        <w:rPr>
          <w:rFonts w:hint="eastAsia" w:ascii="宋体" w:hAnsi="宋体" w:cs="宋体"/>
          <w:b/>
          <w:sz w:val="32"/>
          <w:szCs w:val="32"/>
          <w:highlight w:val="none"/>
        </w:rPr>
        <w:t>二〇二二年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p>
    <w:p>
      <w:pPr>
        <w:adjustRightInd w:val="0"/>
        <w:snapToGrid w:val="0"/>
        <w:jc w:val="center"/>
        <w:rPr>
          <w:rFonts w:ascii="宋体" w:hAnsi="宋体" w:cs="宋体"/>
          <w:b/>
          <w:sz w:val="36"/>
          <w:highlight w:val="none"/>
        </w:rPr>
      </w:pPr>
    </w:p>
    <w:p>
      <w:pPr>
        <w:adjustRightInd w:val="0"/>
        <w:snapToGrid w:val="0"/>
        <w:jc w:val="center"/>
        <w:rPr>
          <w:rFonts w:ascii="宋体" w:hAnsi="宋体" w:cs="宋体"/>
          <w:b/>
          <w:sz w:val="48"/>
          <w:szCs w:val="48"/>
          <w:highlight w:val="none"/>
        </w:rPr>
      </w:pPr>
      <w:r>
        <w:rPr>
          <w:rFonts w:hint="eastAsia" w:ascii="宋体" w:hAnsi="宋体" w:cs="宋体"/>
          <w:b/>
          <w:sz w:val="48"/>
          <w:szCs w:val="48"/>
          <w:highlight w:val="none"/>
        </w:rPr>
        <w:t>目  录</w:t>
      </w:r>
    </w:p>
    <w:p>
      <w:pPr>
        <w:adjustRightInd w:val="0"/>
        <w:snapToGrid w:val="0"/>
        <w:rPr>
          <w:rFonts w:ascii="宋体" w:hAnsi="宋体" w:cs="宋体"/>
          <w:b/>
          <w:sz w:val="36"/>
          <w:highlight w:val="none"/>
        </w:rPr>
      </w:pPr>
    </w:p>
    <w:p>
      <w:pPr>
        <w:pStyle w:val="26"/>
        <w:keepNext w:val="0"/>
        <w:keepLines w:val="0"/>
        <w:pageBreakBefore w:val="0"/>
        <w:widowControl/>
        <w:tabs>
          <w:tab w:val="right" w:leader="dot" w:pos="8307"/>
        </w:tabs>
        <w:kinsoku/>
        <w:wordWrap/>
        <w:overflowPunct/>
        <w:topLinePunct w:val="0"/>
        <w:autoSpaceDE/>
        <w:autoSpaceDN/>
        <w:bidi w:val="0"/>
        <w:adjustRightInd/>
        <w:snapToGrid/>
        <w:spacing w:before="120" w:after="120" w:line="360" w:lineRule="auto"/>
        <w:textAlignment w:val="auto"/>
        <w:rPr>
          <w:sz w:val="32"/>
          <w:szCs w:val="32"/>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TOC \o "1-1" \h \z \u </w:instrText>
      </w:r>
      <w:r>
        <w:rPr>
          <w:rFonts w:hint="eastAsia" w:ascii="宋体" w:hAnsi="宋体" w:cs="宋体"/>
          <w:sz w:val="32"/>
          <w:szCs w:val="32"/>
          <w:highlight w:val="none"/>
        </w:rPr>
        <w:fldChar w:fldCharType="separate"/>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HYPERLINK \l _Toc10293 </w:instrText>
      </w:r>
      <w:r>
        <w:rPr>
          <w:rFonts w:hint="eastAsia" w:ascii="宋体" w:hAnsi="宋体" w:cs="宋体"/>
          <w:sz w:val="32"/>
          <w:szCs w:val="32"/>
          <w:highlight w:val="none"/>
        </w:rPr>
        <w:fldChar w:fldCharType="separate"/>
      </w:r>
      <w:r>
        <w:rPr>
          <w:rFonts w:hint="eastAsia" w:ascii="宋体" w:hAnsi="宋体" w:cs="宋体"/>
          <w:kern w:val="2"/>
          <w:sz w:val="32"/>
          <w:szCs w:val="32"/>
          <w:highlight w:val="none"/>
        </w:rPr>
        <w:t>第一部分  投标邀请</w:t>
      </w:r>
      <w:r>
        <w:rPr>
          <w:sz w:val="32"/>
          <w:szCs w:val="32"/>
        </w:rPr>
        <w:tab/>
      </w:r>
      <w:r>
        <w:rPr>
          <w:sz w:val="32"/>
          <w:szCs w:val="32"/>
        </w:rPr>
        <w:fldChar w:fldCharType="begin"/>
      </w:r>
      <w:r>
        <w:rPr>
          <w:sz w:val="32"/>
          <w:szCs w:val="32"/>
        </w:rPr>
        <w:instrText xml:space="preserve"> PAGEREF _Toc10293 \h </w:instrText>
      </w:r>
      <w:r>
        <w:rPr>
          <w:sz w:val="32"/>
          <w:szCs w:val="32"/>
        </w:rPr>
        <w:fldChar w:fldCharType="separate"/>
      </w:r>
      <w:r>
        <w:rPr>
          <w:sz w:val="32"/>
          <w:szCs w:val="32"/>
        </w:rPr>
        <w:t>1</w:t>
      </w:r>
      <w:r>
        <w:rPr>
          <w:sz w:val="32"/>
          <w:szCs w:val="32"/>
        </w:rPr>
        <w:fldChar w:fldCharType="end"/>
      </w:r>
      <w:r>
        <w:rPr>
          <w:rFonts w:hint="eastAsia" w:ascii="宋体" w:hAnsi="宋体" w:cs="宋体"/>
          <w:sz w:val="32"/>
          <w:szCs w:val="32"/>
          <w:highlight w:val="none"/>
        </w:rPr>
        <w:fldChar w:fldCharType="end"/>
      </w:r>
    </w:p>
    <w:p>
      <w:pPr>
        <w:pStyle w:val="26"/>
        <w:keepNext w:val="0"/>
        <w:keepLines w:val="0"/>
        <w:pageBreakBefore w:val="0"/>
        <w:widowControl/>
        <w:tabs>
          <w:tab w:val="right" w:leader="dot" w:pos="8307"/>
        </w:tabs>
        <w:kinsoku/>
        <w:wordWrap/>
        <w:overflowPunct/>
        <w:topLinePunct w:val="0"/>
        <w:autoSpaceDE/>
        <w:autoSpaceDN/>
        <w:bidi w:val="0"/>
        <w:adjustRightInd/>
        <w:snapToGrid/>
        <w:spacing w:before="120" w:after="120" w:line="360" w:lineRule="auto"/>
        <w:textAlignment w:val="auto"/>
        <w:rPr>
          <w:sz w:val="32"/>
          <w:szCs w:val="32"/>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HYPERLINK \l _Toc10847 </w:instrText>
      </w:r>
      <w:r>
        <w:rPr>
          <w:rFonts w:hint="eastAsia" w:ascii="宋体" w:hAnsi="宋体" w:cs="宋体"/>
          <w:sz w:val="32"/>
          <w:szCs w:val="32"/>
          <w:highlight w:val="none"/>
        </w:rPr>
        <w:fldChar w:fldCharType="separate"/>
      </w:r>
      <w:r>
        <w:rPr>
          <w:rFonts w:hint="eastAsia" w:ascii="宋体" w:hAnsi="宋体" w:cs="宋体"/>
          <w:kern w:val="2"/>
          <w:sz w:val="32"/>
          <w:szCs w:val="32"/>
          <w:highlight w:val="none"/>
        </w:rPr>
        <w:t>第二部分  采购项目内容</w:t>
      </w:r>
      <w:r>
        <w:rPr>
          <w:sz w:val="32"/>
          <w:szCs w:val="32"/>
        </w:rPr>
        <w:tab/>
      </w:r>
      <w:r>
        <w:rPr>
          <w:sz w:val="32"/>
          <w:szCs w:val="32"/>
        </w:rPr>
        <w:fldChar w:fldCharType="begin"/>
      </w:r>
      <w:r>
        <w:rPr>
          <w:sz w:val="32"/>
          <w:szCs w:val="32"/>
        </w:rPr>
        <w:instrText xml:space="preserve"> PAGEREF _Toc10847 \h </w:instrText>
      </w:r>
      <w:r>
        <w:rPr>
          <w:sz w:val="32"/>
          <w:szCs w:val="32"/>
        </w:rPr>
        <w:fldChar w:fldCharType="separate"/>
      </w:r>
      <w:r>
        <w:rPr>
          <w:sz w:val="32"/>
          <w:szCs w:val="32"/>
        </w:rPr>
        <w:t>7</w:t>
      </w:r>
      <w:r>
        <w:rPr>
          <w:sz w:val="32"/>
          <w:szCs w:val="32"/>
        </w:rPr>
        <w:fldChar w:fldCharType="end"/>
      </w:r>
      <w:r>
        <w:rPr>
          <w:rFonts w:hint="eastAsia" w:ascii="宋体" w:hAnsi="宋体" w:cs="宋体"/>
          <w:sz w:val="32"/>
          <w:szCs w:val="32"/>
          <w:highlight w:val="none"/>
        </w:rPr>
        <w:fldChar w:fldCharType="end"/>
      </w:r>
    </w:p>
    <w:p>
      <w:pPr>
        <w:pStyle w:val="26"/>
        <w:keepNext w:val="0"/>
        <w:keepLines w:val="0"/>
        <w:pageBreakBefore w:val="0"/>
        <w:widowControl/>
        <w:tabs>
          <w:tab w:val="right" w:leader="dot" w:pos="8307"/>
        </w:tabs>
        <w:kinsoku/>
        <w:wordWrap/>
        <w:overflowPunct/>
        <w:topLinePunct w:val="0"/>
        <w:autoSpaceDE/>
        <w:autoSpaceDN/>
        <w:bidi w:val="0"/>
        <w:adjustRightInd/>
        <w:snapToGrid/>
        <w:spacing w:before="120" w:after="120" w:line="360" w:lineRule="auto"/>
        <w:textAlignment w:val="auto"/>
        <w:rPr>
          <w:sz w:val="32"/>
          <w:szCs w:val="32"/>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HYPERLINK \l _Toc15936 </w:instrText>
      </w:r>
      <w:r>
        <w:rPr>
          <w:rFonts w:hint="eastAsia" w:ascii="宋体" w:hAnsi="宋体" w:cs="宋体"/>
          <w:sz w:val="32"/>
          <w:szCs w:val="32"/>
          <w:highlight w:val="none"/>
        </w:rPr>
        <w:fldChar w:fldCharType="separate"/>
      </w:r>
      <w:r>
        <w:rPr>
          <w:rFonts w:hint="eastAsia" w:ascii="宋体" w:hAnsi="宋体" w:cs="宋体"/>
          <w:kern w:val="2"/>
          <w:sz w:val="32"/>
          <w:szCs w:val="32"/>
          <w:highlight w:val="none"/>
        </w:rPr>
        <w:t>第三部分  投标人须知</w:t>
      </w:r>
      <w:r>
        <w:rPr>
          <w:sz w:val="32"/>
          <w:szCs w:val="32"/>
        </w:rPr>
        <w:tab/>
      </w:r>
      <w:r>
        <w:rPr>
          <w:sz w:val="32"/>
          <w:szCs w:val="32"/>
        </w:rPr>
        <w:fldChar w:fldCharType="begin"/>
      </w:r>
      <w:r>
        <w:rPr>
          <w:sz w:val="32"/>
          <w:szCs w:val="32"/>
        </w:rPr>
        <w:instrText xml:space="preserve"> PAGEREF _Toc15936 \h </w:instrText>
      </w:r>
      <w:r>
        <w:rPr>
          <w:sz w:val="32"/>
          <w:szCs w:val="32"/>
        </w:rPr>
        <w:fldChar w:fldCharType="separate"/>
      </w:r>
      <w:r>
        <w:rPr>
          <w:sz w:val="32"/>
          <w:szCs w:val="32"/>
        </w:rPr>
        <w:t>22</w:t>
      </w:r>
      <w:r>
        <w:rPr>
          <w:sz w:val="32"/>
          <w:szCs w:val="32"/>
        </w:rPr>
        <w:fldChar w:fldCharType="end"/>
      </w:r>
      <w:r>
        <w:rPr>
          <w:rFonts w:hint="eastAsia" w:ascii="宋体" w:hAnsi="宋体" w:cs="宋体"/>
          <w:sz w:val="32"/>
          <w:szCs w:val="32"/>
          <w:highlight w:val="none"/>
        </w:rPr>
        <w:fldChar w:fldCharType="end"/>
      </w:r>
    </w:p>
    <w:p>
      <w:pPr>
        <w:pStyle w:val="26"/>
        <w:keepNext w:val="0"/>
        <w:keepLines w:val="0"/>
        <w:pageBreakBefore w:val="0"/>
        <w:widowControl/>
        <w:tabs>
          <w:tab w:val="right" w:leader="dot" w:pos="8307"/>
        </w:tabs>
        <w:kinsoku/>
        <w:wordWrap/>
        <w:overflowPunct/>
        <w:topLinePunct w:val="0"/>
        <w:autoSpaceDE/>
        <w:autoSpaceDN/>
        <w:bidi w:val="0"/>
        <w:adjustRightInd/>
        <w:snapToGrid/>
        <w:spacing w:before="120" w:after="120" w:line="360" w:lineRule="auto"/>
        <w:textAlignment w:val="auto"/>
        <w:rPr>
          <w:sz w:val="32"/>
          <w:szCs w:val="32"/>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HYPERLINK \l _Toc16496 </w:instrText>
      </w:r>
      <w:r>
        <w:rPr>
          <w:rFonts w:hint="eastAsia" w:ascii="宋体" w:hAnsi="宋体" w:cs="宋体"/>
          <w:sz w:val="32"/>
          <w:szCs w:val="32"/>
          <w:highlight w:val="none"/>
        </w:rPr>
        <w:fldChar w:fldCharType="separate"/>
      </w:r>
      <w:r>
        <w:rPr>
          <w:rFonts w:hint="eastAsia" w:ascii="宋体" w:hAnsi="宋体" w:cs="宋体"/>
          <w:kern w:val="2"/>
          <w:sz w:val="32"/>
          <w:szCs w:val="32"/>
          <w:highlight w:val="none"/>
        </w:rPr>
        <w:t>第四部分  合同书格式（范本）</w:t>
      </w:r>
      <w:r>
        <w:rPr>
          <w:sz w:val="32"/>
          <w:szCs w:val="32"/>
        </w:rPr>
        <w:tab/>
      </w:r>
      <w:r>
        <w:rPr>
          <w:sz w:val="32"/>
          <w:szCs w:val="32"/>
        </w:rPr>
        <w:fldChar w:fldCharType="begin"/>
      </w:r>
      <w:r>
        <w:rPr>
          <w:sz w:val="32"/>
          <w:szCs w:val="32"/>
        </w:rPr>
        <w:instrText xml:space="preserve"> PAGEREF _Toc16496 \h </w:instrText>
      </w:r>
      <w:r>
        <w:rPr>
          <w:sz w:val="32"/>
          <w:szCs w:val="32"/>
        </w:rPr>
        <w:fldChar w:fldCharType="separate"/>
      </w:r>
      <w:r>
        <w:rPr>
          <w:sz w:val="32"/>
          <w:szCs w:val="32"/>
        </w:rPr>
        <w:t>47</w:t>
      </w:r>
      <w:r>
        <w:rPr>
          <w:sz w:val="32"/>
          <w:szCs w:val="32"/>
        </w:rPr>
        <w:fldChar w:fldCharType="end"/>
      </w:r>
      <w:r>
        <w:rPr>
          <w:rFonts w:hint="eastAsia" w:ascii="宋体" w:hAnsi="宋体" w:cs="宋体"/>
          <w:sz w:val="32"/>
          <w:szCs w:val="32"/>
          <w:highlight w:val="none"/>
        </w:rPr>
        <w:fldChar w:fldCharType="end"/>
      </w:r>
    </w:p>
    <w:p>
      <w:pPr>
        <w:pStyle w:val="26"/>
        <w:keepNext w:val="0"/>
        <w:keepLines w:val="0"/>
        <w:pageBreakBefore w:val="0"/>
        <w:widowControl/>
        <w:tabs>
          <w:tab w:val="right" w:leader="dot" w:pos="8307"/>
        </w:tabs>
        <w:kinsoku/>
        <w:wordWrap/>
        <w:overflowPunct/>
        <w:topLinePunct w:val="0"/>
        <w:autoSpaceDE/>
        <w:autoSpaceDN/>
        <w:bidi w:val="0"/>
        <w:adjustRightInd/>
        <w:snapToGrid/>
        <w:spacing w:before="120" w:after="120" w:line="360" w:lineRule="auto"/>
        <w:textAlignment w:val="auto"/>
        <w:rPr>
          <w:sz w:val="32"/>
          <w:szCs w:val="32"/>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HYPERLINK \l _Toc6546 </w:instrText>
      </w:r>
      <w:r>
        <w:rPr>
          <w:rFonts w:hint="eastAsia" w:ascii="宋体" w:hAnsi="宋体" w:cs="宋体"/>
          <w:sz w:val="32"/>
          <w:szCs w:val="32"/>
          <w:highlight w:val="none"/>
        </w:rPr>
        <w:fldChar w:fldCharType="separate"/>
      </w:r>
      <w:r>
        <w:rPr>
          <w:rFonts w:hint="eastAsia" w:ascii="宋体" w:hAnsi="宋体" w:cs="宋体"/>
          <w:kern w:val="2"/>
          <w:sz w:val="32"/>
          <w:szCs w:val="32"/>
          <w:highlight w:val="none"/>
        </w:rPr>
        <w:t>第五部分  投标文件格式</w:t>
      </w:r>
      <w:r>
        <w:rPr>
          <w:sz w:val="32"/>
          <w:szCs w:val="32"/>
        </w:rPr>
        <w:tab/>
      </w:r>
      <w:r>
        <w:rPr>
          <w:sz w:val="32"/>
          <w:szCs w:val="32"/>
        </w:rPr>
        <w:fldChar w:fldCharType="begin"/>
      </w:r>
      <w:r>
        <w:rPr>
          <w:sz w:val="32"/>
          <w:szCs w:val="32"/>
        </w:rPr>
        <w:instrText xml:space="preserve"> PAGEREF _Toc6546 \h </w:instrText>
      </w:r>
      <w:r>
        <w:rPr>
          <w:sz w:val="32"/>
          <w:szCs w:val="32"/>
        </w:rPr>
        <w:fldChar w:fldCharType="separate"/>
      </w:r>
      <w:r>
        <w:rPr>
          <w:sz w:val="32"/>
          <w:szCs w:val="32"/>
        </w:rPr>
        <w:t>63</w:t>
      </w:r>
      <w:r>
        <w:rPr>
          <w:sz w:val="32"/>
          <w:szCs w:val="32"/>
        </w:rPr>
        <w:fldChar w:fldCharType="end"/>
      </w:r>
      <w:r>
        <w:rPr>
          <w:rFonts w:hint="eastAsia" w:ascii="宋体" w:hAnsi="宋体" w:cs="宋体"/>
          <w:sz w:val="32"/>
          <w:szCs w:val="32"/>
          <w:highlight w:val="none"/>
        </w:rPr>
        <w:fldChar w:fldCharType="end"/>
      </w:r>
    </w:p>
    <w:p>
      <w:pPr>
        <w:pStyle w:val="26"/>
        <w:keepNext w:val="0"/>
        <w:keepLines w:val="0"/>
        <w:pageBreakBefore w:val="0"/>
        <w:widowControl/>
        <w:tabs>
          <w:tab w:val="right" w:leader="dot" w:pos="9628"/>
        </w:tabs>
        <w:kinsoku/>
        <w:wordWrap/>
        <w:overflowPunct/>
        <w:topLinePunct w:val="0"/>
        <w:autoSpaceDE/>
        <w:autoSpaceDN/>
        <w:bidi w:val="0"/>
        <w:adjustRightInd/>
        <w:snapToGrid/>
        <w:spacing w:before="120" w:after="120" w:line="360" w:lineRule="auto"/>
        <w:textAlignment w:val="auto"/>
        <w:rPr>
          <w:rFonts w:ascii="宋体" w:hAnsi="宋体" w:cs="宋体"/>
          <w:sz w:val="32"/>
          <w:szCs w:val="32"/>
          <w:highlight w:val="none"/>
        </w:rPr>
        <w:sectPr>
          <w:pgSz w:w="11907" w:h="16840"/>
          <w:pgMar w:top="1440" w:right="1800" w:bottom="1440" w:left="1800" w:header="794" w:footer="794" w:gutter="0"/>
          <w:cols w:space="720" w:num="1"/>
          <w:docGrid w:linePitch="285" w:charSpace="0"/>
        </w:sectPr>
      </w:pPr>
      <w:r>
        <w:rPr>
          <w:rFonts w:hint="eastAsia" w:ascii="宋体" w:hAnsi="宋体" w:cs="宋体"/>
          <w:sz w:val="32"/>
          <w:szCs w:val="32"/>
          <w:highlight w:val="none"/>
        </w:rPr>
        <w:fldChar w:fldCharType="end"/>
      </w:r>
    </w:p>
    <w:p>
      <w:pPr>
        <w:pStyle w:val="26"/>
        <w:tabs>
          <w:tab w:val="right" w:leader="dot" w:pos="9628"/>
        </w:tabs>
        <w:spacing w:before="0" w:after="0" w:line="360" w:lineRule="auto"/>
        <w:rPr>
          <w:rFonts w:ascii="宋体" w:hAnsi="宋体" w:cs="宋体"/>
          <w:highlight w:val="none"/>
        </w:rPr>
      </w:pPr>
      <w:bookmarkStart w:id="0" w:name="_Toc28489433"/>
      <w:bookmarkStart w:id="1" w:name="_Toc59967377"/>
      <w:bookmarkStart w:id="2" w:name="_Toc14450806"/>
    </w:p>
    <w:p>
      <w:pPr>
        <w:spacing w:line="360" w:lineRule="auto"/>
        <w:rPr>
          <w:rFonts w:ascii="宋体" w:hAnsi="宋体" w:cs="宋体"/>
          <w:sz w:val="28"/>
          <w:highlight w:val="none"/>
        </w:rPr>
      </w:pPr>
    </w:p>
    <w:p>
      <w:pPr>
        <w:spacing w:line="360" w:lineRule="auto"/>
        <w:rPr>
          <w:rFonts w:ascii="宋体" w:hAnsi="宋体" w:cs="宋体"/>
          <w:sz w:val="28"/>
          <w:highlight w:val="none"/>
        </w:rPr>
      </w:pPr>
    </w:p>
    <w:p>
      <w:pPr>
        <w:pStyle w:val="2"/>
        <w:keepLines w:val="0"/>
        <w:spacing w:before="0" w:after="0" w:line="360" w:lineRule="auto"/>
        <w:ind w:right="5"/>
        <w:jc w:val="center"/>
        <w:rPr>
          <w:rFonts w:ascii="宋体" w:hAnsi="宋体" w:cs="宋体"/>
          <w:highlight w:val="none"/>
        </w:rPr>
      </w:pPr>
      <w:bookmarkStart w:id="3" w:name="_Toc10293"/>
      <w:r>
        <w:rPr>
          <w:rFonts w:hint="eastAsia" w:ascii="宋体" w:hAnsi="宋体" w:cs="宋体"/>
          <w:kern w:val="2"/>
          <w:highlight w:val="none"/>
        </w:rPr>
        <w:t>第一</w:t>
      </w:r>
      <w:bookmarkStart w:id="4" w:name="_Toc10525513"/>
      <w:r>
        <w:rPr>
          <w:rFonts w:hint="eastAsia" w:ascii="宋体" w:hAnsi="宋体" w:cs="宋体"/>
          <w:kern w:val="2"/>
          <w:highlight w:val="none"/>
        </w:rPr>
        <w:t xml:space="preserve">部分  </w:t>
      </w:r>
      <w:bookmarkEnd w:id="0"/>
      <w:bookmarkEnd w:id="1"/>
      <w:bookmarkEnd w:id="2"/>
      <w:bookmarkEnd w:id="4"/>
      <w:r>
        <w:rPr>
          <w:rFonts w:hint="eastAsia" w:ascii="宋体" w:hAnsi="宋体" w:cs="宋体"/>
          <w:kern w:val="2"/>
          <w:highlight w:val="none"/>
        </w:rPr>
        <w:t>投标邀请</w:t>
      </w:r>
      <w:bookmarkEnd w:id="3"/>
    </w:p>
    <w:p>
      <w:pPr>
        <w:spacing w:line="360" w:lineRule="auto"/>
        <w:jc w:val="center"/>
        <w:rPr>
          <w:rFonts w:ascii="宋体" w:hAnsi="宋体" w:cs="宋体"/>
          <w:b/>
          <w:sz w:val="10"/>
          <w:szCs w:val="10"/>
          <w:highlight w:val="none"/>
        </w:rPr>
      </w:pPr>
      <w:r>
        <w:rPr>
          <w:rFonts w:hint="eastAsia" w:ascii="宋体" w:hAnsi="宋体" w:cs="宋体"/>
          <w:b/>
          <w:sz w:val="48"/>
          <w:highlight w:val="none"/>
        </w:rPr>
        <w:br w:type="page"/>
      </w:r>
      <w:bookmarkStart w:id="5" w:name="_Toc59967378"/>
    </w:p>
    <w:p>
      <w:pPr>
        <w:spacing w:line="360" w:lineRule="auto"/>
        <w:jc w:val="center"/>
        <w:rPr>
          <w:rFonts w:ascii="宋体" w:hAnsi="宋体" w:cs="宋体"/>
          <w:b/>
          <w:kern w:val="28"/>
          <w:sz w:val="32"/>
          <w:highlight w:val="none"/>
        </w:rPr>
      </w:pPr>
      <w:r>
        <w:rPr>
          <w:rFonts w:hint="eastAsia" w:ascii="宋体" w:hAnsi="宋体" w:cs="宋体"/>
          <w:b/>
          <w:kern w:val="28"/>
          <w:sz w:val="32"/>
          <w:highlight w:val="none"/>
        </w:rPr>
        <w:t>第一部分 投标邀请</w:t>
      </w:r>
    </w:p>
    <w:p>
      <w:pPr>
        <w:adjustRightInd w:val="0"/>
        <w:snapToGrid w:val="0"/>
        <w:spacing w:line="360" w:lineRule="auto"/>
        <w:ind w:firstLine="200" w:firstLineChars="200"/>
        <w:rPr>
          <w:rFonts w:ascii="宋体" w:hAnsi="宋体" w:cs="宋体"/>
          <w:sz w:val="10"/>
          <w:szCs w:val="10"/>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jc w:val="both"/>
        <w:rPr>
          <w:rFonts w:ascii="宋体" w:hAnsi="宋体" w:cs="宋体"/>
          <w:highlight w:val="none"/>
        </w:rPr>
      </w:pPr>
      <w:r>
        <w:rPr>
          <w:rFonts w:hint="eastAsia" w:ascii="宋体" w:hAnsi="宋体" w:cs="宋体"/>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highlight w:val="none"/>
        </w:rPr>
      </w:pPr>
      <w:r>
        <w:rPr>
          <w:rFonts w:hint="eastAsia" w:ascii="宋体" w:hAnsi="宋体" w:cs="宋体"/>
          <w:highlight w:val="none"/>
          <w:lang w:eastAsia="zh-CN"/>
        </w:rPr>
        <w:t>国家税务总局广东潮州经济开发区税务局后勤综合服务项目</w:t>
      </w:r>
      <w:r>
        <w:rPr>
          <w:rFonts w:hint="eastAsia" w:ascii="宋体" w:hAnsi="宋体" w:cs="宋体"/>
          <w:highlight w:val="none"/>
        </w:rPr>
        <w:t>招标项目的潜在投标人应在</w:t>
      </w:r>
      <w:r>
        <w:rPr>
          <w:rFonts w:hint="eastAsia" w:ascii="宋体" w:hAnsi="宋体" w:cs="宋体"/>
          <w:highlight w:val="none"/>
          <w:u w:val="single"/>
        </w:rPr>
        <w:t>线下获取（</w:t>
      </w:r>
      <w:r>
        <w:rPr>
          <w:rFonts w:hint="eastAsia" w:ascii="宋体" w:hAnsi="宋体" w:cs="宋体"/>
          <w:highlight w:val="none"/>
          <w:u w:val="single"/>
          <w:lang w:eastAsia="zh-CN"/>
        </w:rPr>
        <w:t>广东省潮州市湘桥区潮枫路223号新时空大厦8楼公诚咨询</w:t>
      </w:r>
      <w:r>
        <w:rPr>
          <w:rFonts w:hint="eastAsia" w:ascii="宋体" w:hAnsi="宋体" w:cs="宋体"/>
          <w:highlight w:val="none"/>
          <w:u w:val="single"/>
        </w:rPr>
        <w:t>）</w:t>
      </w:r>
      <w:r>
        <w:rPr>
          <w:rFonts w:hint="eastAsia" w:ascii="宋体" w:hAnsi="宋体" w:cs="宋体"/>
          <w:highlight w:val="none"/>
        </w:rPr>
        <w:t>获取招标文件，并于</w:t>
      </w:r>
      <w:r>
        <w:rPr>
          <w:rFonts w:hint="eastAsia" w:ascii="宋体" w:hAnsi="宋体" w:cs="宋体"/>
          <w:highlight w:val="none"/>
          <w:u w:val="single"/>
          <w:lang w:eastAsia="zh-CN"/>
        </w:rPr>
        <w:t>2022年0</w:t>
      </w:r>
      <w:r>
        <w:rPr>
          <w:rFonts w:hint="eastAsia" w:ascii="宋体" w:hAnsi="宋体" w:cs="宋体"/>
          <w:highlight w:val="none"/>
          <w:u w:val="single"/>
          <w:lang w:val="en-US" w:eastAsia="zh-CN"/>
        </w:rPr>
        <w:t>7</w:t>
      </w:r>
      <w:r>
        <w:rPr>
          <w:rFonts w:hint="eastAsia" w:ascii="宋体" w:hAnsi="宋体" w:cs="宋体"/>
          <w:highlight w:val="none"/>
          <w:u w:val="single"/>
          <w:lang w:eastAsia="zh-CN"/>
        </w:rPr>
        <w:t>月</w:t>
      </w:r>
      <w:r>
        <w:rPr>
          <w:rFonts w:hint="eastAsia" w:ascii="宋体" w:hAnsi="宋体" w:cs="宋体"/>
          <w:highlight w:val="none"/>
          <w:u w:val="single"/>
          <w:lang w:val="en-US" w:eastAsia="zh-CN"/>
        </w:rPr>
        <w:t>19</w:t>
      </w:r>
      <w:r>
        <w:rPr>
          <w:rFonts w:hint="eastAsia" w:ascii="宋体" w:hAnsi="宋体" w:cs="宋体"/>
          <w:highlight w:val="none"/>
          <w:u w:val="single"/>
          <w:lang w:eastAsia="zh-CN"/>
        </w:rPr>
        <w:t>日09</w:t>
      </w:r>
      <w:r>
        <w:rPr>
          <w:rFonts w:hint="eastAsia" w:ascii="宋体" w:hAnsi="宋体" w:cs="宋体"/>
          <w:highlight w:val="none"/>
          <w:u w:val="single"/>
          <w:lang w:val="en-US" w:eastAsia="zh-CN"/>
        </w:rPr>
        <w:t>时</w:t>
      </w:r>
      <w:r>
        <w:rPr>
          <w:rFonts w:hint="eastAsia" w:ascii="宋体" w:hAnsi="宋体" w:cs="宋体"/>
          <w:highlight w:val="none"/>
          <w:u w:val="single"/>
          <w:lang w:eastAsia="zh-CN"/>
        </w:rPr>
        <w:t>00分</w:t>
      </w:r>
      <w:r>
        <w:rPr>
          <w:rFonts w:hint="eastAsia" w:ascii="宋体" w:hAnsi="宋体" w:cs="宋体"/>
          <w:bCs/>
          <w:highlight w:val="none"/>
        </w:rPr>
        <w:t>（北京时间）前递交投标文件</w:t>
      </w:r>
      <w:r>
        <w:rPr>
          <w:rFonts w:hint="eastAsia" w:ascii="宋体" w:hAnsi="宋体" w:cs="宋体"/>
          <w:highlight w:val="none"/>
        </w:rPr>
        <w:t>。</w:t>
      </w:r>
    </w:p>
    <w:p>
      <w:pPr>
        <w:pStyle w:val="3"/>
        <w:tabs>
          <w:tab w:val="left" w:pos="239"/>
        </w:tabs>
        <w:spacing w:before="360" w:after="120" w:line="360" w:lineRule="auto"/>
        <w:rPr>
          <w:rFonts w:ascii="宋体" w:hAnsi="宋体" w:eastAsia="宋体" w:cs="宋体"/>
          <w:bCs/>
          <w:highlight w:val="none"/>
        </w:rPr>
      </w:pPr>
      <w:bookmarkStart w:id="6" w:name="_Toc35393629"/>
      <w:bookmarkStart w:id="7" w:name="_Toc28359012"/>
      <w:bookmarkStart w:id="8" w:name="_Toc35393798"/>
      <w:bookmarkStart w:id="9" w:name="_Toc28359089"/>
      <w:r>
        <w:rPr>
          <w:rFonts w:hint="eastAsia" w:ascii="宋体" w:hAnsi="宋体" w:eastAsia="宋体" w:cs="宋体"/>
          <w:bCs/>
          <w:highlight w:val="none"/>
        </w:rPr>
        <w:t>一、项目基本情况</w:t>
      </w:r>
      <w:bookmarkEnd w:id="6"/>
      <w:bookmarkEnd w:id="7"/>
      <w:bookmarkEnd w:id="8"/>
      <w:bookmarkEnd w:id="9"/>
    </w:p>
    <w:p>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采购代理编号：</w:t>
      </w:r>
      <w:r>
        <w:rPr>
          <w:rFonts w:hint="eastAsia" w:ascii="宋体" w:hAnsi="宋体" w:cs="宋体"/>
          <w:highlight w:val="none"/>
          <w:lang w:eastAsia="zh-CN"/>
        </w:rPr>
        <w:t>05-12-04A-2022-D-E13897</w:t>
      </w:r>
    </w:p>
    <w:p>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国家税务总局广东潮州经济开发区税务局后勤综合服务项目</w:t>
      </w:r>
    </w:p>
    <w:p>
      <w:pPr>
        <w:pStyle w:val="12"/>
        <w:spacing w:line="360" w:lineRule="auto"/>
        <w:ind w:firstLine="480" w:firstLineChars="200"/>
        <w:rPr>
          <w:rFonts w:cs="宋体"/>
          <w:highlight w:val="none"/>
        </w:rPr>
      </w:pPr>
      <w:r>
        <w:rPr>
          <w:rFonts w:hint="eastAsia" w:cs="宋体"/>
          <w:highlight w:val="none"/>
        </w:rPr>
        <w:t>采购方式：公开招标</w:t>
      </w:r>
    </w:p>
    <w:p>
      <w:pPr>
        <w:spacing w:line="360" w:lineRule="auto"/>
        <w:ind w:firstLine="480" w:firstLineChars="200"/>
        <w:rPr>
          <w:rFonts w:ascii="宋体" w:hAnsi="宋体" w:cs="宋体"/>
          <w:highlight w:val="none"/>
        </w:rPr>
      </w:pPr>
      <w:r>
        <w:rPr>
          <w:rFonts w:hint="eastAsia" w:ascii="宋体" w:hAnsi="宋体" w:cs="宋体"/>
          <w:highlight w:val="none"/>
        </w:rPr>
        <w:t>预算金额：人民币</w:t>
      </w:r>
      <w:r>
        <w:rPr>
          <w:rFonts w:hint="eastAsia" w:ascii="宋体" w:hAnsi="宋体" w:cs="宋体"/>
          <w:highlight w:val="none"/>
          <w:lang w:val="en-US" w:eastAsia="zh-CN"/>
        </w:rPr>
        <w:t>5</w:t>
      </w:r>
      <w:r>
        <w:rPr>
          <w:rFonts w:hint="eastAsia" w:ascii="宋体" w:hAnsi="宋体" w:cs="宋体"/>
          <w:highlight w:val="none"/>
        </w:rPr>
        <w:t>,</w:t>
      </w:r>
      <w:r>
        <w:rPr>
          <w:rFonts w:hint="eastAsia" w:ascii="宋体" w:hAnsi="宋体" w:cs="宋体"/>
          <w:highlight w:val="none"/>
          <w:lang w:val="en-US" w:eastAsia="zh-CN"/>
        </w:rPr>
        <w:t>485</w:t>
      </w:r>
      <w:r>
        <w:rPr>
          <w:rFonts w:hint="eastAsia" w:ascii="宋体" w:hAnsi="宋体" w:cs="宋体"/>
          <w:highlight w:val="none"/>
        </w:rPr>
        <w:t>,</w:t>
      </w:r>
      <w:r>
        <w:rPr>
          <w:rFonts w:hint="eastAsia" w:ascii="宋体" w:hAnsi="宋体" w:cs="宋体"/>
          <w:highlight w:val="none"/>
          <w:lang w:val="en-US" w:eastAsia="zh-CN"/>
        </w:rPr>
        <w:t>350</w:t>
      </w:r>
      <w:r>
        <w:rPr>
          <w:rFonts w:hint="eastAsia" w:ascii="宋体" w:hAnsi="宋体" w:cs="宋体"/>
          <w:highlight w:val="none"/>
        </w:rPr>
        <w:t>.00元（含税）</w:t>
      </w:r>
    </w:p>
    <w:p>
      <w:pPr>
        <w:spacing w:line="360" w:lineRule="auto"/>
        <w:ind w:firstLine="480" w:firstLineChars="200"/>
        <w:rPr>
          <w:rFonts w:ascii="宋体" w:hAnsi="宋体" w:cs="宋体"/>
          <w:highlight w:val="none"/>
        </w:rPr>
      </w:pPr>
      <w:r>
        <w:rPr>
          <w:rFonts w:hint="eastAsia" w:ascii="宋体" w:hAnsi="宋体" w:cs="宋体"/>
          <w:highlight w:val="none"/>
        </w:rPr>
        <w:t>最高限价（如有）：人民币</w:t>
      </w:r>
      <w:r>
        <w:rPr>
          <w:rFonts w:hint="eastAsia" w:ascii="宋体" w:hAnsi="宋体" w:cs="宋体"/>
          <w:highlight w:val="none"/>
          <w:lang w:eastAsia="zh-CN"/>
        </w:rPr>
        <w:t>5,485,350.00</w:t>
      </w:r>
      <w:r>
        <w:rPr>
          <w:rFonts w:hint="eastAsia" w:ascii="宋体" w:hAnsi="宋体" w:cs="宋体"/>
          <w:highlight w:val="none"/>
        </w:rPr>
        <w:t>元（含税）</w:t>
      </w:r>
    </w:p>
    <w:p>
      <w:pPr>
        <w:pStyle w:val="12"/>
        <w:spacing w:line="360" w:lineRule="auto"/>
        <w:ind w:firstLine="480" w:firstLineChars="200"/>
        <w:rPr>
          <w:rFonts w:cs="宋体"/>
          <w:highlight w:val="none"/>
        </w:rPr>
      </w:pPr>
      <w:r>
        <w:rPr>
          <w:rFonts w:hint="eastAsia" w:cs="宋体"/>
          <w:highlight w:val="none"/>
        </w:rPr>
        <w:t>采购需求：后勤综合服务。具体内容包括安全保卫服务；卫生保洁服务；水电维护服务；会务、用餐、房间服务；绿化服务；食堂供餐服务；车辆运维服务；文书服务</w:t>
      </w:r>
      <w:r>
        <w:rPr>
          <w:rFonts w:hint="eastAsia" w:cs="宋体"/>
          <w:highlight w:val="none"/>
          <w:lang w:eastAsia="zh-CN"/>
        </w:rPr>
        <w:t>；</w:t>
      </w:r>
      <w:r>
        <w:rPr>
          <w:rFonts w:hint="eastAsia" w:cs="宋体"/>
          <w:highlight w:val="none"/>
        </w:rPr>
        <w:t>布草洗涤。具体范围包括：潮州大道</w:t>
      </w:r>
      <w:r>
        <w:rPr>
          <w:rFonts w:hint="eastAsia" w:cs="宋体"/>
          <w:highlight w:val="none"/>
          <w:lang w:eastAsia="zh-CN"/>
        </w:rPr>
        <w:t>凤新东路</w:t>
      </w:r>
      <w:r>
        <w:rPr>
          <w:rFonts w:hint="eastAsia" w:cs="宋体"/>
          <w:highlight w:val="none"/>
        </w:rPr>
        <w:t>办公楼1号楼、2号楼二层厨房和餐厅206房共计建筑面积10177.85平方，地点：广东省潮州市湘桥区潮州大道北凤新东路。详见招标文件《用户需求书》。</w:t>
      </w:r>
    </w:p>
    <w:p>
      <w:pPr>
        <w:pStyle w:val="12"/>
        <w:spacing w:line="360" w:lineRule="auto"/>
        <w:ind w:firstLine="480" w:firstLineChars="200"/>
        <w:rPr>
          <w:rFonts w:cs="宋体"/>
          <w:highlight w:val="none"/>
        </w:rPr>
      </w:pPr>
      <w:r>
        <w:rPr>
          <w:rFonts w:hint="eastAsia" w:cs="宋体"/>
          <w:highlight w:val="none"/>
        </w:rPr>
        <w:t>合同履行期限：</w:t>
      </w:r>
      <w:r>
        <w:rPr>
          <w:rFonts w:hint="eastAsia"/>
        </w:rPr>
        <w:t>共3年，自2022年8月1日起，至2025年7月31日止，经采购人及中标供应商协商可整体滞后一至二个月。具体时间根据实际确定</w:t>
      </w:r>
      <w:r>
        <w:rPr>
          <w:rFonts w:hint="eastAsia" w:cs="宋体"/>
          <w:highlight w:val="none"/>
        </w:rPr>
        <w:t>。</w:t>
      </w:r>
    </w:p>
    <w:p>
      <w:pPr>
        <w:pStyle w:val="3"/>
        <w:tabs>
          <w:tab w:val="left" w:pos="239"/>
        </w:tabs>
        <w:spacing w:before="360" w:after="120" w:line="360" w:lineRule="auto"/>
        <w:rPr>
          <w:rFonts w:ascii="宋体" w:hAnsi="宋体" w:eastAsia="宋体" w:cs="宋体"/>
          <w:bCs/>
          <w:highlight w:val="none"/>
        </w:rPr>
      </w:pPr>
      <w:bookmarkStart w:id="10" w:name="_Toc35393630"/>
      <w:bookmarkStart w:id="11" w:name="_Toc28359013"/>
      <w:bookmarkStart w:id="12" w:name="_Toc28359090"/>
      <w:bookmarkStart w:id="13" w:name="_Toc35393799"/>
      <w:r>
        <w:rPr>
          <w:rFonts w:hint="eastAsia" w:ascii="宋体" w:hAnsi="宋体" w:eastAsia="宋体" w:cs="宋体"/>
          <w:bCs/>
          <w:highlight w:val="none"/>
        </w:rPr>
        <w:t>二、申请人的资格要求：</w:t>
      </w:r>
      <w:bookmarkEnd w:id="10"/>
      <w:bookmarkEnd w:id="11"/>
      <w:bookmarkEnd w:id="12"/>
      <w:bookmarkEnd w:id="13"/>
    </w:p>
    <w:p>
      <w:pPr>
        <w:spacing w:line="360" w:lineRule="auto"/>
        <w:ind w:firstLine="480" w:firstLineChars="200"/>
        <w:rPr>
          <w:rFonts w:ascii="宋体" w:hAnsi="宋体" w:cs="宋体"/>
          <w:highlight w:val="none"/>
        </w:rPr>
      </w:pPr>
      <w:bookmarkStart w:id="14" w:name="_Toc28359014"/>
      <w:bookmarkStart w:id="15" w:name="_Toc28359091"/>
      <w:r>
        <w:rPr>
          <w:rFonts w:hint="eastAsia" w:ascii="宋体" w:hAnsi="宋体" w:cs="宋体"/>
          <w:highlight w:val="none"/>
        </w:rPr>
        <w:t>1.满足《中华人民共和国政府采购法》第二十二条规定，提供下列材料：</w:t>
      </w:r>
    </w:p>
    <w:p>
      <w:pPr>
        <w:spacing w:line="360" w:lineRule="auto"/>
        <w:ind w:firstLine="480" w:firstLineChars="200"/>
        <w:rPr>
          <w:rFonts w:ascii="宋体" w:hAnsi="宋体" w:cs="宋体"/>
          <w:highlight w:val="none"/>
        </w:rPr>
      </w:pPr>
      <w:r>
        <w:rPr>
          <w:rFonts w:hint="eastAsia" w:ascii="宋体" w:hAnsi="宋体" w:cs="宋体"/>
          <w:highlight w:val="none"/>
        </w:rPr>
        <w:t>1.1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pPr>
        <w:spacing w:line="360" w:lineRule="auto"/>
        <w:ind w:firstLine="480" w:firstLineChars="200"/>
        <w:rPr>
          <w:rFonts w:ascii="宋体" w:hAnsi="宋体" w:cs="宋体"/>
          <w:highlight w:val="none"/>
        </w:rPr>
      </w:pPr>
      <w:r>
        <w:rPr>
          <w:rFonts w:hint="eastAsia" w:ascii="宋体" w:hAnsi="宋体" w:cs="宋体"/>
          <w:highlight w:val="none"/>
        </w:rPr>
        <w:t>1.2有依法缴纳税收和社会保障资金的良好记录：提供投标截止日前6个月内任意1个月依法缴纳税收和社会保障资金的相关材料。如依法免税或不需要缴纳社会保障资金的，提供相应证明材料；</w:t>
      </w:r>
    </w:p>
    <w:p>
      <w:pPr>
        <w:spacing w:line="360" w:lineRule="auto"/>
        <w:ind w:firstLine="480" w:firstLineChars="200"/>
        <w:rPr>
          <w:rFonts w:ascii="宋体" w:hAnsi="宋体" w:cs="宋体"/>
          <w:highlight w:val="none"/>
        </w:rPr>
      </w:pPr>
      <w:r>
        <w:rPr>
          <w:rFonts w:hint="eastAsia" w:ascii="宋体" w:hAnsi="宋体" w:cs="宋体"/>
          <w:highlight w:val="none"/>
        </w:rPr>
        <w:t>1.3具有良好的商业信誉和健全的财务会计制度：提供2020年度或2021年度财务状况报告(新成立不足一年的公司提供成立至今的月或季度财务报表复印件)或基本开户行出具的资信证明；</w:t>
      </w:r>
    </w:p>
    <w:p>
      <w:pPr>
        <w:spacing w:line="360" w:lineRule="auto"/>
        <w:ind w:firstLine="480" w:firstLineChars="200"/>
        <w:rPr>
          <w:rFonts w:ascii="宋体" w:hAnsi="宋体" w:cs="宋体"/>
          <w:highlight w:val="none"/>
        </w:rPr>
      </w:pPr>
      <w:r>
        <w:rPr>
          <w:rFonts w:hint="eastAsia" w:ascii="宋体" w:hAnsi="宋体" w:cs="宋体"/>
          <w:highlight w:val="none"/>
        </w:rPr>
        <w:t>1.4具有履行合同所必需的设备和专业技术能力：按投标文件格式填报设备及专业技术能力情况；</w:t>
      </w:r>
    </w:p>
    <w:p>
      <w:pPr>
        <w:spacing w:line="360" w:lineRule="auto"/>
        <w:ind w:firstLine="480" w:firstLineChars="200"/>
        <w:rPr>
          <w:rFonts w:ascii="宋体" w:hAnsi="宋体" w:cs="宋体"/>
          <w:highlight w:val="none"/>
        </w:rPr>
      </w:pPr>
      <w:r>
        <w:rPr>
          <w:rFonts w:hint="eastAsia" w:ascii="宋体" w:hAnsi="宋体" w:cs="宋体"/>
          <w:highlight w:val="none"/>
        </w:rPr>
        <w:t>1.5参加政府采购活动前3年内，在经营活动中没有重大违法记录：参照投标函相关承诺格式内容。重大违法记录，是指供应商因违法经营受到刑事处罚或者责令停产停业、吊销许可证或者执照、较大数额罚款等行政处罚。（</w:t>
      </w:r>
      <w:r>
        <w:rPr>
          <w:rFonts w:hint="eastAsia" w:ascii="宋体" w:hAnsi="宋体" w:cs="宋体"/>
          <w:highlight w:val="none"/>
          <w:lang w:eastAsia="zh-CN"/>
        </w:rPr>
        <w:t>根据财库〔2022〕3号文，“较大数额罚款”认定为200万元以上的罚款，法律、行政法规以及国务院有关部门明确规定相关领域“较大数额罚款”标准高于200万元的，从其规定</w:t>
      </w:r>
      <w:r>
        <w:rPr>
          <w:rFonts w:hint="eastAsia" w:ascii="宋体" w:hAnsi="宋体" w:cs="宋体"/>
          <w:highlight w:val="none"/>
        </w:rPr>
        <w:t>）</w:t>
      </w:r>
      <w:r>
        <w:rPr>
          <w:rFonts w:hint="eastAsia"/>
          <w:highlight w:val="none"/>
        </w:rPr>
        <w:t>。</w:t>
      </w:r>
    </w:p>
    <w:p>
      <w:pPr>
        <w:spacing w:line="360" w:lineRule="auto"/>
        <w:ind w:firstLine="480" w:firstLineChars="200"/>
        <w:rPr>
          <w:rFonts w:ascii="宋体" w:hAnsi="宋体" w:cs="宋体"/>
          <w:highlight w:val="none"/>
        </w:rPr>
      </w:pPr>
      <w:r>
        <w:rPr>
          <w:rFonts w:hint="eastAsia" w:ascii="宋体" w:hAnsi="宋体" w:cs="宋体"/>
          <w:highlight w:val="none"/>
        </w:rPr>
        <w:t>2.落实政府采购政策需满足的资格要求：</w:t>
      </w:r>
    </w:p>
    <w:p>
      <w:pPr>
        <w:spacing w:line="360" w:lineRule="auto"/>
        <w:ind w:firstLine="480" w:firstLineChars="200"/>
        <w:rPr>
          <w:rFonts w:ascii="宋体" w:hAnsi="宋体" w:cs="宋体"/>
          <w:highlight w:val="none"/>
        </w:rPr>
      </w:pPr>
      <w:r>
        <w:rPr>
          <w:rFonts w:hint="eastAsia" w:ascii="宋体" w:hAnsi="宋体" w:cs="宋体"/>
          <w:highlight w:val="none"/>
        </w:rPr>
        <w:t>本项目专门面向中小企业，所属行业为</w:t>
      </w:r>
      <w:r>
        <w:rPr>
          <w:rFonts w:hint="eastAsia" w:ascii="宋体" w:hAnsi="宋体" w:cs="宋体"/>
          <w:highlight w:val="none"/>
          <w:lang w:val="en-US" w:eastAsia="zh-CN"/>
        </w:rPr>
        <w:t>物业管理行</w:t>
      </w:r>
      <w:r>
        <w:rPr>
          <w:rFonts w:hint="eastAsia" w:ascii="宋体" w:hAnsi="宋体" w:cs="宋体"/>
          <w:highlight w:val="none"/>
        </w:rPr>
        <w:t>业。供应商须提供符合本项目采购标的对应行业的政策划分标准。监狱企业、残疾人福利单位视同小型、微型企业。（注：中小企业以供应商填写的《中小企业声明函》（见投标文件格式）为判定标准，残疾人福利性单位以供应商填写的《残疾人福利性单位声明函》（见投标文件格式）为判定标准，监狱企业须供应商提供由省级以上监狱管理局、戒毒管理局（含新疆生产建设兵团）出具的属于监狱企业的证明文件，否则不予认定。）</w:t>
      </w:r>
    </w:p>
    <w:p>
      <w:pPr>
        <w:spacing w:line="360" w:lineRule="auto"/>
        <w:ind w:firstLine="480" w:firstLineChars="200"/>
        <w:rPr>
          <w:rFonts w:ascii="宋体" w:hAnsi="宋体" w:cs="宋体"/>
          <w:highlight w:val="none"/>
        </w:rPr>
      </w:pPr>
      <w:r>
        <w:rPr>
          <w:rFonts w:hint="eastAsia" w:ascii="宋体" w:hAnsi="宋体" w:cs="宋体"/>
          <w:highlight w:val="none"/>
        </w:rPr>
        <w:t>3.本项目的特定资格要求：</w:t>
      </w:r>
    </w:p>
    <w:p>
      <w:pPr>
        <w:spacing w:line="360" w:lineRule="auto"/>
        <w:ind w:firstLine="480" w:firstLineChars="200"/>
        <w:rPr>
          <w:rFonts w:ascii="宋体" w:hAnsi="宋体" w:cs="宋体"/>
          <w:highlight w:val="none"/>
        </w:rPr>
      </w:pPr>
      <w:r>
        <w:rPr>
          <w:rFonts w:hint="eastAsia" w:ascii="宋体" w:hAnsi="宋体" w:cs="宋体"/>
          <w:highlight w:val="none"/>
        </w:rPr>
        <w:t>3.1 符合《中华人民共和国政府采购法实施条例》第十八条的规定：</w:t>
      </w:r>
    </w:p>
    <w:p>
      <w:pPr>
        <w:spacing w:line="360" w:lineRule="auto"/>
        <w:ind w:firstLine="480" w:firstLineChars="200"/>
        <w:rPr>
          <w:rFonts w:ascii="宋体" w:hAnsi="宋体" w:cs="宋体"/>
          <w:highlight w:val="none"/>
        </w:rPr>
      </w:pPr>
      <w:r>
        <w:rPr>
          <w:rFonts w:hint="eastAsia" w:ascii="宋体" w:hAnsi="宋体" w:cs="宋体"/>
          <w:highlight w:val="none"/>
        </w:rPr>
        <w:t>3.1.1 单位负责人为同一人或者存在直接控股、管理关系的不同供应商，不得参加同一合同项下的政府采购活动；</w:t>
      </w:r>
    </w:p>
    <w:p>
      <w:pPr>
        <w:spacing w:line="360" w:lineRule="auto"/>
        <w:ind w:firstLine="480" w:firstLineChars="200"/>
        <w:rPr>
          <w:rFonts w:ascii="宋体" w:hAnsi="宋体" w:cs="宋体"/>
          <w:highlight w:val="none"/>
        </w:rPr>
      </w:pPr>
      <w:r>
        <w:rPr>
          <w:rFonts w:hint="eastAsia" w:ascii="宋体" w:hAnsi="宋体" w:cs="宋体"/>
          <w:highlight w:val="none"/>
        </w:rPr>
        <w:t>3.1.2 除单一来源采购项目外，为采购项目提供整体设计、规范编制或者项目管理、监理、检测等服务的供应商，不得再参加该采购项目的其他采购活动。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2</w:t>
      </w:r>
      <w:r>
        <w:rPr>
          <w:rFonts w:hint="eastAsia" w:ascii="宋体" w:hAnsi="宋体" w:cs="宋体"/>
          <w:highlight w:val="none"/>
        </w:rPr>
        <w:t xml:space="preserve"> 供应商未被列入“信用中国”网站(www.creditchina.gov.cn)</w:t>
      </w:r>
      <w:r>
        <w:rPr>
          <w:rFonts w:hint="eastAsia" w:ascii="宋体" w:hAnsi="宋体" w:cs="宋体"/>
          <w:highlight w:val="none"/>
          <w:lang w:eastAsia="zh-CN"/>
        </w:rPr>
        <w:t>“记录失信被执行人或税收违法黑名单”</w:t>
      </w:r>
      <w:r>
        <w:rPr>
          <w:rFonts w:hint="eastAsia" w:ascii="宋体" w:hAnsi="宋体" w:cs="宋体"/>
          <w:highlight w:val="none"/>
        </w:rPr>
        <w:t>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Pr>
        <w:spacing w:line="360" w:lineRule="auto"/>
        <w:ind w:firstLine="480" w:firstLineChars="200"/>
        <w:rPr>
          <w:rFonts w:ascii="宋体" w:hAnsi="宋体" w:cs="宋体"/>
          <w:highlight w:val="none"/>
        </w:rPr>
      </w:pPr>
      <w:r>
        <w:rPr>
          <w:rFonts w:hint="eastAsia" w:ascii="宋体" w:hAnsi="宋体" w:cs="宋体"/>
          <w:highlight w:val="none"/>
        </w:rPr>
        <w:t>若供应商属于“信用中国”网站(www.creditchina.gov.cn)信息尚未覆盖的行业或单位（建议供应商先自行到该网站查询确认本行业或单位是否已被覆盖），供应商须提供书面承诺对自身可能存在的失信行为所导致的后果承担一切法律责任。</w:t>
      </w:r>
    </w:p>
    <w:p>
      <w:pPr>
        <w:spacing w:line="360" w:lineRule="auto"/>
        <w:ind w:firstLine="48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3</w:t>
      </w:r>
      <w:r>
        <w:rPr>
          <w:rFonts w:hint="eastAsia" w:ascii="宋体" w:hAnsi="宋体" w:cs="宋体"/>
          <w:highlight w:val="none"/>
        </w:rPr>
        <w:t xml:space="preserve"> 本项目不接受联合体投标</w:t>
      </w:r>
    </w:p>
    <w:p>
      <w:pPr>
        <w:spacing w:line="360" w:lineRule="auto"/>
        <w:ind w:firstLine="48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3.4 已登记报名并获取本项目采购文件</w:t>
      </w:r>
    </w:p>
    <w:p>
      <w:pPr>
        <w:pStyle w:val="3"/>
        <w:tabs>
          <w:tab w:val="left" w:pos="239"/>
        </w:tabs>
        <w:spacing w:before="360" w:after="120" w:line="360" w:lineRule="auto"/>
        <w:rPr>
          <w:rFonts w:ascii="宋体" w:hAnsi="宋体" w:eastAsia="宋体" w:cs="宋体"/>
          <w:bCs/>
          <w:highlight w:val="none"/>
        </w:rPr>
      </w:pPr>
      <w:bookmarkStart w:id="16" w:name="_Toc35393631"/>
      <w:bookmarkStart w:id="17" w:name="_Toc35393800"/>
      <w:r>
        <w:rPr>
          <w:rFonts w:hint="eastAsia" w:ascii="宋体" w:hAnsi="宋体" w:eastAsia="宋体" w:cs="宋体"/>
          <w:bCs/>
          <w:highlight w:val="none"/>
        </w:rPr>
        <w:t>三、获取</w:t>
      </w:r>
      <w:bookmarkEnd w:id="14"/>
      <w:bookmarkEnd w:id="15"/>
      <w:bookmarkEnd w:id="16"/>
      <w:bookmarkEnd w:id="17"/>
      <w:r>
        <w:rPr>
          <w:rFonts w:hint="eastAsia" w:ascii="宋体" w:hAnsi="宋体" w:eastAsia="宋体" w:cs="宋体"/>
          <w:bCs/>
          <w:highlight w:val="none"/>
        </w:rPr>
        <w:t>公开招标文件</w:t>
      </w:r>
    </w:p>
    <w:p>
      <w:pPr>
        <w:spacing w:line="360" w:lineRule="auto"/>
        <w:ind w:firstLine="540"/>
        <w:rPr>
          <w:rFonts w:ascii="宋体" w:hAnsi="宋体" w:cs="宋体"/>
          <w:highlight w:val="none"/>
        </w:rPr>
      </w:pPr>
      <w:r>
        <w:rPr>
          <w:rFonts w:hint="eastAsia" w:ascii="宋体" w:hAnsi="宋体" w:cs="宋体"/>
          <w:highlight w:val="none"/>
        </w:rPr>
        <w:t>时间：</w:t>
      </w:r>
      <w:r>
        <w:rPr>
          <w:rFonts w:hint="eastAsia" w:ascii="宋体" w:hAnsi="宋体" w:cs="宋体"/>
          <w:highlight w:val="none"/>
          <w:u w:val="single"/>
        </w:rPr>
        <w:t>2022年</w:t>
      </w:r>
      <w:r>
        <w:rPr>
          <w:rFonts w:hint="eastAsia" w:ascii="宋体" w:hAnsi="宋体" w:cs="宋体"/>
          <w:highlight w:val="none"/>
          <w:u w:val="single"/>
          <w:lang w:val="en-US" w:eastAsia="zh-CN"/>
        </w:rPr>
        <w:t>06</w:t>
      </w:r>
      <w:r>
        <w:rPr>
          <w:rFonts w:hint="eastAsia" w:ascii="宋体" w:hAnsi="宋体" w:cs="宋体"/>
          <w:highlight w:val="none"/>
          <w:u w:val="single"/>
        </w:rPr>
        <w:t>月</w:t>
      </w:r>
      <w:r>
        <w:rPr>
          <w:rFonts w:hint="eastAsia" w:ascii="宋体" w:hAnsi="宋体" w:cs="宋体"/>
          <w:highlight w:val="none"/>
          <w:u w:val="single"/>
          <w:lang w:val="en-US" w:eastAsia="zh-CN"/>
        </w:rPr>
        <w:t>28</w:t>
      </w:r>
      <w:r>
        <w:rPr>
          <w:rFonts w:hint="eastAsia" w:ascii="宋体" w:hAnsi="宋体" w:cs="宋体"/>
          <w:highlight w:val="none"/>
          <w:u w:val="single"/>
        </w:rPr>
        <w:t>日</w:t>
      </w:r>
      <w:r>
        <w:rPr>
          <w:rFonts w:hint="eastAsia" w:ascii="宋体" w:hAnsi="宋体" w:cs="宋体"/>
          <w:highlight w:val="none"/>
        </w:rPr>
        <w:t>至</w:t>
      </w:r>
      <w:r>
        <w:rPr>
          <w:rFonts w:hint="eastAsia" w:ascii="宋体" w:hAnsi="宋体" w:cs="宋体"/>
          <w:highlight w:val="none"/>
          <w:u w:val="single"/>
        </w:rPr>
        <w:t>2022年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04</w:t>
      </w:r>
      <w:r>
        <w:rPr>
          <w:rFonts w:hint="eastAsia" w:ascii="宋体" w:hAnsi="宋体" w:cs="宋体"/>
          <w:highlight w:val="none"/>
          <w:u w:val="single"/>
        </w:rPr>
        <w:t>日</w:t>
      </w:r>
      <w:r>
        <w:rPr>
          <w:rFonts w:hint="eastAsia" w:ascii="宋体" w:hAnsi="宋体" w:cs="宋体"/>
          <w:highlight w:val="none"/>
        </w:rPr>
        <w:t>，每天上午</w:t>
      </w:r>
      <w:r>
        <w:rPr>
          <w:rFonts w:hint="eastAsia" w:ascii="宋体" w:hAnsi="宋体" w:cs="宋体"/>
          <w:highlight w:val="none"/>
          <w:u w:val="single"/>
          <w:lang w:val="en-US" w:eastAsia="zh-CN"/>
        </w:rPr>
        <w:t>08</w:t>
      </w:r>
      <w:r>
        <w:rPr>
          <w:rFonts w:hint="eastAsia" w:ascii="宋体" w:hAnsi="宋体" w:cs="宋体"/>
          <w:highlight w:val="none"/>
          <w:u w:val="single"/>
        </w:rPr>
        <w:t>:</w:t>
      </w:r>
      <w:r>
        <w:rPr>
          <w:rFonts w:hint="eastAsia" w:ascii="宋体" w:hAnsi="宋体" w:cs="宋体"/>
          <w:highlight w:val="none"/>
          <w:u w:val="single"/>
          <w:lang w:val="en-US" w:eastAsia="zh-CN"/>
        </w:rPr>
        <w:t>3</w:t>
      </w:r>
      <w:r>
        <w:rPr>
          <w:rFonts w:hint="eastAsia" w:ascii="宋体" w:hAnsi="宋体" w:cs="宋体"/>
          <w:highlight w:val="none"/>
          <w:u w:val="single"/>
        </w:rPr>
        <w:t>0:00</w:t>
      </w:r>
      <w:r>
        <w:rPr>
          <w:rFonts w:hint="eastAsia" w:ascii="宋体" w:hAnsi="宋体" w:cs="宋体"/>
          <w:highlight w:val="none"/>
        </w:rPr>
        <w:t>至</w:t>
      </w:r>
      <w:r>
        <w:rPr>
          <w:rFonts w:hint="eastAsia" w:ascii="宋体" w:hAnsi="宋体" w:cs="宋体"/>
          <w:highlight w:val="none"/>
          <w:u w:val="single"/>
        </w:rPr>
        <w:t>12:00:00</w:t>
      </w:r>
      <w:r>
        <w:rPr>
          <w:rFonts w:hint="eastAsia" w:ascii="宋体" w:hAnsi="宋体" w:cs="宋体"/>
          <w:highlight w:val="none"/>
        </w:rPr>
        <w:t>，下午</w:t>
      </w:r>
      <w:r>
        <w:rPr>
          <w:rFonts w:hint="eastAsia" w:ascii="宋体" w:hAnsi="宋体" w:cs="宋体"/>
          <w:highlight w:val="none"/>
          <w:u w:val="single"/>
        </w:rPr>
        <w:t>14:30:00</w:t>
      </w:r>
      <w:r>
        <w:rPr>
          <w:rFonts w:hint="eastAsia" w:ascii="宋体" w:hAnsi="宋体" w:cs="宋体"/>
          <w:highlight w:val="none"/>
        </w:rPr>
        <w:t>至</w:t>
      </w:r>
      <w:r>
        <w:rPr>
          <w:rFonts w:hint="eastAsia" w:ascii="宋体" w:hAnsi="宋体" w:cs="宋体"/>
          <w:highlight w:val="none"/>
          <w:u w:val="single"/>
        </w:rPr>
        <w:t>17:</w:t>
      </w:r>
      <w:r>
        <w:rPr>
          <w:rFonts w:hint="eastAsia" w:ascii="宋体" w:hAnsi="宋体" w:cs="宋体"/>
          <w:highlight w:val="none"/>
          <w:u w:val="single"/>
          <w:lang w:val="en-US" w:eastAsia="zh-CN"/>
        </w:rPr>
        <w:t>3</w:t>
      </w:r>
      <w:r>
        <w:rPr>
          <w:rFonts w:hint="eastAsia" w:ascii="宋体" w:hAnsi="宋体" w:cs="宋体"/>
          <w:highlight w:val="none"/>
          <w:u w:val="single"/>
        </w:rPr>
        <w:t>0:00</w:t>
      </w:r>
      <w:r>
        <w:rPr>
          <w:rFonts w:hint="eastAsia" w:ascii="宋体" w:hAnsi="宋体" w:cs="宋体"/>
          <w:highlight w:val="none"/>
        </w:rPr>
        <w:t>（北京时间，法定节假日除外）</w:t>
      </w:r>
    </w:p>
    <w:p>
      <w:pPr>
        <w:spacing w:line="360" w:lineRule="auto"/>
        <w:ind w:firstLine="540"/>
        <w:rPr>
          <w:rFonts w:ascii="宋体" w:hAnsi="宋体" w:cs="宋体"/>
          <w:highlight w:val="none"/>
          <w:u w:val="single"/>
        </w:rPr>
      </w:pPr>
      <w:r>
        <w:rPr>
          <w:rFonts w:hint="eastAsia" w:ascii="宋体" w:hAnsi="宋体" w:cs="宋体"/>
          <w:highlight w:val="none"/>
        </w:rPr>
        <w:t>获取地点：线下获取（</w:t>
      </w:r>
      <w:r>
        <w:rPr>
          <w:rFonts w:hint="eastAsia" w:ascii="宋体" w:hAnsi="宋体" w:cs="宋体"/>
          <w:highlight w:val="none"/>
          <w:lang w:eastAsia="zh-CN"/>
        </w:rPr>
        <w:t>广东省潮州市湘桥区潮枫路223号新时空大厦8楼公诚咨询</w:t>
      </w:r>
      <w:r>
        <w:rPr>
          <w:rFonts w:hint="eastAsia" w:ascii="宋体" w:hAnsi="宋体" w:cs="宋体"/>
          <w:highlight w:val="none"/>
        </w:rPr>
        <w:t>）</w:t>
      </w:r>
    </w:p>
    <w:p>
      <w:pPr>
        <w:spacing w:line="360" w:lineRule="auto"/>
        <w:ind w:firstLine="540"/>
        <w:rPr>
          <w:rFonts w:hint="default" w:ascii="宋体" w:hAnsi="宋体" w:eastAsia="宋体" w:cs="宋体"/>
          <w:highlight w:val="none"/>
          <w:u w:val="single"/>
          <w:lang w:val="en-US" w:eastAsia="zh-CN"/>
        </w:rPr>
      </w:pPr>
      <w:r>
        <w:rPr>
          <w:rFonts w:hint="eastAsia" w:ascii="宋体" w:hAnsi="宋体" w:cs="宋体"/>
          <w:highlight w:val="none"/>
        </w:rPr>
        <w:t>方式：本项目采用现场</w:t>
      </w:r>
      <w:r>
        <w:rPr>
          <w:rFonts w:hint="eastAsia" w:ascii="宋体" w:hAnsi="宋体" w:cs="宋体"/>
          <w:highlight w:val="none"/>
          <w:lang w:val="en-US" w:eastAsia="zh-CN"/>
        </w:rPr>
        <w:t>获取</w:t>
      </w:r>
      <w:r>
        <w:rPr>
          <w:rFonts w:hint="eastAsia" w:ascii="宋体" w:hAnsi="宋体" w:cs="宋体"/>
          <w:highlight w:val="none"/>
        </w:rPr>
        <w:t>的形式。本项目为资格后审，</w:t>
      </w:r>
      <w:r>
        <w:rPr>
          <w:rFonts w:hint="eastAsia" w:ascii="宋体" w:hAnsi="宋体" w:cs="宋体"/>
          <w:highlight w:val="none"/>
          <w:lang w:val="en-US" w:eastAsia="zh-CN"/>
        </w:rPr>
        <w:t>获取文件</w:t>
      </w:r>
      <w:r>
        <w:rPr>
          <w:rFonts w:hint="eastAsia" w:ascii="宋体" w:hAnsi="宋体" w:cs="宋体"/>
          <w:highlight w:val="none"/>
        </w:rPr>
        <w:t>时提交的资料查验不代表资格审查的最终通过或合格。现场</w:t>
      </w:r>
      <w:r>
        <w:rPr>
          <w:rFonts w:hint="eastAsia" w:ascii="宋体" w:hAnsi="宋体" w:cs="宋体"/>
          <w:highlight w:val="none"/>
          <w:lang w:val="en-US" w:eastAsia="zh-CN"/>
        </w:rPr>
        <w:t>获取文件</w:t>
      </w:r>
      <w:r>
        <w:rPr>
          <w:rFonts w:hint="eastAsia" w:ascii="宋体" w:hAnsi="宋体" w:cs="宋体"/>
          <w:highlight w:val="none"/>
        </w:rPr>
        <w:t>的</w:t>
      </w:r>
      <w:r>
        <w:rPr>
          <w:rFonts w:hint="eastAsia" w:ascii="宋体" w:hAnsi="宋体" w:cs="宋体"/>
          <w:highlight w:val="none"/>
          <w:lang w:val="en-US" w:eastAsia="zh-CN"/>
        </w:rPr>
        <w:t>潜在</w:t>
      </w:r>
      <w:r>
        <w:rPr>
          <w:rFonts w:hint="eastAsia" w:ascii="宋体" w:hAnsi="宋体" w:cs="宋体"/>
          <w:highlight w:val="none"/>
        </w:rPr>
        <w:t>投标人请在规定时间内携带加盖单位公章的以下资料复印件：营业执照、法定代表人</w:t>
      </w:r>
      <w:r>
        <w:rPr>
          <w:rFonts w:hint="eastAsia" w:ascii="宋体" w:hAnsi="宋体" w:cs="宋体"/>
          <w:highlight w:val="none"/>
          <w:lang w:eastAsia="zh-CN"/>
        </w:rPr>
        <w:t>（</w:t>
      </w:r>
      <w:r>
        <w:rPr>
          <w:rFonts w:hint="eastAsia" w:ascii="宋体" w:hAnsi="宋体" w:cs="宋体"/>
          <w:highlight w:val="none"/>
          <w:lang w:val="en-US" w:eastAsia="zh-CN"/>
        </w:rPr>
        <w:t>或负责人）</w:t>
      </w:r>
      <w:r>
        <w:rPr>
          <w:rFonts w:hint="eastAsia" w:ascii="宋体" w:hAnsi="宋体" w:cs="宋体"/>
          <w:highlight w:val="none"/>
        </w:rPr>
        <w:t>证明</w:t>
      </w:r>
      <w:r>
        <w:rPr>
          <w:rFonts w:hint="eastAsia" w:ascii="宋体" w:hAnsi="宋体" w:cs="宋体"/>
          <w:highlight w:val="none"/>
          <w:lang w:val="en-US" w:eastAsia="zh-CN"/>
        </w:rPr>
        <w:t>书【须附法定代表人</w:t>
      </w:r>
      <w:r>
        <w:rPr>
          <w:rFonts w:hint="eastAsia" w:ascii="宋体" w:hAnsi="宋体" w:cs="宋体"/>
          <w:highlight w:val="none"/>
          <w:lang w:eastAsia="zh-CN"/>
        </w:rPr>
        <w:t>（</w:t>
      </w:r>
      <w:r>
        <w:rPr>
          <w:rFonts w:hint="eastAsia" w:ascii="宋体" w:hAnsi="宋体" w:cs="宋体"/>
          <w:highlight w:val="none"/>
          <w:lang w:val="en-US" w:eastAsia="zh-CN"/>
        </w:rPr>
        <w:t>或负责人）身份证复印件】</w:t>
      </w:r>
      <w:r>
        <w:rPr>
          <w:rFonts w:hint="eastAsia" w:ascii="宋体" w:hAnsi="宋体" w:cs="宋体"/>
          <w:highlight w:val="none"/>
          <w:lang w:eastAsia="zh-CN"/>
        </w:rPr>
        <w:t>、</w:t>
      </w:r>
      <w:r>
        <w:rPr>
          <w:rFonts w:hint="eastAsia" w:ascii="宋体" w:hAnsi="宋体" w:cs="宋体"/>
          <w:highlight w:val="none"/>
        </w:rPr>
        <w:t>法定代表人</w:t>
      </w:r>
      <w:r>
        <w:rPr>
          <w:rFonts w:hint="eastAsia" w:ascii="宋体" w:hAnsi="宋体" w:cs="宋体"/>
          <w:highlight w:val="none"/>
          <w:lang w:eastAsia="zh-CN"/>
        </w:rPr>
        <w:t>（</w:t>
      </w:r>
      <w:r>
        <w:rPr>
          <w:rFonts w:hint="eastAsia" w:ascii="宋体" w:hAnsi="宋体" w:cs="宋体"/>
          <w:highlight w:val="none"/>
          <w:lang w:val="en-US" w:eastAsia="zh-CN"/>
        </w:rPr>
        <w:t>或负责人）</w:t>
      </w:r>
      <w:r>
        <w:rPr>
          <w:rFonts w:hint="eastAsia" w:ascii="宋体" w:hAnsi="宋体" w:cs="宋体"/>
          <w:highlight w:val="none"/>
        </w:rPr>
        <w:t>授权委托书（授权书须附授权代理人身份证复印件）。</w:t>
      </w:r>
      <w:r>
        <w:rPr>
          <w:rFonts w:hint="eastAsia" w:ascii="宋体" w:hAnsi="宋体" w:cs="宋体"/>
          <w:highlight w:val="none"/>
          <w:lang w:val="en-US" w:eastAsia="zh-CN"/>
        </w:rPr>
        <w:t>如获取文件的为法定代表人，可不提供</w:t>
      </w:r>
      <w:r>
        <w:rPr>
          <w:rFonts w:hint="eastAsia" w:ascii="宋体" w:hAnsi="宋体" w:cs="宋体"/>
          <w:highlight w:val="none"/>
        </w:rPr>
        <w:t>法定代表人授权委托书</w:t>
      </w:r>
    </w:p>
    <w:p>
      <w:pPr>
        <w:spacing w:line="360" w:lineRule="auto"/>
        <w:ind w:firstLine="540"/>
        <w:rPr>
          <w:rFonts w:ascii="宋体" w:hAnsi="宋体" w:cs="宋体"/>
          <w:highlight w:val="none"/>
        </w:rPr>
      </w:pPr>
      <w:r>
        <w:rPr>
          <w:rFonts w:hint="eastAsia" w:ascii="宋体" w:hAnsi="宋体" w:cs="宋体"/>
          <w:highlight w:val="none"/>
        </w:rPr>
        <w:t>售价：￥</w:t>
      </w:r>
      <w:r>
        <w:rPr>
          <w:rFonts w:hint="eastAsia" w:ascii="宋体" w:hAnsi="宋体" w:cs="宋体"/>
          <w:highlight w:val="none"/>
          <w:lang w:val="en-US" w:eastAsia="zh-CN"/>
        </w:rPr>
        <w:t>0</w:t>
      </w:r>
      <w:r>
        <w:rPr>
          <w:rFonts w:hint="eastAsia" w:ascii="宋体" w:hAnsi="宋体" w:cs="宋体"/>
          <w:highlight w:val="none"/>
        </w:rPr>
        <w:t>.00元</w:t>
      </w:r>
      <w:r>
        <w:rPr>
          <w:rFonts w:hint="eastAsia"/>
          <w:highlight w:val="none"/>
        </w:rPr>
        <w:t>，本公告包含的招标文件售价总和</w:t>
      </w:r>
    </w:p>
    <w:p>
      <w:pPr>
        <w:pStyle w:val="3"/>
        <w:tabs>
          <w:tab w:val="left" w:pos="239"/>
        </w:tabs>
        <w:spacing w:before="360" w:after="120" w:line="360" w:lineRule="auto"/>
        <w:rPr>
          <w:rFonts w:ascii="宋体" w:hAnsi="宋体" w:eastAsia="宋体" w:cs="宋体"/>
          <w:bCs/>
          <w:highlight w:val="none"/>
        </w:rPr>
      </w:pPr>
      <w:bookmarkStart w:id="18" w:name="_Toc35393801"/>
      <w:bookmarkStart w:id="19" w:name="_Toc35393632"/>
      <w:bookmarkStart w:id="20" w:name="_Toc28359015"/>
      <w:bookmarkStart w:id="21" w:name="_Toc28359092"/>
      <w:r>
        <w:rPr>
          <w:rFonts w:hint="eastAsia" w:ascii="宋体" w:hAnsi="宋体" w:eastAsia="宋体" w:cs="宋体"/>
          <w:bCs/>
          <w:highlight w:val="none"/>
        </w:rPr>
        <w:t>四、</w:t>
      </w:r>
      <w:bookmarkEnd w:id="18"/>
      <w:bookmarkEnd w:id="19"/>
      <w:bookmarkEnd w:id="20"/>
      <w:bookmarkEnd w:id="21"/>
      <w:r>
        <w:rPr>
          <w:rFonts w:hint="eastAsia" w:ascii="宋体" w:hAnsi="宋体" w:eastAsia="宋体" w:cs="宋体"/>
          <w:bCs/>
          <w:highlight w:val="none"/>
        </w:rPr>
        <w:t>提交投标文件截止时间、开标时间和地点</w:t>
      </w:r>
    </w:p>
    <w:p>
      <w:pPr>
        <w:spacing w:line="360" w:lineRule="auto"/>
        <w:ind w:firstLine="480" w:firstLineChars="200"/>
        <w:rPr>
          <w:rFonts w:ascii="宋体" w:hAnsi="宋体" w:cs="宋体"/>
          <w:highlight w:val="none"/>
        </w:rPr>
      </w:pPr>
      <w:r>
        <w:rPr>
          <w:rFonts w:hint="eastAsia" w:ascii="宋体" w:hAnsi="宋体" w:cs="宋体"/>
          <w:highlight w:val="none"/>
        </w:rPr>
        <w:t>提交投标文件截止时间：</w:t>
      </w:r>
      <w:r>
        <w:rPr>
          <w:rFonts w:hint="eastAsia" w:ascii="宋体" w:hAnsi="宋体" w:cs="宋体"/>
          <w:highlight w:val="none"/>
          <w:u w:val="single"/>
          <w:lang w:eastAsia="zh-CN"/>
        </w:rPr>
        <w:t>2022年0</w:t>
      </w:r>
      <w:r>
        <w:rPr>
          <w:rFonts w:hint="eastAsia" w:ascii="宋体" w:hAnsi="宋体" w:cs="宋体"/>
          <w:highlight w:val="none"/>
          <w:u w:val="single"/>
          <w:lang w:val="en-US" w:eastAsia="zh-CN"/>
        </w:rPr>
        <w:t>7</w:t>
      </w:r>
      <w:r>
        <w:rPr>
          <w:rFonts w:hint="eastAsia" w:ascii="宋体" w:hAnsi="宋体" w:cs="宋体"/>
          <w:highlight w:val="none"/>
          <w:u w:val="single"/>
          <w:lang w:eastAsia="zh-CN"/>
        </w:rPr>
        <w:t>月</w:t>
      </w:r>
      <w:r>
        <w:rPr>
          <w:rFonts w:hint="eastAsia" w:ascii="宋体" w:hAnsi="宋体" w:cs="宋体"/>
          <w:highlight w:val="none"/>
          <w:u w:val="single"/>
          <w:lang w:val="en-US" w:eastAsia="zh-CN"/>
        </w:rPr>
        <w:t>19</w:t>
      </w:r>
      <w:r>
        <w:rPr>
          <w:rFonts w:hint="eastAsia" w:ascii="宋体" w:hAnsi="宋体" w:cs="宋体"/>
          <w:highlight w:val="none"/>
          <w:u w:val="single"/>
          <w:lang w:eastAsia="zh-CN"/>
        </w:rPr>
        <w:t>日09</w:t>
      </w:r>
      <w:r>
        <w:rPr>
          <w:rFonts w:hint="eastAsia" w:ascii="宋体" w:hAnsi="宋体" w:cs="宋体"/>
          <w:highlight w:val="none"/>
          <w:u w:val="single"/>
          <w:lang w:val="en-US" w:eastAsia="zh-CN"/>
        </w:rPr>
        <w:t>时</w:t>
      </w:r>
      <w:r>
        <w:rPr>
          <w:rFonts w:hint="eastAsia" w:ascii="宋体" w:hAnsi="宋体" w:cs="宋体"/>
          <w:highlight w:val="none"/>
          <w:u w:val="single"/>
          <w:lang w:eastAsia="zh-CN"/>
        </w:rPr>
        <w:t>00分</w:t>
      </w:r>
      <w:r>
        <w:rPr>
          <w:rFonts w:hint="eastAsia" w:ascii="宋体" w:hAnsi="宋体" w:cs="宋体"/>
          <w:highlight w:val="none"/>
        </w:rPr>
        <w:t>（北京时间）</w:t>
      </w:r>
    </w:p>
    <w:p>
      <w:pPr>
        <w:spacing w:line="360" w:lineRule="auto"/>
        <w:ind w:firstLine="480" w:firstLineChars="200"/>
        <w:rPr>
          <w:rFonts w:ascii="宋体" w:hAnsi="宋体" w:cs="宋体"/>
          <w:highlight w:val="none"/>
        </w:rPr>
      </w:pPr>
      <w:r>
        <w:rPr>
          <w:rFonts w:hint="eastAsia" w:ascii="宋体" w:hAnsi="宋体" w:cs="宋体"/>
          <w:highlight w:val="none"/>
        </w:rPr>
        <w:t>开标时间：</w:t>
      </w:r>
      <w:r>
        <w:rPr>
          <w:rFonts w:hint="eastAsia" w:ascii="宋体" w:hAnsi="宋体" w:cs="宋体"/>
          <w:highlight w:val="none"/>
          <w:u w:val="single"/>
          <w:lang w:eastAsia="zh-CN"/>
        </w:rPr>
        <w:t>2022年0</w:t>
      </w:r>
      <w:r>
        <w:rPr>
          <w:rFonts w:hint="eastAsia" w:ascii="宋体" w:hAnsi="宋体" w:cs="宋体"/>
          <w:highlight w:val="none"/>
          <w:u w:val="single"/>
          <w:lang w:val="en-US" w:eastAsia="zh-CN"/>
        </w:rPr>
        <w:t>7</w:t>
      </w:r>
      <w:r>
        <w:rPr>
          <w:rFonts w:hint="eastAsia" w:ascii="宋体" w:hAnsi="宋体" w:cs="宋体"/>
          <w:highlight w:val="none"/>
          <w:u w:val="single"/>
          <w:lang w:eastAsia="zh-CN"/>
        </w:rPr>
        <w:t>月</w:t>
      </w:r>
      <w:r>
        <w:rPr>
          <w:rFonts w:hint="eastAsia" w:ascii="宋体" w:hAnsi="宋体" w:cs="宋体"/>
          <w:highlight w:val="none"/>
          <w:u w:val="single"/>
          <w:lang w:val="en-US" w:eastAsia="zh-CN"/>
        </w:rPr>
        <w:t>19</w:t>
      </w:r>
      <w:r>
        <w:rPr>
          <w:rFonts w:hint="eastAsia" w:ascii="宋体" w:hAnsi="宋体" w:cs="宋体"/>
          <w:highlight w:val="none"/>
          <w:u w:val="single"/>
          <w:lang w:eastAsia="zh-CN"/>
        </w:rPr>
        <w:t>日09</w:t>
      </w:r>
      <w:r>
        <w:rPr>
          <w:rFonts w:hint="eastAsia" w:ascii="宋体" w:hAnsi="宋体" w:cs="宋体"/>
          <w:highlight w:val="none"/>
          <w:u w:val="single"/>
          <w:lang w:val="en-US" w:eastAsia="zh-CN"/>
        </w:rPr>
        <w:t>时</w:t>
      </w:r>
      <w:r>
        <w:rPr>
          <w:rFonts w:hint="eastAsia" w:ascii="宋体" w:hAnsi="宋体" w:cs="宋体"/>
          <w:highlight w:val="none"/>
          <w:u w:val="single"/>
          <w:lang w:eastAsia="zh-CN"/>
        </w:rPr>
        <w:t>00分</w:t>
      </w:r>
      <w:r>
        <w:rPr>
          <w:rFonts w:hint="eastAsia" w:ascii="宋体" w:hAnsi="宋体" w:cs="宋体"/>
          <w:highlight w:val="none"/>
        </w:rPr>
        <w:t>（北京时间）</w:t>
      </w:r>
    </w:p>
    <w:p>
      <w:pPr>
        <w:spacing w:line="360" w:lineRule="auto"/>
        <w:ind w:firstLine="480" w:firstLineChars="200"/>
        <w:rPr>
          <w:rFonts w:ascii="宋体" w:hAnsi="宋体" w:cs="宋体"/>
          <w:bCs/>
          <w:highlight w:val="none"/>
          <w:u w:val="single"/>
        </w:rPr>
      </w:pPr>
      <w:r>
        <w:rPr>
          <w:rFonts w:hint="eastAsia" w:ascii="宋体" w:hAnsi="宋体" w:cs="宋体"/>
          <w:highlight w:val="none"/>
        </w:rPr>
        <w:t>地点：</w:t>
      </w:r>
      <w:r>
        <w:rPr>
          <w:rFonts w:hint="eastAsia" w:ascii="宋体" w:hAnsi="宋体" w:cs="宋体"/>
          <w:highlight w:val="none"/>
          <w:lang w:eastAsia="zh-CN"/>
        </w:rPr>
        <w:t>广东省潮州市湘桥区潮枫路223号新时空大厦8楼公诚咨询</w:t>
      </w:r>
      <w:r>
        <w:rPr>
          <w:rFonts w:hint="eastAsia" w:ascii="宋体" w:hAnsi="宋体" w:cs="宋体"/>
          <w:highlight w:val="none"/>
        </w:rPr>
        <w:t>开标室</w:t>
      </w:r>
    </w:p>
    <w:p>
      <w:pPr>
        <w:pStyle w:val="3"/>
        <w:tabs>
          <w:tab w:val="left" w:pos="239"/>
        </w:tabs>
        <w:spacing w:before="360" w:after="120" w:line="360" w:lineRule="auto"/>
        <w:rPr>
          <w:rFonts w:ascii="宋体" w:hAnsi="宋体" w:eastAsia="宋体" w:cs="宋体"/>
          <w:bCs/>
          <w:highlight w:val="none"/>
        </w:rPr>
      </w:pPr>
      <w:bookmarkStart w:id="22" w:name="_Toc35393802"/>
      <w:bookmarkStart w:id="23" w:name="_Toc28359093"/>
      <w:bookmarkStart w:id="24" w:name="_Toc35393633"/>
      <w:bookmarkStart w:id="25" w:name="_Toc28359016"/>
      <w:r>
        <w:rPr>
          <w:rFonts w:hint="eastAsia" w:ascii="宋体" w:hAnsi="宋体" w:eastAsia="宋体" w:cs="宋体"/>
          <w:bCs/>
          <w:highlight w:val="none"/>
        </w:rPr>
        <w:t>五、公告期限</w:t>
      </w:r>
      <w:bookmarkEnd w:id="22"/>
      <w:bookmarkEnd w:id="23"/>
      <w:bookmarkEnd w:id="24"/>
      <w:bookmarkEnd w:id="25"/>
    </w:p>
    <w:p>
      <w:pPr>
        <w:spacing w:line="360" w:lineRule="auto"/>
        <w:ind w:firstLine="480" w:firstLineChars="200"/>
        <w:rPr>
          <w:rFonts w:ascii="宋体" w:hAnsi="宋体" w:cs="宋体"/>
          <w:bCs/>
          <w:highlight w:val="none"/>
          <w:u w:val="single"/>
        </w:rPr>
      </w:pPr>
      <w:r>
        <w:rPr>
          <w:rFonts w:hint="eastAsia" w:ascii="宋体" w:hAnsi="宋体" w:cs="宋体"/>
          <w:highlight w:val="none"/>
        </w:rPr>
        <w:t>自本公告发布之日起 5 个工作日。</w:t>
      </w:r>
    </w:p>
    <w:p>
      <w:pPr>
        <w:pStyle w:val="3"/>
        <w:tabs>
          <w:tab w:val="left" w:pos="239"/>
        </w:tabs>
        <w:spacing w:before="360" w:after="120" w:line="360" w:lineRule="auto"/>
        <w:rPr>
          <w:rFonts w:ascii="宋体" w:hAnsi="宋体" w:eastAsia="宋体" w:cs="宋体"/>
          <w:bCs/>
          <w:highlight w:val="none"/>
        </w:rPr>
      </w:pPr>
      <w:bookmarkStart w:id="26" w:name="_Toc35393635"/>
      <w:bookmarkStart w:id="27" w:name="_Toc35393804"/>
      <w:r>
        <w:rPr>
          <w:rFonts w:hint="eastAsia" w:ascii="宋体" w:hAnsi="宋体" w:eastAsia="宋体" w:cs="宋体"/>
          <w:bCs/>
          <w:highlight w:val="none"/>
        </w:rPr>
        <w:t>六、其他补充事宜</w:t>
      </w:r>
      <w:bookmarkEnd w:id="26"/>
      <w:bookmarkEnd w:id="27"/>
    </w:p>
    <w:p>
      <w:pPr>
        <w:spacing w:line="360" w:lineRule="auto"/>
        <w:ind w:firstLine="480" w:firstLineChars="200"/>
        <w:rPr>
          <w:rFonts w:hint="eastAsia" w:ascii="宋体" w:hAnsi="宋体" w:cs="宋体"/>
          <w:highlight w:val="none"/>
        </w:rPr>
      </w:pPr>
      <w:r>
        <w:rPr>
          <w:rFonts w:hint="eastAsia" w:ascii="宋体" w:hAnsi="宋体" w:cs="宋体"/>
          <w:highlight w:val="none"/>
        </w:rPr>
        <w:t>1.本项目需要落实的政府采购政策：《政府采购促进中小企业发展管理办法》（财库﹝2020﹞46号）、《关于政府采购支持监狱企业发展有关问题的通知》(财库[2014]68号)、《三部门联合发布关于促进残疾人就业政府采购政策的通知》（财库〔2017〕141号）、《关于环境标志产品政府采购实施的意见》（财库〔2006〕90 号）、《节能产品政府采购实施意见》的通知（财库〔2004〕185 号）、《关于调整优化节能产品、环境标志产品政府采购执行机制的通知》（财库〔2019〕9 号）、关于印发节能产品政府采购品目清单的通知（财库〔2019〕19号）等。</w:t>
      </w:r>
    </w:p>
    <w:p>
      <w:pPr>
        <w:spacing w:line="360" w:lineRule="auto"/>
        <w:ind w:firstLine="480" w:firstLineChars="200"/>
        <w:rPr>
          <w:rFonts w:ascii="宋体" w:hAnsi="宋体" w:cs="宋体"/>
          <w:highlight w:val="none"/>
        </w:rPr>
      </w:pPr>
      <w:r>
        <w:rPr>
          <w:rFonts w:hint="eastAsia" w:ascii="宋体" w:hAnsi="宋体" w:cs="宋体"/>
          <w:highlight w:val="none"/>
        </w:rPr>
        <w:t>2.本项目相关公告在以下媒体发布：中国政府采购网（http://www.ccgp.gov.cn/）。相关公告在法定媒体上公布之日即视为有效送达，不再另行通知。</w:t>
      </w:r>
    </w:p>
    <w:p>
      <w:pPr>
        <w:pStyle w:val="3"/>
        <w:tabs>
          <w:tab w:val="left" w:pos="239"/>
        </w:tabs>
        <w:spacing w:before="360" w:after="120"/>
        <w:rPr>
          <w:rFonts w:ascii="宋体" w:hAnsi="宋体" w:eastAsia="宋体" w:cs="宋体"/>
          <w:bCs/>
          <w:highlight w:val="none"/>
        </w:rPr>
      </w:pPr>
      <w:bookmarkStart w:id="28" w:name="_Toc28359018"/>
      <w:bookmarkStart w:id="29" w:name="_Toc35393805"/>
      <w:bookmarkStart w:id="30" w:name="_Toc28359095"/>
      <w:bookmarkStart w:id="31" w:name="_Toc35393636"/>
      <w:r>
        <w:rPr>
          <w:rFonts w:hint="eastAsia" w:ascii="宋体" w:hAnsi="宋体" w:eastAsia="宋体" w:cs="宋体"/>
          <w:bCs/>
          <w:highlight w:val="none"/>
        </w:rPr>
        <w:t>七、对本次招标提出询问，请按以下方式联系。</w:t>
      </w:r>
      <w:bookmarkEnd w:id="28"/>
      <w:bookmarkEnd w:id="29"/>
      <w:bookmarkEnd w:id="30"/>
      <w:bookmarkEnd w:id="31"/>
    </w:p>
    <w:p>
      <w:pPr>
        <w:spacing w:line="360" w:lineRule="auto"/>
        <w:ind w:firstLine="480" w:firstLineChars="200"/>
        <w:rPr>
          <w:rFonts w:ascii="宋体" w:hAnsi="宋体" w:cs="宋体"/>
          <w:highlight w:val="none"/>
        </w:rPr>
      </w:pPr>
      <w:r>
        <w:rPr>
          <w:rFonts w:hint="eastAsia" w:ascii="宋体" w:hAnsi="宋体" w:cs="宋体"/>
          <w:highlight w:val="none"/>
        </w:rPr>
        <w:t>1.采购人信息</w:t>
      </w:r>
    </w:p>
    <w:p>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名    称：</w:t>
      </w:r>
      <w:r>
        <w:rPr>
          <w:rFonts w:hint="eastAsia" w:ascii="宋体" w:hAnsi="宋体" w:cs="宋体"/>
          <w:highlight w:val="none"/>
          <w:lang w:eastAsia="zh-CN"/>
        </w:rPr>
        <w:t>国家税务总局广东潮州经济开发区税务局</w:t>
      </w:r>
    </w:p>
    <w:p>
      <w:pPr>
        <w:spacing w:line="360" w:lineRule="auto"/>
        <w:ind w:firstLine="480" w:firstLineChars="200"/>
        <w:rPr>
          <w:rFonts w:hint="default" w:ascii="宋体" w:hAnsi="宋体" w:eastAsia="宋体" w:cs="宋体"/>
          <w:highlight w:val="none"/>
          <w:lang w:val="en-US" w:eastAsia="zh-CN"/>
        </w:rPr>
      </w:pPr>
      <w:r>
        <w:rPr>
          <w:rFonts w:hint="eastAsia" w:ascii="宋体" w:hAnsi="宋体" w:cs="宋体"/>
          <w:highlight w:val="none"/>
        </w:rPr>
        <w:t>地    址：广东省潮州市湘桥区潮州大道凤新东路</w:t>
      </w:r>
      <w:r>
        <w:rPr>
          <w:rFonts w:hint="eastAsia" w:ascii="宋体" w:hAnsi="宋体" w:cs="宋体"/>
          <w:highlight w:val="none"/>
          <w:lang w:eastAsia="zh-CN"/>
        </w:rPr>
        <w:t>中段</w:t>
      </w:r>
    </w:p>
    <w:p>
      <w:pPr>
        <w:spacing w:line="360" w:lineRule="auto"/>
        <w:ind w:firstLine="480" w:firstLineChars="200"/>
        <w:rPr>
          <w:rFonts w:hint="default" w:ascii="宋体" w:hAnsi="宋体" w:eastAsia="宋体" w:cs="宋体"/>
          <w:highlight w:val="none"/>
          <w:lang w:val="en-US" w:eastAsia="zh-CN"/>
        </w:rPr>
      </w:pPr>
      <w:r>
        <w:rPr>
          <w:rFonts w:hint="eastAsia" w:ascii="宋体" w:hAnsi="宋体" w:cs="宋体"/>
          <w:highlight w:val="none"/>
        </w:rPr>
        <w:t>联系方式：</w:t>
      </w:r>
      <w:r>
        <w:rPr>
          <w:rFonts w:hint="eastAsia" w:ascii="宋体" w:hAnsi="宋体" w:cs="宋体"/>
          <w:highlight w:val="none"/>
          <w:lang w:val="en-US" w:eastAsia="zh-CN"/>
        </w:rPr>
        <w:t>0768-2856165</w:t>
      </w:r>
    </w:p>
    <w:p>
      <w:pPr>
        <w:spacing w:line="360" w:lineRule="auto"/>
        <w:ind w:firstLine="480" w:firstLineChars="200"/>
        <w:rPr>
          <w:rFonts w:ascii="宋体" w:hAnsi="宋体" w:cs="宋体"/>
          <w:highlight w:val="none"/>
        </w:rPr>
      </w:pPr>
      <w:bookmarkStart w:id="32" w:name="_Toc35393638"/>
      <w:bookmarkStart w:id="33" w:name="_Toc28359020"/>
      <w:bookmarkStart w:id="34" w:name="_Toc28359097"/>
      <w:bookmarkStart w:id="35" w:name="_Toc35393807"/>
      <w:r>
        <w:rPr>
          <w:rFonts w:hint="eastAsia" w:ascii="宋体" w:hAnsi="宋体" w:cs="宋体"/>
          <w:highlight w:val="none"/>
        </w:rPr>
        <w:t>2.采购代理机构信息</w:t>
      </w:r>
      <w:bookmarkEnd w:id="32"/>
      <w:bookmarkEnd w:id="33"/>
      <w:bookmarkEnd w:id="34"/>
      <w:bookmarkEnd w:id="35"/>
    </w:p>
    <w:p>
      <w:pPr>
        <w:spacing w:line="360" w:lineRule="auto"/>
        <w:ind w:firstLine="480" w:firstLineChars="200"/>
        <w:rPr>
          <w:rFonts w:ascii="宋体" w:hAnsi="宋体" w:cs="宋体"/>
          <w:highlight w:val="none"/>
        </w:rPr>
      </w:pPr>
      <w:r>
        <w:rPr>
          <w:rFonts w:hint="eastAsia" w:ascii="宋体" w:hAnsi="宋体" w:cs="宋体"/>
          <w:highlight w:val="none"/>
        </w:rPr>
        <w:t>名    称：公诚管理咨询有限公司</w:t>
      </w:r>
    </w:p>
    <w:p>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地    址：</w:t>
      </w:r>
      <w:r>
        <w:rPr>
          <w:rFonts w:hint="eastAsia" w:ascii="宋体" w:hAnsi="宋体" w:cs="宋体"/>
          <w:highlight w:val="none"/>
          <w:lang w:eastAsia="zh-CN"/>
        </w:rPr>
        <w:t>广东省潮州市湘桥区潮枫路223号新时空大厦8楼公诚咨询</w:t>
      </w:r>
    </w:p>
    <w:p>
      <w:pPr>
        <w:spacing w:line="360" w:lineRule="auto"/>
        <w:ind w:firstLine="480" w:firstLineChars="200"/>
        <w:rPr>
          <w:rFonts w:ascii="宋体" w:hAnsi="宋体" w:cs="宋体"/>
          <w:highlight w:val="none"/>
        </w:rPr>
      </w:pPr>
      <w:r>
        <w:rPr>
          <w:rFonts w:hint="eastAsia" w:ascii="宋体" w:hAnsi="宋体" w:cs="宋体"/>
          <w:highlight w:val="none"/>
        </w:rPr>
        <w:t>联系方式：0768-3269998</w:t>
      </w:r>
    </w:p>
    <w:p>
      <w:pPr>
        <w:spacing w:line="360" w:lineRule="auto"/>
        <w:ind w:firstLine="480" w:firstLineChars="200"/>
        <w:rPr>
          <w:rFonts w:ascii="宋体" w:hAnsi="宋体" w:cs="宋体"/>
          <w:highlight w:val="none"/>
        </w:rPr>
      </w:pPr>
      <w:bookmarkStart w:id="36" w:name="_Toc28359021"/>
      <w:bookmarkStart w:id="37" w:name="_Toc35393808"/>
      <w:bookmarkStart w:id="38" w:name="_Toc35393639"/>
      <w:bookmarkStart w:id="39" w:name="_Toc28359098"/>
      <w:r>
        <w:rPr>
          <w:rFonts w:hint="eastAsia" w:ascii="宋体" w:hAnsi="宋体" w:cs="宋体"/>
          <w:highlight w:val="none"/>
        </w:rPr>
        <w:t>3.项目联系方式</w:t>
      </w:r>
      <w:bookmarkEnd w:id="36"/>
      <w:bookmarkEnd w:id="37"/>
      <w:bookmarkEnd w:id="38"/>
      <w:bookmarkEnd w:id="39"/>
    </w:p>
    <w:p>
      <w:pPr>
        <w:spacing w:line="360" w:lineRule="auto"/>
        <w:ind w:firstLine="480" w:firstLineChars="200"/>
        <w:rPr>
          <w:rFonts w:hint="default" w:ascii="宋体" w:hAnsi="宋体" w:eastAsia="宋体" w:cs="宋体"/>
          <w:highlight w:val="none"/>
          <w:lang w:val="en-US" w:eastAsia="zh-CN"/>
        </w:rPr>
      </w:pPr>
      <w:r>
        <w:rPr>
          <w:rFonts w:hint="eastAsia" w:ascii="宋体" w:hAnsi="宋体" w:cs="宋体"/>
          <w:highlight w:val="none"/>
        </w:rPr>
        <w:t>项目联系人：</w:t>
      </w:r>
      <w:r>
        <w:rPr>
          <w:rFonts w:hint="eastAsia" w:ascii="宋体" w:hAnsi="宋体" w:cs="宋体"/>
          <w:highlight w:val="none"/>
          <w:lang w:val="en-US" w:eastAsia="zh-CN"/>
        </w:rPr>
        <w:t>周炜槟、郑伟鹏</w:t>
      </w:r>
    </w:p>
    <w:p>
      <w:pPr>
        <w:spacing w:line="360" w:lineRule="auto"/>
        <w:ind w:firstLine="480" w:firstLineChars="200"/>
        <w:rPr>
          <w:rFonts w:hint="default" w:ascii="宋体" w:hAnsi="宋体" w:eastAsia="宋体" w:cs="宋体"/>
          <w:highlight w:val="none"/>
          <w:lang w:val="en-US" w:eastAsia="zh-CN"/>
        </w:rPr>
      </w:pPr>
      <w:r>
        <w:rPr>
          <w:rFonts w:hint="eastAsia" w:ascii="宋体" w:hAnsi="宋体" w:cs="宋体"/>
          <w:highlight w:val="none"/>
        </w:rPr>
        <w:t>电    话：</w:t>
      </w:r>
      <w:r>
        <w:rPr>
          <w:rFonts w:hint="eastAsia" w:ascii="宋体" w:hAnsi="宋体" w:cs="宋体"/>
          <w:highlight w:val="none"/>
          <w:lang w:val="en-US" w:eastAsia="zh-CN"/>
        </w:rPr>
        <w:t>13534918678、</w:t>
      </w:r>
      <w:r>
        <w:rPr>
          <w:rFonts w:hint="eastAsia" w:ascii="宋体" w:hAnsi="宋体" w:cs="宋体"/>
          <w:highlight w:val="none"/>
        </w:rPr>
        <w:t>18926292920</w:t>
      </w:r>
    </w:p>
    <w:p>
      <w:pPr>
        <w:spacing w:line="360" w:lineRule="auto"/>
        <w:jc w:val="right"/>
        <w:rPr>
          <w:rFonts w:ascii="宋体" w:hAnsi="宋体" w:cs="宋体"/>
          <w:highlight w:val="none"/>
        </w:rPr>
      </w:pPr>
    </w:p>
    <w:p>
      <w:pPr>
        <w:spacing w:line="360" w:lineRule="auto"/>
        <w:jc w:val="right"/>
        <w:rPr>
          <w:rFonts w:ascii="宋体" w:hAnsi="宋体" w:cs="宋体"/>
          <w:highlight w:val="none"/>
        </w:rPr>
      </w:pPr>
    </w:p>
    <w:p>
      <w:pPr>
        <w:spacing w:line="360" w:lineRule="auto"/>
        <w:jc w:val="right"/>
        <w:rPr>
          <w:rFonts w:ascii="宋体" w:hAnsi="宋体" w:cs="宋体"/>
          <w:highlight w:val="none"/>
        </w:rPr>
      </w:pPr>
      <w:r>
        <w:rPr>
          <w:rFonts w:hint="eastAsia" w:ascii="宋体" w:hAnsi="宋体" w:cs="宋体"/>
          <w:highlight w:val="none"/>
        </w:rPr>
        <w:t>发布人：公诚管理咨询有限公司</w:t>
      </w:r>
    </w:p>
    <w:p>
      <w:pPr>
        <w:spacing w:line="360" w:lineRule="auto"/>
        <w:jc w:val="right"/>
        <w:rPr>
          <w:rFonts w:ascii="宋体" w:hAnsi="宋体" w:cs="宋体"/>
          <w:highlight w:val="none"/>
        </w:rPr>
      </w:pPr>
      <w:r>
        <w:rPr>
          <w:rFonts w:hint="eastAsia" w:ascii="宋体" w:hAnsi="宋体" w:cs="宋体"/>
          <w:highlight w:val="none"/>
        </w:rPr>
        <w:t>发布时间：2022年</w:t>
      </w:r>
      <w:r>
        <w:rPr>
          <w:rFonts w:hint="eastAsia" w:ascii="宋体" w:hAnsi="宋体" w:cs="宋体"/>
          <w:highlight w:val="none"/>
          <w:lang w:val="en-US" w:eastAsia="zh-CN"/>
        </w:rPr>
        <w:t>06</w:t>
      </w:r>
      <w:r>
        <w:rPr>
          <w:rFonts w:hint="eastAsia" w:ascii="宋体" w:hAnsi="宋体" w:cs="宋体"/>
          <w:highlight w:val="none"/>
        </w:rPr>
        <w:t>月</w:t>
      </w:r>
      <w:r>
        <w:rPr>
          <w:rFonts w:hint="eastAsia" w:ascii="宋体" w:hAnsi="宋体" w:cs="宋体"/>
          <w:highlight w:val="none"/>
          <w:lang w:val="en-US" w:eastAsia="zh-CN"/>
        </w:rPr>
        <w:t>28</w:t>
      </w:r>
      <w:r>
        <w:rPr>
          <w:rFonts w:hint="eastAsia" w:ascii="宋体" w:hAnsi="宋体" w:cs="宋体"/>
          <w:highlight w:val="none"/>
        </w:rPr>
        <w:t>日</w:t>
      </w:r>
    </w:p>
    <w:p>
      <w:pPr>
        <w:spacing w:line="360" w:lineRule="auto"/>
        <w:jc w:val="right"/>
        <w:rPr>
          <w:rFonts w:ascii="宋体" w:hAnsi="宋体" w:cs="宋体"/>
          <w:highlight w:val="none"/>
        </w:rPr>
      </w:pPr>
    </w:p>
    <w:p>
      <w:pPr>
        <w:pStyle w:val="26"/>
        <w:tabs>
          <w:tab w:val="right" w:leader="dot" w:pos="9628"/>
        </w:tabs>
        <w:spacing w:before="0" w:after="0" w:line="360" w:lineRule="auto"/>
        <w:rPr>
          <w:rFonts w:ascii="宋体" w:hAnsi="宋体" w:cs="宋体"/>
          <w:highlight w:val="none"/>
        </w:rPr>
        <w:sectPr>
          <w:footerReference r:id="rId4" w:type="default"/>
          <w:pgSz w:w="11907" w:h="16840"/>
          <w:pgMar w:top="1440" w:right="1800" w:bottom="1440" w:left="1800" w:header="794" w:footer="794" w:gutter="0"/>
          <w:pgNumType w:start="1"/>
          <w:cols w:space="720" w:num="1"/>
          <w:docGrid w:linePitch="285" w:charSpace="0"/>
        </w:sectPr>
      </w:pPr>
    </w:p>
    <w:p>
      <w:pPr>
        <w:pStyle w:val="26"/>
        <w:tabs>
          <w:tab w:val="right" w:leader="dot" w:pos="9628"/>
        </w:tabs>
        <w:spacing w:before="0" w:after="0" w:line="360" w:lineRule="auto"/>
        <w:rPr>
          <w:rFonts w:ascii="宋体" w:hAnsi="宋体" w:cs="宋体"/>
          <w:highlight w:val="none"/>
        </w:rPr>
      </w:pPr>
    </w:p>
    <w:p>
      <w:pPr>
        <w:spacing w:line="360" w:lineRule="auto"/>
        <w:rPr>
          <w:rFonts w:ascii="宋体" w:hAnsi="宋体" w:cs="宋体"/>
          <w:sz w:val="28"/>
          <w:highlight w:val="none"/>
        </w:rPr>
      </w:pPr>
    </w:p>
    <w:p>
      <w:pPr>
        <w:pStyle w:val="26"/>
        <w:tabs>
          <w:tab w:val="right" w:leader="dot" w:pos="9628"/>
        </w:tabs>
        <w:spacing w:before="0" w:after="0" w:line="360" w:lineRule="auto"/>
        <w:rPr>
          <w:rFonts w:ascii="宋体" w:hAnsi="宋体" w:cs="宋体"/>
          <w:highlight w:val="none"/>
        </w:rPr>
      </w:pPr>
    </w:p>
    <w:p>
      <w:pPr>
        <w:pStyle w:val="2"/>
        <w:keepLines w:val="0"/>
        <w:spacing w:before="0" w:after="0" w:line="360" w:lineRule="auto"/>
        <w:ind w:right="5"/>
        <w:jc w:val="center"/>
        <w:rPr>
          <w:rFonts w:ascii="宋体" w:hAnsi="宋体" w:cs="宋体"/>
          <w:highlight w:val="none"/>
        </w:rPr>
      </w:pPr>
      <w:bookmarkStart w:id="40" w:name="_Toc10847"/>
      <w:r>
        <w:rPr>
          <w:rFonts w:hint="eastAsia" w:ascii="宋体" w:hAnsi="宋体" w:cs="宋体"/>
          <w:kern w:val="2"/>
          <w:highlight w:val="none"/>
        </w:rPr>
        <w:t>第二</w:t>
      </w:r>
      <w:bookmarkStart w:id="41" w:name="_Toc10525515"/>
      <w:r>
        <w:rPr>
          <w:rFonts w:hint="eastAsia" w:ascii="宋体" w:hAnsi="宋体" w:cs="宋体"/>
          <w:kern w:val="2"/>
          <w:highlight w:val="none"/>
        </w:rPr>
        <w:t xml:space="preserve">部分  </w:t>
      </w:r>
      <w:bookmarkEnd w:id="5"/>
      <w:bookmarkEnd w:id="41"/>
      <w:r>
        <w:rPr>
          <w:rFonts w:hint="eastAsia" w:ascii="宋体" w:hAnsi="宋体" w:cs="宋体"/>
          <w:kern w:val="2"/>
          <w:highlight w:val="none"/>
        </w:rPr>
        <w:t>采购项目内容</w:t>
      </w:r>
      <w:bookmarkEnd w:id="40"/>
    </w:p>
    <w:p>
      <w:pPr>
        <w:spacing w:line="360" w:lineRule="auto"/>
        <w:jc w:val="center"/>
        <w:rPr>
          <w:rFonts w:ascii="仿宋" w:hAnsi="仿宋" w:eastAsia="仿宋"/>
          <w:b/>
          <w:bCs/>
          <w:sz w:val="36"/>
          <w:szCs w:val="36"/>
          <w:highlight w:val="none"/>
        </w:rPr>
      </w:pPr>
    </w:p>
    <w:p>
      <w:pPr>
        <w:spacing w:line="360" w:lineRule="auto"/>
        <w:jc w:val="center"/>
        <w:rPr>
          <w:rFonts w:ascii="仿宋" w:hAnsi="仿宋" w:eastAsia="仿宋"/>
          <w:b/>
          <w:bCs/>
          <w:sz w:val="36"/>
          <w:szCs w:val="36"/>
          <w:highlight w:val="none"/>
        </w:rPr>
        <w:sectPr>
          <w:headerReference r:id="rId6" w:type="first"/>
          <w:footerReference r:id="rId9" w:type="first"/>
          <w:footerReference r:id="rId7" w:type="default"/>
          <w:headerReference r:id="rId5" w:type="even"/>
          <w:footerReference r:id="rId8" w:type="even"/>
          <w:pgSz w:w="11906" w:h="16838"/>
          <w:pgMar w:top="1440" w:right="1800" w:bottom="1440" w:left="1800" w:header="851" w:footer="709" w:gutter="0"/>
          <w:cols w:space="720" w:num="1"/>
          <w:docGrid w:linePitch="312" w:charSpace="0"/>
        </w:sectPr>
      </w:pPr>
    </w:p>
    <w:p>
      <w:pPr>
        <w:widowControl/>
        <w:spacing w:line="360" w:lineRule="auto"/>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国家税务总局广东潮州经济开发区税务局</w:t>
      </w:r>
    </w:p>
    <w:p>
      <w:pPr>
        <w:widowControl/>
        <w:spacing w:line="360" w:lineRule="auto"/>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“后勤综合服务”项目</w:t>
      </w:r>
      <w:r>
        <w:rPr>
          <w:rFonts w:hint="eastAsia" w:ascii="宋体" w:hAnsi="宋体" w:cs="宋体"/>
          <w:b/>
          <w:bCs/>
          <w:kern w:val="0"/>
          <w:sz w:val="36"/>
          <w:szCs w:val="36"/>
          <w:highlight w:val="none"/>
          <w:lang w:val="en-US" w:eastAsia="zh-CN"/>
        </w:rPr>
        <w:t>用户</w:t>
      </w:r>
      <w:r>
        <w:rPr>
          <w:rFonts w:hint="eastAsia" w:ascii="宋体" w:hAnsi="宋体" w:eastAsia="宋体" w:cs="宋体"/>
          <w:b/>
          <w:bCs/>
          <w:kern w:val="0"/>
          <w:sz w:val="36"/>
          <w:szCs w:val="36"/>
          <w:highlight w:val="none"/>
        </w:rPr>
        <w:t>需求书</w:t>
      </w:r>
    </w:p>
    <w:p>
      <w:pPr>
        <w:spacing w:line="520" w:lineRule="exact"/>
        <w:ind w:firstLine="480" w:firstLineChars="200"/>
        <w:rPr>
          <w:rFonts w:hint="eastAsia" w:ascii="宋体" w:hAnsi="宋体"/>
          <w:sz w:val="24"/>
          <w:szCs w:val="24"/>
          <w:highlight w:val="none"/>
        </w:rPr>
      </w:pPr>
      <w:r>
        <w:rPr>
          <w:rFonts w:hint="eastAsia" w:ascii="宋体" w:hAnsi="宋体"/>
          <w:sz w:val="24"/>
          <w:szCs w:val="24"/>
          <w:highlight w:val="none"/>
        </w:rPr>
        <w:t>为进一步规范和加强后勤各项工作，提高服务质量，保障我局各项税收工作的有序开展。根据《政府购买服务管理办法》规定的精神，现拟启动我局后勤综合服务招标工作。以公开招标的形式，招聘具有经营相应的服务资格，具备一定规模的专业队伍，实力强、信誉好的供应商，为我局提供后勤综合服务。现就有关事宜说明如下：</w:t>
      </w:r>
    </w:p>
    <w:p>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一、招标概况.</w:t>
      </w:r>
    </w:p>
    <w:p>
      <w:pPr>
        <w:spacing w:line="520" w:lineRule="exact"/>
        <w:ind w:firstLine="480" w:firstLineChars="200"/>
        <w:rPr>
          <w:rFonts w:hint="eastAsia" w:ascii="宋体" w:hAnsi="宋体"/>
          <w:sz w:val="24"/>
          <w:szCs w:val="24"/>
          <w:highlight w:val="none"/>
        </w:rPr>
      </w:pPr>
      <w:r>
        <w:rPr>
          <w:rFonts w:hint="eastAsia" w:ascii="宋体" w:hAnsi="宋体"/>
          <w:sz w:val="24"/>
          <w:szCs w:val="24"/>
          <w:highlight w:val="none"/>
        </w:rPr>
        <w:t>（一）招标单位：国家税务总局广东潮州经济开发区税务局</w:t>
      </w:r>
    </w:p>
    <w:p>
      <w:pPr>
        <w:spacing w:line="520" w:lineRule="exact"/>
        <w:ind w:firstLine="480" w:firstLineChars="200"/>
        <w:rPr>
          <w:rFonts w:hint="eastAsia" w:ascii="宋体" w:hAnsi="宋体"/>
          <w:color w:val="auto"/>
          <w:sz w:val="24"/>
          <w:szCs w:val="24"/>
          <w:highlight w:val="none"/>
        </w:rPr>
      </w:pPr>
      <w:r>
        <w:rPr>
          <w:rFonts w:hint="eastAsia" w:ascii="宋体" w:hAnsi="宋体"/>
          <w:sz w:val="24"/>
          <w:szCs w:val="24"/>
          <w:highlight w:val="none"/>
        </w:rPr>
        <w:t>（二）招标项目：后勤综合服务。具体内容包括安全保卫服务（门卫及防盗、防抢、防火等人身财产安全）；卫生保洁服务（除本单位指定的办公室内工作场所自行负责外的各公共场所的卫生，及所属墙体、天花、门窗等，不含户外墙体等高空作业）；水电维护服务（确保正常供水、供电，维修及时到位，节能措施得力）；会务、用餐、</w:t>
      </w:r>
      <w:r>
        <w:rPr>
          <w:rFonts w:hint="eastAsia" w:ascii="宋体" w:hAnsi="宋体"/>
          <w:color w:val="auto"/>
          <w:sz w:val="24"/>
          <w:szCs w:val="24"/>
          <w:highlight w:val="none"/>
        </w:rPr>
        <w:t>房间服务（</w:t>
      </w:r>
      <w:r>
        <w:rPr>
          <w:rFonts w:hint="eastAsia" w:ascii="宋体" w:hAnsi="宋体"/>
          <w:sz w:val="24"/>
          <w:szCs w:val="24"/>
          <w:highlight w:val="none"/>
        </w:rPr>
        <w:t>各类会议、培训服务，用餐服务</w:t>
      </w:r>
      <w:r>
        <w:rPr>
          <w:rFonts w:hint="eastAsia" w:ascii="宋体" w:hAnsi="宋体"/>
          <w:sz w:val="24"/>
          <w:szCs w:val="24"/>
          <w:highlight w:val="none"/>
          <w:lang w:eastAsia="zh-CN"/>
        </w:rPr>
        <w:t>，个别办公场所保洁</w:t>
      </w:r>
      <w:r>
        <w:rPr>
          <w:rFonts w:hint="eastAsia" w:ascii="宋体" w:hAnsi="宋体"/>
          <w:sz w:val="24"/>
          <w:szCs w:val="24"/>
          <w:highlight w:val="none"/>
        </w:rPr>
        <w:t>）；绿化服务（所有花木的日常绿化管养等服务，不含花木补植、换植、大型修剪及高空作业等）；食堂</w:t>
      </w:r>
      <w:r>
        <w:rPr>
          <w:rFonts w:hint="eastAsia" w:ascii="宋体" w:hAnsi="宋体"/>
          <w:color w:val="auto"/>
          <w:sz w:val="24"/>
          <w:szCs w:val="24"/>
          <w:highlight w:val="none"/>
        </w:rPr>
        <w:t>供餐服务（所有工作、会议、培训、接待等配餐工作）；车辆运维服务（车辆的运行、加油、维修、保养等司勤工作）；文书服务（资料的编织、打印、整理、归档等办公辅助工作），布草洗涤（餐厅及布草洗涤服务）。具体范围包括：潮州大道办公楼1号楼、2号楼二层厨房和餐厅206房共计建筑面积10177.85平方，地点：广东省潮州市湘桥区潮州大道北凤新东路。</w:t>
      </w:r>
    </w:p>
    <w:p>
      <w:pPr>
        <w:spacing w:line="52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w:t>
      </w:r>
      <w:r>
        <w:rPr>
          <w:rFonts w:hint="eastAsia" w:ascii="宋体" w:hAnsi="宋体"/>
          <w:color w:val="auto"/>
          <w:sz w:val="24"/>
          <w:szCs w:val="24"/>
          <w:highlight w:val="none"/>
        </w:rPr>
        <w:t>3．服务期限：共</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年，自202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月1日起，至202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月3</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日止，经采购人及中标供应商协商可整体滞后一至二个月</w:t>
      </w:r>
      <w:r>
        <w:rPr>
          <w:rFonts w:hint="eastAsia" w:ascii="宋体" w:hAnsi="宋体"/>
          <w:b/>
          <w:color w:val="auto"/>
          <w:sz w:val="24"/>
          <w:szCs w:val="24"/>
          <w:highlight w:val="none"/>
        </w:rPr>
        <w:t>。</w:t>
      </w:r>
      <w:r>
        <w:rPr>
          <w:rFonts w:hint="eastAsia" w:ascii="宋体" w:hAnsi="宋体"/>
          <w:color w:val="auto"/>
          <w:sz w:val="24"/>
          <w:szCs w:val="24"/>
          <w:highlight w:val="none"/>
        </w:rPr>
        <w:t>具体时间根据</w:t>
      </w:r>
      <w:r>
        <w:rPr>
          <w:rFonts w:hint="eastAsia" w:ascii="宋体" w:hAnsi="宋体"/>
          <w:sz w:val="24"/>
          <w:szCs w:val="24"/>
          <w:highlight w:val="none"/>
        </w:rPr>
        <w:t>实际确定。</w:t>
      </w:r>
    </w:p>
    <w:p>
      <w:pPr>
        <w:spacing w:line="520" w:lineRule="exact"/>
        <w:ind w:firstLine="480" w:firstLineChars="200"/>
        <w:rPr>
          <w:rFonts w:hint="eastAsia" w:ascii="宋体" w:hAnsi="宋体"/>
          <w:sz w:val="24"/>
          <w:szCs w:val="24"/>
          <w:highlight w:val="none"/>
        </w:rPr>
      </w:pPr>
      <w:r>
        <w:rPr>
          <w:rFonts w:hint="eastAsia" w:ascii="宋体" w:hAnsi="宋体"/>
          <w:sz w:val="24"/>
          <w:szCs w:val="24"/>
          <w:highlight w:val="none"/>
        </w:rPr>
        <w:t>4．服务费用：办公楼服务费不超过附页1：《服务费用明细表》中各项列明金额的上限。（服务费用含人工费、员工服装费、体检费、培训费、保安器材、管理费、税费等服务配套费用）。</w:t>
      </w:r>
    </w:p>
    <w:p>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二、服务要求、人员配置</w:t>
      </w:r>
    </w:p>
    <w:p>
      <w:pPr>
        <w:spacing w:line="520" w:lineRule="exact"/>
        <w:ind w:firstLine="480" w:firstLineChars="200"/>
        <w:rPr>
          <w:rFonts w:hint="eastAsia" w:ascii="宋体" w:hAnsi="宋体"/>
          <w:sz w:val="24"/>
          <w:szCs w:val="24"/>
          <w:highlight w:val="none"/>
        </w:rPr>
      </w:pPr>
      <w:r>
        <w:rPr>
          <w:rFonts w:hint="eastAsia" w:ascii="宋体" w:hAnsi="宋体"/>
          <w:sz w:val="24"/>
          <w:szCs w:val="24"/>
          <w:highlight w:val="none"/>
        </w:rPr>
        <w:t>详见附页2：《潮州大道办公楼后勤综合服务要求及人员配置表》。</w:t>
      </w:r>
    </w:p>
    <w:p>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三、中标供应商服务质量考核</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lang w:val="en-US" w:eastAsia="zh-CN"/>
        </w:rPr>
        <w:t>▲</w:t>
      </w:r>
      <w:r>
        <w:rPr>
          <w:rFonts w:hint="eastAsia" w:ascii="宋体" w:hAnsi="宋体"/>
          <w:sz w:val="24"/>
          <w:szCs w:val="24"/>
          <w:highlight w:val="none"/>
        </w:rPr>
        <w:t>（一）对中标供应商服务质量的考核工作</w:t>
      </w:r>
      <w:r>
        <w:rPr>
          <w:rFonts w:hint="eastAsia" w:ascii="宋体" w:hAnsi="宋体"/>
          <w:sz w:val="24"/>
          <w:szCs w:val="24"/>
          <w:highlight w:val="none"/>
          <w:lang w:eastAsia="zh-CN"/>
        </w:rPr>
        <w:t>根据需要</w:t>
      </w:r>
      <w:r>
        <w:rPr>
          <w:rFonts w:hint="eastAsia" w:ascii="宋体" w:hAnsi="宋体"/>
          <w:sz w:val="24"/>
          <w:szCs w:val="24"/>
          <w:highlight w:val="none"/>
        </w:rPr>
        <w:t>进行，考核方式包括日常检查和专项检查。平时对检查中发现的问题，由采购人委派检查人员进行记录，填写附页3：《服务质量日常巡查表》并经中标供应商确认，月度汇总后作为考核的依据。</w:t>
      </w:r>
      <w:r>
        <w:rPr>
          <w:rFonts w:hint="eastAsia" w:ascii="宋体" w:hAnsi="宋体"/>
          <w:sz w:val="24"/>
          <w:szCs w:val="24"/>
          <w:highlight w:val="none"/>
          <w:lang w:eastAsia="zh-CN"/>
        </w:rPr>
        <w:t>专项检查</w:t>
      </w:r>
      <w:r>
        <w:rPr>
          <w:rFonts w:hint="eastAsia" w:ascii="宋体" w:hAnsi="宋体"/>
          <w:sz w:val="24"/>
          <w:szCs w:val="24"/>
          <w:highlight w:val="none"/>
        </w:rPr>
        <w:t>按附页4：《服务质量考核表》进行考核，并经双方签章确认后，作为核定服务费的依据。双方对考核结果有分歧和争议时，首先应进行充分协商沟通，争取达成一致，但经过协商沟通后仍无法达成一致的，依照合同中约定的争议解决方式处理。</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lang w:val="en-US" w:eastAsia="zh-CN"/>
        </w:rPr>
        <w:t>▲</w:t>
      </w:r>
      <w:r>
        <w:rPr>
          <w:rFonts w:hint="eastAsia" w:ascii="宋体" w:hAnsi="宋体"/>
          <w:sz w:val="24"/>
          <w:szCs w:val="24"/>
          <w:highlight w:val="none"/>
        </w:rPr>
        <w:t>（二）考核结果直接与服务费挂钩。</w:t>
      </w:r>
      <w:r>
        <w:rPr>
          <w:rFonts w:hint="eastAsia" w:ascii="宋体" w:hAnsi="宋体"/>
          <w:sz w:val="24"/>
          <w:szCs w:val="24"/>
          <w:highlight w:val="none"/>
          <w:lang w:eastAsia="zh-CN"/>
        </w:rPr>
        <w:t>每次</w:t>
      </w:r>
      <w:r>
        <w:rPr>
          <w:rFonts w:hint="eastAsia" w:ascii="宋体" w:hAnsi="宋体"/>
          <w:sz w:val="24"/>
          <w:szCs w:val="24"/>
          <w:highlight w:val="none"/>
        </w:rPr>
        <w:t>考核金额为每分300元，考核实行百分制，每</w:t>
      </w:r>
      <w:r>
        <w:rPr>
          <w:rFonts w:hint="eastAsia" w:ascii="宋体" w:hAnsi="宋体"/>
          <w:sz w:val="24"/>
          <w:szCs w:val="24"/>
          <w:highlight w:val="none"/>
          <w:lang w:eastAsia="zh-CN"/>
        </w:rPr>
        <w:t>次</w:t>
      </w:r>
      <w:r>
        <w:rPr>
          <w:rFonts w:hint="eastAsia" w:ascii="宋体" w:hAnsi="宋体"/>
          <w:sz w:val="24"/>
          <w:szCs w:val="24"/>
          <w:highlight w:val="none"/>
        </w:rPr>
        <w:t>用于考核的金额基础分是100分，考核分高于97分（不含97分）以上的，全额支付服务费用。考核分达在95-97分的，只予以警告方式进行考核并要求纠正，不作扣考核金额处理。考核数低于95分（不含95分）的，每低1分相应扣减</w:t>
      </w:r>
      <w:r>
        <w:rPr>
          <w:rFonts w:hint="eastAsia" w:ascii="宋体" w:hAnsi="宋体"/>
          <w:sz w:val="24"/>
          <w:szCs w:val="24"/>
          <w:highlight w:val="none"/>
          <w:lang w:val="en-US" w:eastAsia="zh-CN"/>
        </w:rPr>
        <w:t>服务</w:t>
      </w:r>
      <w:r>
        <w:rPr>
          <w:rFonts w:hint="eastAsia" w:ascii="宋体" w:hAnsi="宋体"/>
          <w:sz w:val="24"/>
          <w:szCs w:val="24"/>
          <w:highlight w:val="none"/>
        </w:rPr>
        <w:t>费300元。</w:t>
      </w:r>
    </w:p>
    <w:p>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四 、特别约定</w:t>
      </w:r>
    </w:p>
    <w:p>
      <w:pPr>
        <w:spacing w:line="520" w:lineRule="exact"/>
        <w:ind w:firstLine="480" w:firstLineChars="200"/>
        <w:rPr>
          <w:rFonts w:hint="eastAsia" w:ascii="黑体" w:hAnsi="黑体" w:eastAsia="黑体" w:cs="黑体"/>
          <w:sz w:val="24"/>
          <w:szCs w:val="24"/>
          <w:highlight w:val="none"/>
        </w:rPr>
      </w:pPr>
      <w:r>
        <w:rPr>
          <w:rFonts w:hint="default" w:ascii="宋体" w:hAnsi="宋体" w:eastAsia="宋体"/>
          <w:color w:val="000000"/>
          <w:sz w:val="24"/>
          <w:szCs w:val="24"/>
          <w:highlight w:val="none"/>
        </w:rPr>
        <w:t>“</w:t>
      </w:r>
      <w:r>
        <w:rPr>
          <w:rFonts w:hint="eastAsia" w:ascii="宋体" w:hAnsi="宋体" w:eastAsia="宋体"/>
          <w:color w:val="000000"/>
          <w:sz w:val="24"/>
          <w:szCs w:val="24"/>
          <w:highlight w:val="none"/>
        </w:rPr>
        <w:t>★</w:t>
      </w:r>
      <w:r>
        <w:rPr>
          <w:rFonts w:hint="default" w:ascii="宋体" w:hAnsi="宋体" w:eastAsia="宋体"/>
          <w:color w:val="000000"/>
          <w:sz w:val="24"/>
          <w:szCs w:val="24"/>
          <w:highlight w:val="none"/>
        </w:rPr>
        <w:t>”</w:t>
      </w:r>
      <w:r>
        <w:rPr>
          <w:rFonts w:hint="eastAsia" w:ascii="宋体" w:hAnsi="宋体" w:eastAsia="宋体"/>
          <w:color w:val="000000"/>
          <w:sz w:val="24"/>
          <w:szCs w:val="24"/>
          <w:highlight w:val="none"/>
        </w:rPr>
        <w:t>号条款 《用户需求书》中标注有</w:t>
      </w:r>
      <w:r>
        <w:rPr>
          <w:rFonts w:hint="default" w:ascii="宋体" w:hAnsi="宋体" w:eastAsia="宋体"/>
          <w:color w:val="000000"/>
          <w:sz w:val="24"/>
          <w:szCs w:val="24"/>
          <w:highlight w:val="none"/>
        </w:rPr>
        <w:t>“</w:t>
      </w:r>
      <w:r>
        <w:rPr>
          <w:rFonts w:hint="eastAsia" w:ascii="宋体" w:hAnsi="宋体" w:eastAsia="宋体"/>
          <w:color w:val="000000"/>
          <w:sz w:val="24"/>
          <w:szCs w:val="24"/>
          <w:highlight w:val="none"/>
        </w:rPr>
        <w:t>★</w:t>
      </w:r>
      <w:r>
        <w:rPr>
          <w:rFonts w:hint="default" w:ascii="宋体" w:hAnsi="宋体" w:eastAsia="宋体"/>
          <w:color w:val="000000"/>
          <w:sz w:val="24"/>
          <w:szCs w:val="24"/>
          <w:highlight w:val="none"/>
        </w:rPr>
        <w:t>”</w:t>
      </w:r>
      <w:r>
        <w:rPr>
          <w:rFonts w:hint="eastAsia" w:ascii="宋体" w:hAnsi="宋体" w:eastAsia="宋体"/>
          <w:color w:val="000000"/>
          <w:sz w:val="24"/>
          <w:szCs w:val="24"/>
          <w:highlight w:val="none"/>
        </w:rPr>
        <w:t xml:space="preserve">号的条款必须实质性响应，负偏离（不满足要求）将导致投标无效。 </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lang w:val="en-US" w:eastAsia="zh-CN"/>
        </w:rPr>
        <w:t>▲</w:t>
      </w:r>
      <w:r>
        <w:rPr>
          <w:rFonts w:hint="eastAsia" w:ascii="宋体" w:hAnsi="宋体"/>
          <w:sz w:val="24"/>
          <w:szCs w:val="24"/>
          <w:highlight w:val="none"/>
        </w:rPr>
        <w:t>（一）</w:t>
      </w:r>
      <w:r>
        <w:rPr>
          <w:rFonts w:hint="eastAsia" w:ascii="宋体" w:hAnsi="宋体"/>
          <w:sz w:val="24"/>
          <w:szCs w:val="24"/>
          <w:highlight w:val="none"/>
          <w:lang w:eastAsia="zh-CN"/>
        </w:rPr>
        <w:t>本项目的承包方式为招标项目总价包干。</w:t>
      </w:r>
      <w:r>
        <w:rPr>
          <w:rFonts w:hint="eastAsia" w:ascii="宋体" w:hAnsi="宋体"/>
          <w:sz w:val="24"/>
          <w:szCs w:val="24"/>
          <w:highlight w:val="none"/>
        </w:rPr>
        <w:t>服务费用由采购人按月支付，于每月25日前支付当月80%的服务费，并于次月25日前支付结余款。如遇当月有服务质量考核的，其服务费用根据考核情况发放。结算时中标供应商必须出具正式发票，费用由采购人通过银行转账划拨。采购人按双方约定时间付清中标供应商服务费用，不再负责中标供应商因此产生的债务或其他经济问题。</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lang w:val="en-US" w:eastAsia="zh-CN"/>
        </w:rPr>
        <w:t>▲</w:t>
      </w:r>
      <w:r>
        <w:rPr>
          <w:rFonts w:hint="eastAsia" w:ascii="宋体" w:hAnsi="宋体"/>
          <w:sz w:val="24"/>
          <w:szCs w:val="24"/>
          <w:highlight w:val="none"/>
        </w:rPr>
        <w:t>（二）凡因中标供应商管理不力，造成服务状况差，干部职工满意度低，经采购人考核一年内超过3次低于85分的，签订合同满一年的，采购人有权单方终止本合同，剩余的服务费不发；如果承包期间出现明显管理不善，考核出现低于75分的，或因管理原因造成安全事故损失超人民币10万元的，采购人有权单方终止本合同，剩余的</w:t>
      </w:r>
      <w:r>
        <w:rPr>
          <w:rFonts w:hint="eastAsia" w:ascii="宋体" w:hAnsi="宋体"/>
          <w:sz w:val="24"/>
          <w:szCs w:val="24"/>
          <w:highlight w:val="none"/>
          <w:lang w:val="en-US" w:eastAsia="zh-CN"/>
        </w:rPr>
        <w:t>服务</w:t>
      </w:r>
      <w:r>
        <w:rPr>
          <w:rFonts w:hint="eastAsia" w:ascii="宋体" w:hAnsi="宋体"/>
          <w:sz w:val="24"/>
          <w:szCs w:val="24"/>
          <w:highlight w:val="none"/>
        </w:rPr>
        <w:t>费不发，依法追究民事责任。</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lang w:val="en-US" w:eastAsia="zh-CN"/>
        </w:rPr>
        <w:t>▲</w:t>
      </w:r>
      <w:r>
        <w:rPr>
          <w:rFonts w:hint="eastAsia" w:ascii="宋体" w:hAnsi="宋体"/>
          <w:sz w:val="24"/>
          <w:szCs w:val="24"/>
          <w:highlight w:val="none"/>
        </w:rPr>
        <w:t>（三）中标供应商必须按采购人所在地的有关政策规定，为所聘用人员缴纳社会保险（含养老保险、医疗保险、工伤保险、失业保险、生育保险等）和住房公积金。所聘用人员发生的伤亡、医疗等均由中标供应商负责。</w:t>
      </w:r>
    </w:p>
    <w:p>
      <w:pPr>
        <w:spacing w:line="520" w:lineRule="exact"/>
        <w:ind w:firstLine="360" w:firstLineChars="150"/>
        <w:rPr>
          <w:rFonts w:hint="eastAsia" w:ascii="宋体" w:hAnsi="宋体"/>
          <w:color w:val="auto"/>
          <w:sz w:val="24"/>
          <w:szCs w:val="24"/>
          <w:highlight w:val="none"/>
        </w:rPr>
      </w:pPr>
      <w:r>
        <w:rPr>
          <w:rFonts w:hint="eastAsia" w:ascii="宋体" w:hAnsi="宋体"/>
          <w:sz w:val="24"/>
          <w:szCs w:val="24"/>
          <w:highlight w:val="none"/>
          <w:lang w:val="en-US" w:eastAsia="zh-CN"/>
        </w:rPr>
        <w:t>▲</w:t>
      </w:r>
      <w:r>
        <w:rPr>
          <w:rFonts w:hint="eastAsia" w:ascii="宋体" w:hAnsi="宋体"/>
          <w:sz w:val="24"/>
          <w:szCs w:val="24"/>
          <w:highlight w:val="none"/>
        </w:rPr>
        <w:t>（四）中标供应商所聘用人员工资</w:t>
      </w:r>
      <w:r>
        <w:rPr>
          <w:rFonts w:hint="eastAsia" w:ascii="宋体" w:hAnsi="宋体"/>
          <w:color w:val="auto"/>
          <w:sz w:val="24"/>
          <w:szCs w:val="24"/>
          <w:highlight w:val="none"/>
        </w:rPr>
        <w:t>均不低于采购人所在地最低工资标准。</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lang w:val="en-US" w:eastAsia="zh-CN"/>
        </w:rPr>
        <w:t>▲</w:t>
      </w:r>
      <w:r>
        <w:rPr>
          <w:rFonts w:hint="eastAsia" w:ascii="宋体" w:hAnsi="宋体"/>
          <w:sz w:val="24"/>
          <w:szCs w:val="24"/>
          <w:highlight w:val="none"/>
        </w:rPr>
        <w:t>（五）中标供应商所委派的工作人员必须遵守采购人有关规章制度和管理规定，如有违反或损害采购人利益的，采购人有拒绝中标供应商违规工作人员继续工作的权利。</w:t>
      </w:r>
    </w:p>
    <w:p>
      <w:pPr>
        <w:spacing w:line="520" w:lineRule="exact"/>
        <w:ind w:firstLine="361" w:firstLineChars="150"/>
        <w:rPr>
          <w:rFonts w:hint="eastAsia" w:ascii="宋体" w:hAnsi="宋体"/>
          <w:b/>
          <w:bCs/>
          <w:sz w:val="24"/>
          <w:szCs w:val="24"/>
          <w:highlight w:val="none"/>
        </w:rPr>
      </w:pPr>
      <w:r>
        <w:rPr>
          <w:rFonts w:hint="eastAsia" w:ascii="宋体" w:hAnsi="宋体" w:eastAsia="宋体"/>
          <w:b/>
          <w:bCs/>
          <w:color w:val="000000"/>
          <w:sz w:val="24"/>
          <w:szCs w:val="24"/>
          <w:highlight w:val="none"/>
        </w:rPr>
        <w:t>★采购人对中标人的全部物业工作人员有招聘面试决定权和辞退权（投标时提交承诺函）。</w:t>
      </w:r>
      <w:r>
        <w:rPr>
          <w:rFonts w:hint="eastAsia" w:ascii="宋体" w:hAnsi="宋体" w:eastAsia="宋体"/>
          <w:b/>
          <w:bCs/>
          <w:color w:val="000000"/>
          <w:sz w:val="21"/>
          <w:szCs w:val="24"/>
          <w:highlight w:val="none"/>
        </w:rPr>
        <w:t xml:space="preserve"> </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rPr>
        <w:t>（六）本项目各类用水、用电费用（公共用水用电、设备用水用电等）由采购人负责，中标供应商必须严格遵守采购人有关节能减排等用水用电相关规定。</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rPr>
        <w:t>（七）中标供应商必须接受采购人指定的监督机构的检查监督，包括工作质量、工作强度、安全作业及相关职能部门根据有关政策规定日常检查、监督或评比工作等。采购人也可根据工作实际组织对中标供应商的服务质量、管理水平、安全生产等情况进行检查监督。</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rPr>
        <w:t>（八）中标供应商在服务期内由于管理不善造成群众、采购人等相关人员人身伤亡和财产损失的，由中标供应商负责赔偿。</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rPr>
        <w:t>（九）中标供应商所委派的工作人员在本项目范围内发生违法、违规行为的，所造成一切后果及损失，由中标供应商承担责任和负责赔偿。</w:t>
      </w:r>
    </w:p>
    <w:p>
      <w:pPr>
        <w:spacing w:line="520" w:lineRule="exact"/>
        <w:ind w:firstLine="360" w:firstLineChars="150"/>
        <w:rPr>
          <w:rFonts w:hint="eastAsia" w:ascii="宋体" w:hAnsi="宋体"/>
          <w:sz w:val="24"/>
          <w:szCs w:val="24"/>
          <w:highlight w:val="none"/>
        </w:rPr>
      </w:pPr>
      <w:r>
        <w:rPr>
          <w:rFonts w:hint="eastAsia" w:ascii="宋体" w:hAnsi="宋体"/>
          <w:sz w:val="24"/>
          <w:szCs w:val="24"/>
          <w:highlight w:val="none"/>
        </w:rPr>
        <w:t>（十）为便于双方在服务管理中的交流沟通，中标供应商应在采购人处设立管理处，管理处场地由采购人提供。</w:t>
      </w:r>
    </w:p>
    <w:p>
      <w:pPr>
        <w:spacing w:line="520" w:lineRule="exact"/>
        <w:ind w:firstLine="360" w:firstLineChars="150"/>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十一）</w:t>
      </w:r>
      <w:r>
        <w:rPr>
          <w:rFonts w:hint="eastAsia" w:ascii="宋体" w:hAnsi="宋体"/>
          <w:sz w:val="24"/>
          <w:szCs w:val="24"/>
          <w:highlight w:val="none"/>
        </w:rPr>
        <w:t>中标供应商</w:t>
      </w:r>
      <w:r>
        <w:rPr>
          <w:rFonts w:hint="eastAsia" w:ascii="宋体" w:hAnsi="宋体"/>
          <w:sz w:val="24"/>
          <w:szCs w:val="24"/>
          <w:highlight w:val="none"/>
          <w:lang w:val="en-US" w:eastAsia="zh-CN"/>
        </w:rPr>
        <w:t>接收到采购人关于本项目服务范围内的物业管理问题，应在1小时内响应，2个小时到达现场处理问题。</w:t>
      </w:r>
    </w:p>
    <w:p>
      <w:pPr>
        <w:spacing w:line="480" w:lineRule="exact"/>
        <w:ind w:firstLine="482" w:firstLineChars="200"/>
        <w:rPr>
          <w:rFonts w:hint="eastAsia"/>
          <w:b/>
          <w:sz w:val="24"/>
          <w:highlight w:val="none"/>
        </w:rPr>
      </w:pPr>
    </w:p>
    <w:p>
      <w:pPr>
        <w:spacing w:line="480" w:lineRule="exact"/>
        <w:ind w:firstLine="482" w:firstLineChars="200"/>
        <w:rPr>
          <w:rFonts w:hint="eastAsia"/>
          <w:b/>
          <w:sz w:val="24"/>
          <w:highlight w:val="none"/>
        </w:rPr>
        <w:sectPr>
          <w:pgSz w:w="11906" w:h="16838"/>
          <w:pgMar w:top="1440" w:right="1800" w:bottom="1440" w:left="1800" w:header="851" w:footer="567" w:gutter="0"/>
          <w:pgNumType w:fmt="decimal"/>
          <w:cols w:space="425" w:num="1"/>
          <w:docGrid w:linePitch="312" w:charSpace="0"/>
        </w:sectPr>
      </w:pPr>
    </w:p>
    <w:p>
      <w:pPr>
        <w:spacing w:line="480" w:lineRule="exact"/>
        <w:rPr>
          <w:rFonts w:hint="eastAsia" w:ascii="宋体" w:hAnsi="宋体" w:cs="宋体"/>
          <w:kern w:val="0"/>
          <w:sz w:val="24"/>
          <w:szCs w:val="24"/>
          <w:highlight w:val="none"/>
        </w:rPr>
      </w:pPr>
      <w:r>
        <w:rPr>
          <w:rFonts w:hint="eastAsia" w:ascii="宋体" w:hAnsi="宋体" w:cs="宋体"/>
          <w:kern w:val="0"/>
          <w:sz w:val="24"/>
          <w:szCs w:val="24"/>
          <w:highlight w:val="none"/>
        </w:rPr>
        <w:t>附页1：服务费用明细表</w:t>
      </w:r>
    </w:p>
    <w:p>
      <w:pPr>
        <w:spacing w:line="480" w:lineRule="exact"/>
        <w:rPr>
          <w:rFonts w:hint="eastAsia" w:ascii="宋体" w:hAnsi="宋体" w:cs="宋体"/>
          <w:kern w:val="0"/>
          <w:sz w:val="20"/>
          <w:szCs w:val="20"/>
          <w:highlight w:val="none"/>
        </w:rPr>
      </w:pPr>
    </w:p>
    <w:p>
      <w:pPr>
        <w:spacing w:line="480" w:lineRule="exact"/>
        <w:ind w:firstLine="562" w:firstLineChars="200"/>
        <w:jc w:val="center"/>
        <w:rPr>
          <w:rFonts w:ascii="宋体" w:hAnsi="宋体" w:cs="宋体"/>
          <w:b/>
          <w:bCs/>
          <w:kern w:val="0"/>
          <w:sz w:val="28"/>
          <w:szCs w:val="28"/>
          <w:highlight w:val="none"/>
        </w:rPr>
      </w:pPr>
      <w:r>
        <w:rPr>
          <w:rFonts w:hint="eastAsia" w:ascii="宋体" w:hAnsi="宋体" w:cs="宋体"/>
          <w:b/>
          <w:bCs/>
          <w:kern w:val="0"/>
          <w:sz w:val="28"/>
          <w:szCs w:val="28"/>
          <w:highlight w:val="none"/>
        </w:rPr>
        <w:t>服务费用明细表</w:t>
      </w:r>
    </w:p>
    <w:p>
      <w:pPr>
        <w:spacing w:line="480" w:lineRule="exact"/>
        <w:ind w:firstLine="480" w:firstLineChars="200"/>
        <w:jc w:val="right"/>
        <w:rPr>
          <w:b/>
          <w:sz w:val="24"/>
          <w:highlight w:val="none"/>
        </w:rPr>
      </w:pPr>
      <w:r>
        <w:rPr>
          <w:rFonts w:hint="eastAsia" w:ascii="宋体" w:hAnsi="宋体" w:cs="宋体"/>
          <w:kern w:val="0"/>
          <w:sz w:val="24"/>
          <w:highlight w:val="none"/>
        </w:rPr>
        <w:t>单位:元</w:t>
      </w:r>
    </w:p>
    <w:tbl>
      <w:tblPr>
        <w:tblStyle w:val="40"/>
        <w:tblW w:w="4999" w:type="pct"/>
        <w:jc w:val="center"/>
        <w:tblLayout w:type="autofit"/>
        <w:tblCellMar>
          <w:top w:w="0" w:type="dxa"/>
          <w:left w:w="108" w:type="dxa"/>
          <w:bottom w:w="0" w:type="dxa"/>
          <w:right w:w="108" w:type="dxa"/>
        </w:tblCellMar>
      </w:tblPr>
      <w:tblGrid>
        <w:gridCol w:w="1416"/>
        <w:gridCol w:w="3199"/>
        <w:gridCol w:w="3905"/>
      </w:tblGrid>
      <w:tr>
        <w:tblPrEx>
          <w:tblCellMar>
            <w:top w:w="0" w:type="dxa"/>
            <w:left w:w="108" w:type="dxa"/>
            <w:bottom w:w="0" w:type="dxa"/>
            <w:right w:w="108" w:type="dxa"/>
          </w:tblCellMar>
        </w:tblPrEx>
        <w:trPr>
          <w:trHeight w:val="720" w:hRule="atLeast"/>
          <w:jc w:val="center"/>
        </w:trPr>
        <w:tc>
          <w:tcPr>
            <w:tcW w:w="831" w:type="pct"/>
            <w:tcBorders>
              <w:top w:val="single" w:color="auto" w:sz="8" w:space="0"/>
              <w:left w:val="single" w:color="auto" w:sz="8"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年度</w:t>
            </w:r>
          </w:p>
        </w:tc>
        <w:tc>
          <w:tcPr>
            <w:tcW w:w="18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每月上限</w:t>
            </w:r>
          </w:p>
        </w:tc>
        <w:tc>
          <w:tcPr>
            <w:tcW w:w="229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全年上限</w:t>
            </w:r>
          </w:p>
        </w:tc>
      </w:tr>
      <w:tr>
        <w:tblPrEx>
          <w:tblCellMar>
            <w:top w:w="0" w:type="dxa"/>
            <w:left w:w="108" w:type="dxa"/>
            <w:bottom w:w="0" w:type="dxa"/>
            <w:right w:w="108" w:type="dxa"/>
          </w:tblCellMar>
        </w:tblPrEx>
        <w:trPr>
          <w:trHeight w:val="720" w:hRule="atLeast"/>
          <w:jc w:val="center"/>
        </w:trPr>
        <w:tc>
          <w:tcPr>
            <w:tcW w:w="83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p>
        </w:tc>
        <w:tc>
          <w:tcPr>
            <w:tcW w:w="1877"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145000</w:t>
            </w:r>
          </w:p>
        </w:tc>
        <w:tc>
          <w:tcPr>
            <w:tcW w:w="229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1740000</w:t>
            </w:r>
          </w:p>
        </w:tc>
      </w:tr>
      <w:tr>
        <w:tblPrEx>
          <w:tblCellMar>
            <w:top w:w="0" w:type="dxa"/>
            <w:left w:w="108" w:type="dxa"/>
            <w:bottom w:w="0" w:type="dxa"/>
            <w:right w:w="108" w:type="dxa"/>
          </w:tblCellMar>
        </w:tblPrEx>
        <w:trPr>
          <w:trHeight w:val="720" w:hRule="atLeast"/>
          <w:jc w:val="center"/>
        </w:trPr>
        <w:tc>
          <w:tcPr>
            <w:tcW w:w="83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4</w:t>
            </w:r>
          </w:p>
        </w:tc>
        <w:tc>
          <w:tcPr>
            <w:tcW w:w="1877"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152250</w:t>
            </w:r>
          </w:p>
        </w:tc>
        <w:tc>
          <w:tcPr>
            <w:tcW w:w="229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1827000</w:t>
            </w:r>
          </w:p>
        </w:tc>
      </w:tr>
      <w:tr>
        <w:tblPrEx>
          <w:tblCellMar>
            <w:top w:w="0" w:type="dxa"/>
            <w:left w:w="108" w:type="dxa"/>
            <w:bottom w:w="0" w:type="dxa"/>
            <w:right w:w="108" w:type="dxa"/>
          </w:tblCellMar>
        </w:tblPrEx>
        <w:trPr>
          <w:trHeight w:val="657" w:hRule="atLeast"/>
          <w:jc w:val="center"/>
        </w:trPr>
        <w:tc>
          <w:tcPr>
            <w:tcW w:w="831" w:type="pct"/>
            <w:tcBorders>
              <w:top w:val="single" w:color="auto" w:sz="4" w:space="0"/>
              <w:left w:val="single" w:color="auto" w:sz="8" w:space="0"/>
              <w:bottom w:val="nil"/>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p>
        </w:tc>
        <w:tc>
          <w:tcPr>
            <w:tcW w:w="1877"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159862.5</w:t>
            </w:r>
          </w:p>
        </w:tc>
        <w:tc>
          <w:tcPr>
            <w:tcW w:w="2290" w:type="pct"/>
            <w:tcBorders>
              <w:top w:val="single" w:color="auto" w:sz="4" w:space="0"/>
              <w:left w:val="nil"/>
              <w:bottom w:val="single" w:color="auto" w:sz="4" w:space="0"/>
              <w:right w:val="single" w:color="000000" w:sz="4" w:space="0"/>
            </w:tcBorders>
            <w:shd w:val="clear" w:color="auto" w:fill="auto"/>
            <w:vAlign w:val="bottom"/>
          </w:tcPr>
          <w:p>
            <w:pPr>
              <w:widowControl/>
              <w:jc w:val="center"/>
              <w:rPr>
                <w:rFonts w:hint="eastAsia" w:ascii="宋体" w:hAnsi="宋体" w:cs="宋体"/>
                <w:color w:val="auto"/>
                <w:kern w:val="0"/>
                <w:sz w:val="24"/>
                <w:highlight w:val="none"/>
                <w:lang w:val="en-US" w:eastAsia="zh-CN"/>
              </w:rPr>
            </w:pPr>
          </w:p>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1918350</w:t>
            </w:r>
          </w:p>
          <w:p>
            <w:pPr>
              <w:widowControl/>
              <w:jc w:val="center"/>
              <w:rPr>
                <w:rFonts w:hint="default" w:ascii="宋体" w:hAnsi="宋体" w:eastAsia="宋体" w:cs="宋体"/>
                <w:color w:val="auto"/>
                <w:kern w:val="0"/>
                <w:sz w:val="24"/>
                <w:highlight w:val="none"/>
                <w:lang w:val="en-US" w:eastAsia="zh-CN"/>
              </w:rPr>
            </w:pPr>
          </w:p>
        </w:tc>
      </w:tr>
      <w:tr>
        <w:tblPrEx>
          <w:tblCellMar>
            <w:top w:w="0" w:type="dxa"/>
            <w:left w:w="108" w:type="dxa"/>
            <w:bottom w:w="0" w:type="dxa"/>
            <w:right w:w="108" w:type="dxa"/>
          </w:tblCellMar>
        </w:tblPrEx>
        <w:trPr>
          <w:trHeight w:val="661" w:hRule="atLeast"/>
          <w:jc w:val="center"/>
        </w:trPr>
        <w:tc>
          <w:tcPr>
            <w:tcW w:w="831" w:type="pct"/>
            <w:tcBorders>
              <w:top w:val="single" w:color="auto" w:sz="4" w:space="0"/>
              <w:left w:val="single" w:color="auto" w:sz="8" w:space="0"/>
              <w:bottom w:val="nil"/>
              <w:right w:val="single" w:color="auto" w:sz="4"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合计</w:t>
            </w:r>
          </w:p>
        </w:tc>
        <w:tc>
          <w:tcPr>
            <w:tcW w:w="1877"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w:t>
            </w:r>
          </w:p>
        </w:tc>
        <w:tc>
          <w:tcPr>
            <w:tcW w:w="2290"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5485350</w:t>
            </w:r>
          </w:p>
        </w:tc>
      </w:tr>
      <w:tr>
        <w:tblPrEx>
          <w:tblCellMar>
            <w:top w:w="0" w:type="dxa"/>
            <w:left w:w="108" w:type="dxa"/>
            <w:bottom w:w="0" w:type="dxa"/>
            <w:right w:w="108" w:type="dxa"/>
          </w:tblCellMar>
        </w:tblPrEx>
        <w:trPr>
          <w:trHeight w:val="1833" w:hRule="atLeast"/>
          <w:jc w:val="center"/>
        </w:trPr>
        <w:tc>
          <w:tcPr>
            <w:tcW w:w="831"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备注</w:t>
            </w:r>
          </w:p>
        </w:tc>
        <w:tc>
          <w:tcPr>
            <w:tcW w:w="4168" w:type="pct"/>
            <w:gridSpan w:val="2"/>
            <w:tcBorders>
              <w:top w:val="single" w:color="auto" w:sz="4" w:space="0"/>
              <w:left w:val="nil"/>
              <w:bottom w:val="single" w:color="auto" w:sz="8" w:space="0"/>
              <w:right w:val="single" w:color="000000" w:sz="4"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中标金额不得超过各列明服务费上限；服务费用含</w:t>
            </w:r>
            <w:r>
              <w:rPr>
                <w:rFonts w:hint="eastAsia" w:ascii="宋体" w:hAnsi="宋体" w:cs="宋体"/>
                <w:kern w:val="0"/>
                <w:sz w:val="24"/>
                <w:highlight w:val="none"/>
                <w:lang w:eastAsia="zh-CN"/>
              </w:rPr>
              <w:t>人工费用、</w:t>
            </w:r>
            <w:r>
              <w:rPr>
                <w:rFonts w:hint="eastAsia" w:ascii="宋体" w:hAnsi="宋体" w:cs="宋体"/>
                <w:kern w:val="0"/>
                <w:sz w:val="24"/>
                <w:highlight w:val="none"/>
              </w:rPr>
              <w:t>员工服装费、入职体检费、培训费、保安器材、管理费、税</w:t>
            </w:r>
            <w:r>
              <w:rPr>
                <w:rFonts w:hint="eastAsia" w:ascii="宋体" w:hAnsi="宋体" w:cs="宋体"/>
                <w:kern w:val="0"/>
                <w:sz w:val="24"/>
                <w:highlight w:val="none"/>
                <w:lang w:eastAsia="zh-CN"/>
              </w:rPr>
              <w:t>费</w:t>
            </w:r>
            <w:r>
              <w:rPr>
                <w:rFonts w:hint="eastAsia" w:ascii="宋体" w:hAnsi="宋体" w:cs="宋体"/>
                <w:kern w:val="0"/>
                <w:sz w:val="24"/>
                <w:highlight w:val="none"/>
              </w:rPr>
              <w:t>等服务配套费用。</w:t>
            </w:r>
          </w:p>
        </w:tc>
      </w:tr>
    </w:tbl>
    <w:p>
      <w:pPr>
        <w:spacing w:line="480" w:lineRule="exact"/>
        <w:ind w:firstLine="482" w:firstLineChars="200"/>
        <w:rPr>
          <w:rFonts w:hint="eastAsia"/>
          <w:b/>
          <w:sz w:val="24"/>
          <w:highlight w:val="none"/>
        </w:rPr>
        <w:sectPr>
          <w:pgSz w:w="11906" w:h="16838"/>
          <w:pgMar w:top="1440" w:right="1800" w:bottom="1440" w:left="1800" w:header="851" w:footer="567" w:gutter="0"/>
          <w:pgNumType w:fmt="decimal"/>
          <w:cols w:space="425" w:num="1"/>
          <w:docGrid w:linePitch="312" w:charSpace="0"/>
        </w:sectPr>
      </w:pPr>
    </w:p>
    <w:p>
      <w:pPr>
        <w:spacing w:line="480" w:lineRule="exact"/>
        <w:rPr>
          <w:rFonts w:hint="eastAsia" w:ascii="宋体" w:hAnsi="宋体" w:cs="宋体"/>
          <w:kern w:val="0"/>
          <w:sz w:val="24"/>
          <w:szCs w:val="24"/>
          <w:highlight w:val="none"/>
        </w:rPr>
      </w:pPr>
      <w:r>
        <w:rPr>
          <w:rFonts w:hint="eastAsia" w:ascii="宋体" w:hAnsi="宋体" w:cs="宋体"/>
          <w:kern w:val="0"/>
          <w:sz w:val="24"/>
          <w:szCs w:val="24"/>
          <w:highlight w:val="none"/>
        </w:rPr>
        <w:t>附页2：潮州大道办公楼后勤综合服务要求及人员配置表</w:t>
      </w:r>
    </w:p>
    <w:p>
      <w:pPr>
        <w:widowControl/>
        <w:spacing w:line="400" w:lineRule="exact"/>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潮州大道办公楼后勤综合服务要求及人员配置表</w:t>
      </w:r>
    </w:p>
    <w:tbl>
      <w:tblPr>
        <w:tblStyle w:val="4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616"/>
        <w:gridCol w:w="634"/>
        <w:gridCol w:w="747"/>
        <w:gridCol w:w="512"/>
        <w:gridCol w:w="496"/>
        <w:gridCol w:w="853"/>
        <w:gridCol w:w="5490"/>
        <w:gridCol w:w="3305"/>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 w:type="pct"/>
            <w:vMerge w:val="restart"/>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序号</w:t>
            </w:r>
          </w:p>
        </w:tc>
        <w:tc>
          <w:tcPr>
            <w:tcW w:w="217" w:type="pct"/>
            <w:vMerge w:val="restart"/>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管理项目</w:t>
            </w:r>
          </w:p>
        </w:tc>
        <w:tc>
          <w:tcPr>
            <w:tcW w:w="1145" w:type="pct"/>
            <w:gridSpan w:val="5"/>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人员配置</w:t>
            </w:r>
          </w:p>
        </w:tc>
        <w:tc>
          <w:tcPr>
            <w:tcW w:w="3489" w:type="pct"/>
            <w:gridSpan w:val="3"/>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各项目要求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 w:type="pct"/>
            <w:vMerge w:val="continue"/>
            <w:vAlign w:val="center"/>
          </w:tcPr>
          <w:p>
            <w:pPr>
              <w:widowControl/>
              <w:spacing w:line="240" w:lineRule="exact"/>
              <w:jc w:val="left"/>
              <w:rPr>
                <w:rFonts w:ascii="宋体" w:hAnsi="宋体" w:cs="宋体"/>
                <w:kern w:val="0"/>
                <w:sz w:val="20"/>
                <w:szCs w:val="20"/>
                <w:highlight w:val="none"/>
              </w:rPr>
            </w:pPr>
          </w:p>
        </w:tc>
        <w:tc>
          <w:tcPr>
            <w:tcW w:w="217" w:type="pct"/>
            <w:vMerge w:val="continue"/>
            <w:vAlign w:val="center"/>
          </w:tcPr>
          <w:p>
            <w:pPr>
              <w:widowControl/>
              <w:spacing w:line="240" w:lineRule="exact"/>
              <w:jc w:val="left"/>
              <w:rPr>
                <w:rFonts w:ascii="宋体" w:hAnsi="宋体" w:cs="宋体"/>
                <w:kern w:val="0"/>
                <w:sz w:val="20"/>
                <w:szCs w:val="20"/>
                <w:highlight w:val="none"/>
              </w:rPr>
            </w:pPr>
          </w:p>
        </w:tc>
        <w:tc>
          <w:tcPr>
            <w:tcW w:w="22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岗位名称</w:t>
            </w: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岗位配置</w:t>
            </w:r>
          </w:p>
        </w:tc>
        <w:tc>
          <w:tcPr>
            <w:tcW w:w="181"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人数</w:t>
            </w:r>
          </w:p>
        </w:tc>
        <w:tc>
          <w:tcPr>
            <w:tcW w:w="175"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性别</w:t>
            </w:r>
          </w:p>
        </w:tc>
        <w:tc>
          <w:tcPr>
            <w:tcW w:w="298" w:type="pc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年龄</w:t>
            </w:r>
          </w:p>
        </w:tc>
        <w:tc>
          <w:tcPr>
            <w:tcW w:w="1937"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服务要求</w:t>
            </w:r>
          </w:p>
        </w:tc>
        <w:tc>
          <w:tcPr>
            <w:tcW w:w="1166"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人员要求</w:t>
            </w:r>
          </w:p>
        </w:tc>
        <w:tc>
          <w:tcPr>
            <w:tcW w:w="386"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217"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安全保卫</w:t>
            </w:r>
          </w:p>
        </w:tc>
        <w:tc>
          <w:tcPr>
            <w:tcW w:w="224"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保安</w:t>
            </w: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队长兼组长</w:t>
            </w:r>
          </w:p>
        </w:tc>
        <w:tc>
          <w:tcPr>
            <w:tcW w:w="181"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75"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男</w:t>
            </w:r>
          </w:p>
        </w:tc>
        <w:tc>
          <w:tcPr>
            <w:tcW w:w="298"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20至58周岁</w:t>
            </w:r>
          </w:p>
        </w:tc>
        <w:tc>
          <w:tcPr>
            <w:tcW w:w="1937" w:type="pct"/>
            <w:vMerge w:val="restart"/>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负责全天24小时值班（含视频监控），对外来人员及车辆要按照规定进行检查、登记和管理，对单位内一切车辆和设施设备要加强管理和保护。加强夜间巡逻，做好巡查记录，发现问题及时向值班人员和有关领导汇报，确保生命、财产的安全。掌握、熟悉消防设施使用方法，定期检查消防设施、设备的使用和运行情况，发现问题及时上报，并做好完整记录。加强办公秩序管理，制止、清理、周边墙体的乱贴、乱搭、乱摆。</w:t>
            </w:r>
          </w:p>
        </w:tc>
        <w:tc>
          <w:tcPr>
            <w:tcW w:w="1166" w:type="pct"/>
            <w:vMerge w:val="restart"/>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身体健康、思想端正、服务热情、按规定要求着装上岗，初中（含）以上文化程度，具执业资格。组长对当值的安全保卫工作负总责。</w:t>
            </w:r>
          </w:p>
        </w:tc>
        <w:tc>
          <w:tcPr>
            <w:tcW w:w="386" w:type="pct"/>
            <w:vMerge w:val="restart"/>
            <w:shd w:val="clear" w:color="auto" w:fill="auto"/>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在岗人员情况及调换应及时告知采购人，若要调离必须征得采购人同意；对不负责任、工作表现差的人员采购人有权提出调离或辞退，中标单位应及时安排顶替人员。另外，在岗人员必须服从工作的临时调配。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6"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217"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224"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264" w:type="pc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组长</w:t>
            </w:r>
          </w:p>
        </w:tc>
        <w:tc>
          <w:tcPr>
            <w:tcW w:w="181" w:type="pc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175"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298"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1937" w:type="pct"/>
            <w:vMerge w:val="continue"/>
            <w:shd w:val="clear" w:color="auto" w:fill="auto"/>
            <w:vAlign w:val="center"/>
          </w:tcPr>
          <w:p>
            <w:pPr>
              <w:widowControl/>
              <w:spacing w:line="240" w:lineRule="exact"/>
              <w:jc w:val="left"/>
              <w:rPr>
                <w:rFonts w:hint="eastAsia" w:ascii="宋体" w:hAnsi="宋体" w:cs="宋体"/>
                <w:kern w:val="0"/>
                <w:sz w:val="20"/>
                <w:szCs w:val="20"/>
                <w:highlight w:val="none"/>
              </w:rPr>
            </w:pPr>
          </w:p>
        </w:tc>
        <w:tc>
          <w:tcPr>
            <w:tcW w:w="1166" w:type="pct"/>
            <w:vMerge w:val="continue"/>
            <w:shd w:val="clear" w:color="auto" w:fill="auto"/>
            <w:vAlign w:val="center"/>
          </w:tcPr>
          <w:p>
            <w:pPr>
              <w:widowControl/>
              <w:spacing w:line="240" w:lineRule="exact"/>
              <w:jc w:val="left"/>
              <w:rPr>
                <w:rFonts w:hint="eastAsia" w:ascii="宋体" w:hAnsi="宋体" w:cs="宋体"/>
                <w:kern w:val="0"/>
                <w:sz w:val="20"/>
                <w:szCs w:val="20"/>
                <w:highlight w:val="none"/>
              </w:rPr>
            </w:pPr>
          </w:p>
        </w:tc>
        <w:tc>
          <w:tcPr>
            <w:tcW w:w="386"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6"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17"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24"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保安员</w:t>
            </w:r>
          </w:p>
        </w:tc>
        <w:tc>
          <w:tcPr>
            <w:tcW w:w="181" w:type="pct"/>
            <w:shd w:val="clear" w:color="auto" w:fill="auto"/>
            <w:vAlign w:val="center"/>
          </w:tcPr>
          <w:p>
            <w:pPr>
              <w:widowControl/>
              <w:spacing w:line="240" w:lineRule="exact"/>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6</w:t>
            </w:r>
          </w:p>
        </w:tc>
        <w:tc>
          <w:tcPr>
            <w:tcW w:w="175"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98"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1937" w:type="pct"/>
            <w:vMerge w:val="continue"/>
            <w:vAlign w:val="center"/>
          </w:tcPr>
          <w:p>
            <w:pPr>
              <w:widowControl/>
              <w:spacing w:line="240" w:lineRule="exact"/>
              <w:jc w:val="left"/>
              <w:rPr>
                <w:rFonts w:ascii="宋体" w:hAnsi="宋体" w:cs="宋体"/>
                <w:kern w:val="0"/>
                <w:sz w:val="20"/>
                <w:szCs w:val="20"/>
                <w:highlight w:val="none"/>
              </w:rPr>
            </w:pPr>
          </w:p>
        </w:tc>
        <w:tc>
          <w:tcPr>
            <w:tcW w:w="1166" w:type="pct"/>
            <w:vMerge w:val="continue"/>
            <w:vAlign w:val="center"/>
          </w:tcPr>
          <w:p>
            <w:pPr>
              <w:widowControl/>
              <w:spacing w:line="240" w:lineRule="exact"/>
              <w:jc w:val="left"/>
              <w:rPr>
                <w:rFonts w:ascii="宋体" w:hAnsi="宋体" w:cs="宋体"/>
                <w:kern w:val="0"/>
                <w:sz w:val="20"/>
                <w:szCs w:val="20"/>
                <w:highlight w:val="none"/>
              </w:rPr>
            </w:pP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217"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食堂供餐</w:t>
            </w:r>
          </w:p>
        </w:tc>
        <w:tc>
          <w:tcPr>
            <w:tcW w:w="224"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厨师</w:t>
            </w: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主厨</w:t>
            </w:r>
          </w:p>
        </w:tc>
        <w:tc>
          <w:tcPr>
            <w:tcW w:w="181"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75"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男</w:t>
            </w:r>
          </w:p>
        </w:tc>
        <w:tc>
          <w:tcPr>
            <w:tcW w:w="298"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20至58周岁</w:t>
            </w:r>
          </w:p>
        </w:tc>
        <w:tc>
          <w:tcPr>
            <w:tcW w:w="1937" w:type="pct"/>
            <w:vMerge w:val="restart"/>
            <w:shd w:val="clear" w:color="auto" w:fill="auto"/>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做好干部职工工作用餐、会议用餐、接待用餐等的烹饪。严格执行《食品卫生法》，遵守有关卫生管理规定。确保烹饪器具的清洁，做好食材验收，确保食材卫生，做好食材留样，避免食物中毒。节约能源和各种原材料，做好成本控制。爱护厨房和食堂的一切用具。做好厨房保洁，协助餐厅保洁。</w:t>
            </w:r>
          </w:p>
        </w:tc>
        <w:tc>
          <w:tcPr>
            <w:tcW w:w="1166" w:type="pct"/>
            <w:vMerge w:val="restart"/>
            <w:shd w:val="clear" w:color="auto" w:fill="auto"/>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每年必须提供健康证明、思想端正、服务热情、</w:t>
            </w:r>
            <w:r>
              <w:rPr>
                <w:rFonts w:hint="eastAsia" w:ascii="宋体" w:hAnsi="宋体" w:cs="宋体"/>
                <w:kern w:val="0"/>
                <w:sz w:val="20"/>
                <w:szCs w:val="20"/>
                <w:highlight w:val="none"/>
              </w:rPr>
              <w:t>按规定</w:t>
            </w:r>
            <w:r>
              <w:rPr>
                <w:rFonts w:hint="eastAsia" w:ascii="宋体" w:hAnsi="宋体" w:cs="宋体"/>
                <w:color w:val="000000"/>
                <w:kern w:val="0"/>
                <w:sz w:val="20"/>
                <w:szCs w:val="20"/>
                <w:highlight w:val="none"/>
              </w:rPr>
              <w:t>着装要求上岗（包括口罩、工作帽、手套），讲究卫生，工作时不准吸烟，初中</w:t>
            </w:r>
            <w:r>
              <w:rPr>
                <w:rFonts w:hint="eastAsia" w:ascii="宋体" w:hAnsi="宋体" w:cs="宋体"/>
                <w:kern w:val="0"/>
                <w:sz w:val="20"/>
                <w:szCs w:val="20"/>
                <w:highlight w:val="none"/>
              </w:rPr>
              <w:t>（含）</w:t>
            </w:r>
            <w:r>
              <w:rPr>
                <w:rFonts w:hint="eastAsia" w:ascii="宋体" w:hAnsi="宋体" w:cs="宋体"/>
                <w:color w:val="000000"/>
                <w:kern w:val="0"/>
                <w:sz w:val="20"/>
                <w:szCs w:val="20"/>
                <w:highlight w:val="none"/>
              </w:rPr>
              <w:t>以上文化程度，厨师必须具备相关从业资格证明。主厨负责每天的菜</w:t>
            </w:r>
            <w:r>
              <w:rPr>
                <w:rFonts w:hint="eastAsia" w:ascii="宋体" w:hAnsi="宋体" w:cs="宋体"/>
                <w:kern w:val="0"/>
                <w:sz w:val="20"/>
                <w:szCs w:val="20"/>
                <w:highlight w:val="none"/>
              </w:rPr>
              <w:t>普及采购计划的制订，对采购物品</w:t>
            </w:r>
            <w:r>
              <w:rPr>
                <w:rFonts w:hint="eastAsia" w:ascii="宋体" w:hAnsi="宋体" w:cs="宋体"/>
                <w:color w:val="000000"/>
                <w:kern w:val="0"/>
                <w:sz w:val="20"/>
                <w:szCs w:val="20"/>
                <w:highlight w:val="none"/>
              </w:rPr>
              <w:t>的验收，并对食堂工作负总责。</w:t>
            </w: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46"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17"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24"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副厨</w:t>
            </w:r>
          </w:p>
        </w:tc>
        <w:tc>
          <w:tcPr>
            <w:tcW w:w="181"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175"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c>
          <w:tcPr>
            <w:tcW w:w="298"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c>
          <w:tcPr>
            <w:tcW w:w="1937"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c>
          <w:tcPr>
            <w:tcW w:w="116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17"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2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帮工</w:t>
            </w: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帮工</w:t>
            </w:r>
          </w:p>
        </w:tc>
        <w:tc>
          <w:tcPr>
            <w:tcW w:w="181"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175"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女</w:t>
            </w:r>
          </w:p>
        </w:tc>
        <w:tc>
          <w:tcPr>
            <w:tcW w:w="298"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20至48周岁</w:t>
            </w:r>
          </w:p>
        </w:tc>
        <w:tc>
          <w:tcPr>
            <w:tcW w:w="1937" w:type="pct"/>
            <w:shd w:val="clear" w:color="auto" w:fill="auto"/>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负责食材清洗、餐具清洗、传餐</w:t>
            </w:r>
            <w:bookmarkStart w:id="76" w:name="_GoBack"/>
            <w:bookmarkEnd w:id="76"/>
            <w:r>
              <w:rPr>
                <w:rFonts w:hint="eastAsia" w:ascii="宋体" w:hAnsi="宋体" w:cs="宋体"/>
                <w:color w:val="000000"/>
                <w:kern w:val="0"/>
                <w:sz w:val="20"/>
                <w:szCs w:val="20"/>
                <w:highlight w:val="none"/>
              </w:rPr>
              <w:t>及食堂保洁，协助厨房保洁，服务要求同厨师。</w:t>
            </w:r>
          </w:p>
        </w:tc>
        <w:tc>
          <w:tcPr>
            <w:tcW w:w="116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46"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7"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水电管理</w:t>
            </w:r>
          </w:p>
        </w:tc>
        <w:tc>
          <w:tcPr>
            <w:tcW w:w="224"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水电工</w:t>
            </w:r>
          </w:p>
        </w:tc>
        <w:tc>
          <w:tcPr>
            <w:tcW w:w="264" w:type="pct"/>
            <w:shd w:val="clear" w:color="auto" w:fill="auto"/>
            <w:vAlign w:val="center"/>
          </w:tcPr>
          <w:p>
            <w:pPr>
              <w:spacing w:line="240" w:lineRule="exact"/>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组长</w:t>
            </w:r>
          </w:p>
        </w:tc>
        <w:tc>
          <w:tcPr>
            <w:tcW w:w="181" w:type="pct"/>
            <w:shd w:val="clear" w:color="auto" w:fill="auto"/>
            <w:vAlign w:val="center"/>
          </w:tcPr>
          <w:p>
            <w:pPr>
              <w:spacing w:line="240" w:lineRule="exact"/>
              <w:jc w:val="center"/>
              <w:rPr>
                <w:rFonts w:hint="eastAsia" w:ascii="宋体" w:hAnsi="宋体" w:eastAsia="宋体" w:cs="宋体"/>
                <w:color w:val="FF0000"/>
                <w:kern w:val="0"/>
                <w:sz w:val="20"/>
                <w:szCs w:val="20"/>
                <w:highlight w:val="none"/>
                <w:lang w:eastAsia="zh-CN"/>
              </w:rPr>
            </w:pPr>
            <w:r>
              <w:rPr>
                <w:rFonts w:hint="eastAsia" w:ascii="宋体" w:hAnsi="宋体" w:cs="宋体"/>
                <w:color w:val="000000"/>
                <w:kern w:val="0"/>
                <w:sz w:val="20"/>
                <w:szCs w:val="20"/>
                <w:highlight w:val="none"/>
                <w:lang w:val="en-US" w:eastAsia="zh-CN"/>
              </w:rPr>
              <w:t>1</w:t>
            </w:r>
          </w:p>
        </w:tc>
        <w:tc>
          <w:tcPr>
            <w:tcW w:w="175"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男</w:t>
            </w:r>
          </w:p>
        </w:tc>
        <w:tc>
          <w:tcPr>
            <w:tcW w:w="298"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20至58周岁</w:t>
            </w:r>
          </w:p>
        </w:tc>
        <w:tc>
          <w:tcPr>
            <w:tcW w:w="1937" w:type="pct"/>
            <w:shd w:val="clear" w:color="auto" w:fill="auto"/>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负责单位的正常供水、供电工作，</w:t>
            </w:r>
            <w:r>
              <w:rPr>
                <w:rFonts w:hint="eastAsia" w:ascii="宋体" w:hAnsi="宋体" w:cs="宋体"/>
                <w:kern w:val="0"/>
                <w:sz w:val="20"/>
                <w:szCs w:val="20"/>
                <w:highlight w:val="none"/>
              </w:rPr>
              <w:t>做</w:t>
            </w:r>
            <w:r>
              <w:rPr>
                <w:rFonts w:hint="eastAsia" w:ascii="宋体" w:hAnsi="宋体" w:cs="宋体"/>
                <w:color w:val="000000"/>
                <w:kern w:val="0"/>
                <w:sz w:val="20"/>
                <w:szCs w:val="20"/>
                <w:highlight w:val="none"/>
              </w:rPr>
              <w:t>好日常用水管道、用电线路及水电设备的安全巡查，服务维修及时到位，节能措施得力，杜绝长明灯、长流水和跑、冒、滴漏现象。</w:t>
            </w:r>
          </w:p>
        </w:tc>
        <w:tc>
          <w:tcPr>
            <w:tcW w:w="1166" w:type="pct"/>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身体健康、思想端正、服务热情、按规定要求着装上岗，高中（含高中、职校、技校）以上文化程度，必须具备相关从业资格证明。</w:t>
            </w: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46"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217"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224"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264" w:type="pct"/>
            <w:shd w:val="clear" w:color="auto" w:fill="auto"/>
            <w:vAlign w:val="center"/>
          </w:tcPr>
          <w:p>
            <w:pPr>
              <w:spacing w:line="24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水电工</w:t>
            </w:r>
          </w:p>
        </w:tc>
        <w:tc>
          <w:tcPr>
            <w:tcW w:w="181" w:type="pct"/>
            <w:shd w:val="clear" w:color="auto" w:fill="auto"/>
            <w:vAlign w:val="center"/>
          </w:tcPr>
          <w:p>
            <w:pPr>
              <w:spacing w:line="240" w:lineRule="exact"/>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w:t>
            </w:r>
          </w:p>
        </w:tc>
        <w:tc>
          <w:tcPr>
            <w:tcW w:w="175" w:type="pc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男</w:t>
            </w:r>
          </w:p>
        </w:tc>
        <w:tc>
          <w:tcPr>
            <w:tcW w:w="298" w:type="pct"/>
            <w:shd w:val="clear" w:color="auto" w:fill="auto"/>
            <w:vAlign w:val="center"/>
          </w:tcPr>
          <w:p>
            <w:pPr>
              <w:widowControl/>
              <w:spacing w:line="240" w:lineRule="exact"/>
              <w:jc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20至58周岁</w:t>
            </w:r>
          </w:p>
        </w:tc>
        <w:tc>
          <w:tcPr>
            <w:tcW w:w="1937" w:type="pct"/>
            <w:shd w:val="clear" w:color="auto" w:fill="auto"/>
            <w:vAlign w:val="center"/>
          </w:tcPr>
          <w:p>
            <w:pPr>
              <w:widowControl/>
              <w:spacing w:line="240" w:lineRule="exact"/>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负责单位的正常供水、供电工作，</w:t>
            </w:r>
            <w:r>
              <w:rPr>
                <w:rFonts w:hint="eastAsia" w:ascii="宋体" w:hAnsi="宋体" w:cs="宋体"/>
                <w:kern w:val="0"/>
                <w:sz w:val="20"/>
                <w:szCs w:val="20"/>
                <w:highlight w:val="none"/>
              </w:rPr>
              <w:t>做</w:t>
            </w:r>
            <w:r>
              <w:rPr>
                <w:rFonts w:hint="eastAsia" w:ascii="宋体" w:hAnsi="宋体" w:cs="宋体"/>
                <w:color w:val="000000"/>
                <w:kern w:val="0"/>
                <w:sz w:val="20"/>
                <w:szCs w:val="20"/>
                <w:highlight w:val="none"/>
              </w:rPr>
              <w:t>好日常用水管道、用电线路及水电设备的安全巡查，服务维修及时到位，节能措施得力，杜绝长明灯、长流水和跑、冒、滴漏现象。</w:t>
            </w:r>
          </w:p>
        </w:tc>
        <w:tc>
          <w:tcPr>
            <w:tcW w:w="1166" w:type="pct"/>
            <w:shd w:val="clear" w:color="auto" w:fill="auto"/>
            <w:vAlign w:val="center"/>
          </w:tcPr>
          <w:p>
            <w:pPr>
              <w:widowControl/>
              <w:spacing w:line="240" w:lineRule="exact"/>
              <w:jc w:val="left"/>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rPr>
              <w:t>身体健康、思想端正、服务热情、按规定要求着装上岗，高中（含高中、职校、技校）以上文化程度，必须具备相关从业资格证明。</w:t>
            </w: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6"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217"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会务、用餐服务</w:t>
            </w:r>
          </w:p>
        </w:tc>
        <w:tc>
          <w:tcPr>
            <w:tcW w:w="22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服务员</w:t>
            </w: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服务人员</w:t>
            </w:r>
          </w:p>
        </w:tc>
        <w:tc>
          <w:tcPr>
            <w:tcW w:w="181" w:type="pct"/>
            <w:shd w:val="clear" w:color="auto" w:fill="auto"/>
            <w:vAlign w:val="center"/>
          </w:tcPr>
          <w:p>
            <w:pPr>
              <w:widowControl/>
              <w:spacing w:line="240" w:lineRule="exact"/>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2</w:t>
            </w:r>
          </w:p>
        </w:tc>
        <w:tc>
          <w:tcPr>
            <w:tcW w:w="175"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女</w:t>
            </w:r>
          </w:p>
        </w:tc>
        <w:tc>
          <w:tcPr>
            <w:tcW w:w="298"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20至40周岁</w:t>
            </w:r>
          </w:p>
        </w:tc>
        <w:tc>
          <w:tcPr>
            <w:tcW w:w="1937" w:type="pct"/>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color w:val="auto"/>
                <w:kern w:val="0"/>
                <w:sz w:val="20"/>
                <w:szCs w:val="20"/>
                <w:highlight w:val="none"/>
              </w:rPr>
              <w:t>所有布草登记造册，掌握存量情况；</w:t>
            </w:r>
            <w:r>
              <w:rPr>
                <w:rFonts w:hint="eastAsia" w:ascii="宋体" w:hAnsi="宋体" w:cs="宋体"/>
                <w:kern w:val="0"/>
                <w:sz w:val="20"/>
                <w:szCs w:val="20"/>
                <w:highlight w:val="none"/>
              </w:rPr>
              <w:t>通道、包厢、接待室保洁整理；负责会议室、教室等相关场地的服务，包括：会前、课前的茶水、纸巾等用品准备；会议、课间定时斟倒茶水；会后、课后的整理；所有会议厅、教室、展览室、阅览室、室内活动室的卫生。并负责接待、会议、培训用餐的服务。负责个别办公场所卫生，含办公室和休息室。</w:t>
            </w:r>
          </w:p>
        </w:tc>
        <w:tc>
          <w:tcPr>
            <w:tcW w:w="1166" w:type="pct"/>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每年必须提供健康证明、思想端正、服务热情、按规定要求着装上岗，讲究卫生，初中（含）以上文化程度，组长对服务工作负总责。</w:t>
            </w: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217"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卫生保洁</w:t>
            </w:r>
          </w:p>
        </w:tc>
        <w:tc>
          <w:tcPr>
            <w:tcW w:w="224"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清洁工</w:t>
            </w: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组长</w:t>
            </w:r>
          </w:p>
        </w:tc>
        <w:tc>
          <w:tcPr>
            <w:tcW w:w="181"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75"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女</w:t>
            </w:r>
          </w:p>
        </w:tc>
        <w:tc>
          <w:tcPr>
            <w:tcW w:w="298" w:type="pct"/>
            <w:vMerge w:val="restar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20至48周岁</w:t>
            </w:r>
          </w:p>
        </w:tc>
        <w:tc>
          <w:tcPr>
            <w:tcW w:w="1937" w:type="pct"/>
            <w:vMerge w:val="restart"/>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负责除本局工作人员办公室以外的室内公共场所卫生，即公用卫生间、电梯间、大堂、通道、楼梯等，及所属墙体、天花、门窗的卫生，不含会议厅、教室、展览室、阅览室、活动室和户外墙体及玻璃等高空作业。确保地面无垃圾、无杂物、无积水、无大面积污渍，以及墙体、门窗、天花无灰尘、无污渍；清理所属区域的垃圾袋、垃圾桶。负责洗衣机房工作，包括所有布草清洗、消毒、烘干、烫熨、归集。</w:t>
            </w:r>
            <w:r>
              <w:rPr>
                <w:rFonts w:hint="eastAsia" w:ascii="宋体" w:hAnsi="宋体" w:cs="宋体"/>
                <w:color w:val="auto"/>
                <w:kern w:val="0"/>
                <w:sz w:val="20"/>
                <w:szCs w:val="20"/>
                <w:highlight w:val="none"/>
              </w:rPr>
              <w:t>协助食材清洗、餐具清洗</w:t>
            </w:r>
            <w:r>
              <w:rPr>
                <w:rFonts w:hint="eastAsia" w:ascii="宋体" w:hAnsi="宋体" w:cs="宋体"/>
                <w:color w:val="auto"/>
                <w:kern w:val="0"/>
                <w:sz w:val="20"/>
                <w:szCs w:val="20"/>
                <w:highlight w:val="none"/>
                <w:lang w:eastAsia="zh-CN"/>
              </w:rPr>
              <w:t>及</w:t>
            </w:r>
            <w:r>
              <w:rPr>
                <w:rFonts w:hint="eastAsia" w:ascii="宋体" w:hAnsi="宋体" w:cs="宋体"/>
                <w:color w:val="auto"/>
                <w:kern w:val="0"/>
                <w:sz w:val="20"/>
                <w:szCs w:val="20"/>
                <w:highlight w:val="none"/>
              </w:rPr>
              <w:t>传餐。</w:t>
            </w:r>
          </w:p>
        </w:tc>
        <w:tc>
          <w:tcPr>
            <w:tcW w:w="1166" w:type="pct"/>
            <w:vMerge w:val="restart"/>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身体健康、思想端正、服务热情、按规定要求着装上岗，讲究卫生，初中（含）以上文化程度，组长对卫生保洁工作负总责。</w:t>
            </w: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46"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17"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24"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清洁员工</w:t>
            </w:r>
          </w:p>
        </w:tc>
        <w:tc>
          <w:tcPr>
            <w:tcW w:w="181" w:type="pct"/>
            <w:shd w:val="clear" w:color="auto" w:fill="auto"/>
            <w:vAlign w:val="center"/>
          </w:tcPr>
          <w:p>
            <w:pPr>
              <w:widowControl/>
              <w:spacing w:line="240" w:lineRule="exact"/>
              <w:jc w:val="center"/>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2</w:t>
            </w:r>
          </w:p>
        </w:tc>
        <w:tc>
          <w:tcPr>
            <w:tcW w:w="175"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98"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1937" w:type="pct"/>
            <w:vMerge w:val="continue"/>
            <w:vAlign w:val="center"/>
          </w:tcPr>
          <w:p>
            <w:pPr>
              <w:widowControl/>
              <w:spacing w:line="240" w:lineRule="exact"/>
              <w:jc w:val="left"/>
              <w:rPr>
                <w:rFonts w:ascii="宋体" w:hAnsi="宋体" w:cs="宋体"/>
                <w:kern w:val="0"/>
                <w:sz w:val="20"/>
                <w:szCs w:val="20"/>
                <w:highlight w:val="none"/>
              </w:rPr>
            </w:pPr>
          </w:p>
        </w:tc>
        <w:tc>
          <w:tcPr>
            <w:tcW w:w="1166" w:type="pct"/>
            <w:vMerge w:val="continue"/>
            <w:vAlign w:val="center"/>
          </w:tcPr>
          <w:p>
            <w:pPr>
              <w:widowControl/>
              <w:spacing w:line="240" w:lineRule="exact"/>
              <w:jc w:val="left"/>
              <w:rPr>
                <w:rFonts w:ascii="宋体" w:hAnsi="宋体" w:cs="宋体"/>
                <w:kern w:val="0"/>
                <w:sz w:val="20"/>
                <w:szCs w:val="20"/>
                <w:highlight w:val="none"/>
              </w:rPr>
            </w:pP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46"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17"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24" w:type="pct"/>
            <w:vMerge w:val="continue"/>
            <w:vAlign w:val="center"/>
          </w:tcPr>
          <w:p>
            <w:pPr>
              <w:widowControl/>
              <w:spacing w:line="240" w:lineRule="exact"/>
              <w:jc w:val="left"/>
              <w:rPr>
                <w:rFonts w:ascii="宋体" w:hAnsi="宋体" w:cs="宋体"/>
                <w:color w:val="000000"/>
                <w:kern w:val="0"/>
                <w:sz w:val="20"/>
                <w:szCs w:val="20"/>
                <w:highlight w:val="none"/>
              </w:rPr>
            </w:pPr>
          </w:p>
        </w:tc>
        <w:tc>
          <w:tcPr>
            <w:tcW w:w="264" w:type="pc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清洁员</w:t>
            </w:r>
            <w:r>
              <w:rPr>
                <w:rFonts w:hint="eastAsia" w:ascii="宋体" w:hAnsi="宋体" w:cs="宋体"/>
                <w:color w:val="000000"/>
                <w:kern w:val="0"/>
                <w:sz w:val="20"/>
                <w:szCs w:val="20"/>
                <w:highlight w:val="none"/>
                <w:lang w:eastAsia="zh-CN"/>
              </w:rPr>
              <w:t>及绿化人员</w:t>
            </w:r>
          </w:p>
        </w:tc>
        <w:tc>
          <w:tcPr>
            <w:tcW w:w="181" w:type="pc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75" w:type="pct"/>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男</w:t>
            </w:r>
          </w:p>
        </w:tc>
        <w:tc>
          <w:tcPr>
            <w:tcW w:w="298" w:type="pct"/>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20至58周岁</w:t>
            </w:r>
          </w:p>
        </w:tc>
        <w:tc>
          <w:tcPr>
            <w:tcW w:w="1937" w:type="pct"/>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负责室外公共场所卫生，包括所有车库、户外运动场、旷埕、天面等卫生。确保地面无垃圾、无杂物、无积水、无大面积污。清理所属区域的垃圾袋、垃圾桶以及天面落水口、地面排水口。负责所有花草树木的修剪、除杂草、除虫害、施肥、灌溉等日常养护，不含补植、换植、大型修剪及高空作业等。负责各绿化内卫生保洁等工作。</w:t>
            </w:r>
          </w:p>
        </w:tc>
        <w:tc>
          <w:tcPr>
            <w:tcW w:w="1166" w:type="pct"/>
            <w:vMerge w:val="continue"/>
            <w:vAlign w:val="center"/>
          </w:tcPr>
          <w:p>
            <w:pPr>
              <w:widowControl/>
              <w:spacing w:line="240" w:lineRule="exact"/>
              <w:jc w:val="left"/>
              <w:rPr>
                <w:rFonts w:ascii="宋体" w:hAnsi="宋体" w:cs="宋体"/>
                <w:kern w:val="0"/>
                <w:sz w:val="20"/>
                <w:szCs w:val="20"/>
                <w:highlight w:val="none"/>
              </w:rPr>
            </w:pP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6" w:type="pct"/>
            <w:shd w:val="clear" w:color="auto" w:fill="auto"/>
            <w:vAlign w:val="center"/>
          </w:tcPr>
          <w:p>
            <w:pPr>
              <w:widowControl/>
              <w:spacing w:line="240" w:lineRule="exact"/>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w:t>
            </w:r>
          </w:p>
        </w:tc>
        <w:tc>
          <w:tcPr>
            <w:tcW w:w="217"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车辆运维</w:t>
            </w:r>
          </w:p>
        </w:tc>
        <w:tc>
          <w:tcPr>
            <w:tcW w:w="22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车辆司勤</w:t>
            </w:r>
          </w:p>
        </w:tc>
        <w:tc>
          <w:tcPr>
            <w:tcW w:w="264"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司机</w:t>
            </w:r>
          </w:p>
        </w:tc>
        <w:tc>
          <w:tcPr>
            <w:tcW w:w="181"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75"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男</w:t>
            </w:r>
          </w:p>
        </w:tc>
        <w:tc>
          <w:tcPr>
            <w:tcW w:w="298" w:type="pct"/>
            <w:shd w:val="clear" w:color="auto" w:fill="auto"/>
            <w:vAlign w:val="center"/>
          </w:tcPr>
          <w:p>
            <w:pPr>
              <w:widowControl/>
              <w:spacing w:line="24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20至58周岁</w:t>
            </w:r>
          </w:p>
        </w:tc>
        <w:tc>
          <w:tcPr>
            <w:tcW w:w="1937" w:type="pct"/>
            <w:shd w:val="clear" w:color="auto" w:fill="auto"/>
            <w:vAlign w:val="center"/>
          </w:tcPr>
          <w:p>
            <w:pPr>
              <w:widowControl/>
              <w:spacing w:line="240" w:lineRule="exact"/>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负责公车的运维工作，包括车辆的运行、加油、保洁，以及维修、保养、保险的经办等司勤工作。严格执行《中华人民共和国道路交通安全法》。</w:t>
            </w:r>
          </w:p>
        </w:tc>
        <w:tc>
          <w:tcPr>
            <w:tcW w:w="1166" w:type="pct"/>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身体健康、思想端正、服务热情、按规定要求着装上岗，初中（含）以上文化程度，必须具备相关从业资格证明。</w:t>
            </w: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 w:type="pct"/>
            <w:vMerge w:val="restart"/>
            <w:shd w:val="clear" w:color="auto" w:fill="auto"/>
            <w:vAlign w:val="center"/>
          </w:tcPr>
          <w:p>
            <w:pPr>
              <w:widowControl/>
              <w:spacing w:line="240" w:lineRule="exact"/>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7</w:t>
            </w:r>
          </w:p>
        </w:tc>
        <w:tc>
          <w:tcPr>
            <w:tcW w:w="217" w:type="pct"/>
            <w:vMerge w:val="restar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文书服务</w:t>
            </w:r>
          </w:p>
        </w:tc>
        <w:tc>
          <w:tcPr>
            <w:tcW w:w="224" w:type="pct"/>
            <w:vMerge w:val="restar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文书</w:t>
            </w:r>
          </w:p>
        </w:tc>
        <w:tc>
          <w:tcPr>
            <w:tcW w:w="264" w:type="pct"/>
            <w:vMerge w:val="restar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文员</w:t>
            </w:r>
          </w:p>
        </w:tc>
        <w:tc>
          <w:tcPr>
            <w:tcW w:w="181" w:type="pct"/>
            <w:vMerge w:val="restart"/>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175" w:type="pct"/>
            <w:shd w:val="clear" w:color="auto" w:fill="auto"/>
            <w:vAlign w:val="center"/>
          </w:tcPr>
          <w:p>
            <w:pPr>
              <w:widowControl/>
              <w:spacing w:line="240" w:lineRule="exact"/>
              <w:jc w:val="cente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女</w:t>
            </w:r>
          </w:p>
        </w:tc>
        <w:tc>
          <w:tcPr>
            <w:tcW w:w="298" w:type="pct"/>
            <w:shd w:val="clear" w:color="auto" w:fill="auto"/>
            <w:vAlign w:val="center"/>
          </w:tcPr>
          <w:p>
            <w:pPr>
              <w:widowControl/>
              <w:spacing w:line="240" w:lineRule="exact"/>
              <w:jc w:val="center"/>
              <w:rPr>
                <w:rFonts w:hint="eastAsia" w:ascii="宋体" w:hAnsi="宋体" w:eastAsia="宋体" w:cs="宋体"/>
                <w:kern w:val="0"/>
                <w:sz w:val="20"/>
                <w:szCs w:val="20"/>
                <w:highlight w:val="none"/>
                <w:lang w:val="en-US" w:eastAsia="zh-CN" w:bidi="ar-SA"/>
              </w:rPr>
            </w:pPr>
            <w:r>
              <w:rPr>
                <w:sz w:val="20"/>
                <w:szCs w:val="20"/>
                <w:highlight w:val="none"/>
              </w:rPr>
              <w:t>20</w:t>
            </w:r>
            <w:r>
              <w:rPr>
                <w:rFonts w:hint="eastAsia"/>
                <w:sz w:val="20"/>
                <w:szCs w:val="20"/>
                <w:highlight w:val="none"/>
              </w:rPr>
              <w:t>至</w:t>
            </w:r>
            <w:r>
              <w:rPr>
                <w:sz w:val="20"/>
                <w:szCs w:val="20"/>
                <w:highlight w:val="none"/>
              </w:rPr>
              <w:t>50</w:t>
            </w:r>
            <w:r>
              <w:rPr>
                <w:rFonts w:hint="eastAsia"/>
                <w:sz w:val="20"/>
                <w:szCs w:val="20"/>
                <w:highlight w:val="none"/>
              </w:rPr>
              <w:t>周岁</w:t>
            </w:r>
          </w:p>
        </w:tc>
        <w:tc>
          <w:tcPr>
            <w:tcW w:w="1937" w:type="pct"/>
            <w:vMerge w:val="restart"/>
            <w:shd w:val="clear" w:color="auto" w:fill="auto"/>
            <w:vAlign w:val="center"/>
          </w:tcPr>
          <w:p>
            <w:pPr>
              <w:widowControl/>
              <w:spacing w:line="240" w:lineRule="exact"/>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负责资料的编织、打印、整理、归档等办公辅助工作。做好相关资料的保密工作。</w:t>
            </w:r>
          </w:p>
        </w:tc>
        <w:tc>
          <w:tcPr>
            <w:tcW w:w="1166" w:type="pct"/>
            <w:vMerge w:val="restart"/>
            <w:shd w:val="clear" w:color="auto" w:fill="auto"/>
            <w:vAlign w:val="center"/>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身体健康、思想端正、服务热情、按规定要求着装上岗，大专（含）以上文化程度，熟悉常用办公软件的操作。</w:t>
            </w: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 w:type="pct"/>
            <w:vMerge w:val="continue"/>
            <w:shd w:val="clear" w:color="auto" w:fill="auto"/>
            <w:vAlign w:val="center"/>
          </w:tcPr>
          <w:p>
            <w:pPr>
              <w:widowControl/>
              <w:spacing w:line="240" w:lineRule="exact"/>
              <w:jc w:val="center"/>
              <w:rPr>
                <w:highlight w:val="none"/>
              </w:rPr>
            </w:pPr>
          </w:p>
        </w:tc>
        <w:tc>
          <w:tcPr>
            <w:tcW w:w="217" w:type="pct"/>
            <w:vMerge w:val="continue"/>
            <w:shd w:val="clear" w:color="auto" w:fill="auto"/>
            <w:vAlign w:val="center"/>
          </w:tcPr>
          <w:p>
            <w:pPr>
              <w:widowControl/>
              <w:spacing w:line="240" w:lineRule="exact"/>
              <w:jc w:val="center"/>
              <w:rPr>
                <w:highlight w:val="none"/>
              </w:rPr>
            </w:pPr>
          </w:p>
        </w:tc>
        <w:tc>
          <w:tcPr>
            <w:tcW w:w="224" w:type="pct"/>
            <w:vMerge w:val="continue"/>
            <w:shd w:val="clear" w:color="auto" w:fill="auto"/>
            <w:vAlign w:val="center"/>
          </w:tcPr>
          <w:p>
            <w:pPr>
              <w:widowControl/>
              <w:spacing w:line="240" w:lineRule="exact"/>
              <w:jc w:val="center"/>
              <w:rPr>
                <w:highlight w:val="none"/>
              </w:rPr>
            </w:pPr>
          </w:p>
        </w:tc>
        <w:tc>
          <w:tcPr>
            <w:tcW w:w="264" w:type="pct"/>
            <w:vMerge w:val="continue"/>
            <w:shd w:val="clear" w:color="auto" w:fill="auto"/>
            <w:vAlign w:val="center"/>
          </w:tcPr>
          <w:p>
            <w:pPr>
              <w:widowControl/>
              <w:spacing w:line="240" w:lineRule="exact"/>
              <w:jc w:val="center"/>
              <w:rPr>
                <w:highlight w:val="none"/>
              </w:rPr>
            </w:pPr>
          </w:p>
        </w:tc>
        <w:tc>
          <w:tcPr>
            <w:tcW w:w="181" w:type="pct"/>
            <w:vMerge w:val="continue"/>
            <w:shd w:val="clear" w:color="auto" w:fill="auto"/>
            <w:vAlign w:val="center"/>
          </w:tcPr>
          <w:p>
            <w:pPr>
              <w:widowControl/>
              <w:spacing w:line="240" w:lineRule="exact"/>
              <w:jc w:val="center"/>
              <w:rPr>
                <w:highlight w:val="none"/>
              </w:rPr>
            </w:pPr>
          </w:p>
        </w:tc>
        <w:tc>
          <w:tcPr>
            <w:tcW w:w="175" w:type="pct"/>
            <w:shd w:val="clear" w:color="auto" w:fill="auto"/>
            <w:vAlign w:val="center"/>
          </w:tcPr>
          <w:p>
            <w:pPr>
              <w:widowControl/>
              <w:spacing w:line="240" w:lineRule="exact"/>
              <w:jc w:val="cente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男</w:t>
            </w:r>
          </w:p>
        </w:tc>
        <w:tc>
          <w:tcPr>
            <w:tcW w:w="298" w:type="pct"/>
            <w:shd w:val="clear" w:color="auto" w:fill="auto"/>
            <w:vAlign w:val="center"/>
          </w:tcPr>
          <w:p>
            <w:pPr>
              <w:widowControl/>
              <w:spacing w:line="240" w:lineRule="exact"/>
              <w:jc w:val="center"/>
              <w:rPr>
                <w:rFonts w:hint="eastAsia" w:ascii="Times New Roman" w:hAnsi="Times New Roman" w:eastAsia="宋体" w:cs="Times New Roman"/>
                <w:color w:val="000000"/>
                <w:kern w:val="2"/>
                <w:sz w:val="20"/>
                <w:szCs w:val="20"/>
                <w:highlight w:val="none"/>
                <w:lang w:val="en-US" w:eastAsia="zh-CN" w:bidi="ar-SA"/>
              </w:rPr>
            </w:pPr>
            <w:r>
              <w:rPr>
                <w:color w:val="000000"/>
                <w:sz w:val="20"/>
                <w:szCs w:val="20"/>
                <w:highlight w:val="none"/>
              </w:rPr>
              <w:t>20</w:t>
            </w:r>
            <w:r>
              <w:rPr>
                <w:rFonts w:hint="eastAsia"/>
                <w:color w:val="000000"/>
                <w:sz w:val="20"/>
                <w:szCs w:val="20"/>
                <w:highlight w:val="none"/>
              </w:rPr>
              <w:t>至</w:t>
            </w:r>
            <w:r>
              <w:rPr>
                <w:color w:val="000000"/>
                <w:sz w:val="20"/>
                <w:szCs w:val="20"/>
                <w:highlight w:val="none"/>
              </w:rPr>
              <w:t>58</w:t>
            </w:r>
            <w:r>
              <w:rPr>
                <w:rFonts w:hint="eastAsia"/>
                <w:color w:val="000000"/>
                <w:sz w:val="20"/>
                <w:szCs w:val="20"/>
                <w:highlight w:val="none"/>
              </w:rPr>
              <w:t>周岁</w:t>
            </w:r>
          </w:p>
        </w:tc>
        <w:tc>
          <w:tcPr>
            <w:tcW w:w="1937"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1166"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386"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 w:type="pct"/>
            <w:vMerge w:val="continue"/>
            <w:shd w:val="clear" w:color="auto" w:fill="auto"/>
            <w:vAlign w:val="center"/>
          </w:tcPr>
          <w:p>
            <w:pPr>
              <w:widowControl/>
              <w:spacing w:line="240" w:lineRule="exact"/>
              <w:jc w:val="center"/>
              <w:rPr>
                <w:rFonts w:hint="eastAsia" w:ascii="宋体" w:hAnsi="宋体" w:cs="宋体"/>
                <w:color w:val="000000"/>
                <w:kern w:val="0"/>
                <w:sz w:val="20"/>
                <w:szCs w:val="20"/>
                <w:highlight w:val="none"/>
              </w:rPr>
            </w:pPr>
          </w:p>
        </w:tc>
        <w:tc>
          <w:tcPr>
            <w:tcW w:w="217" w:type="pct"/>
            <w:vMerge w:val="continue"/>
            <w:shd w:val="clear" w:color="auto" w:fill="auto"/>
            <w:vAlign w:val="center"/>
          </w:tcPr>
          <w:p>
            <w:pPr>
              <w:widowControl/>
              <w:spacing w:line="240" w:lineRule="exact"/>
              <w:jc w:val="center"/>
              <w:rPr>
                <w:rFonts w:ascii="宋体" w:hAnsi="宋体" w:cs="宋体"/>
                <w:kern w:val="0"/>
                <w:sz w:val="20"/>
                <w:szCs w:val="20"/>
                <w:highlight w:val="none"/>
              </w:rPr>
            </w:pPr>
          </w:p>
        </w:tc>
        <w:tc>
          <w:tcPr>
            <w:tcW w:w="224" w:type="pct"/>
            <w:vMerge w:val="continue"/>
            <w:shd w:val="clear" w:color="auto" w:fill="auto"/>
            <w:vAlign w:val="center"/>
          </w:tcPr>
          <w:p>
            <w:pPr>
              <w:widowControl/>
              <w:spacing w:line="240" w:lineRule="exact"/>
              <w:jc w:val="center"/>
              <w:rPr>
                <w:rFonts w:ascii="宋体" w:hAnsi="宋体" w:cs="宋体"/>
                <w:kern w:val="0"/>
                <w:sz w:val="20"/>
                <w:szCs w:val="20"/>
                <w:highlight w:val="none"/>
              </w:rPr>
            </w:pPr>
          </w:p>
        </w:tc>
        <w:tc>
          <w:tcPr>
            <w:tcW w:w="264" w:type="pct"/>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color w:val="000000"/>
                <w:kern w:val="0"/>
                <w:sz w:val="20"/>
                <w:szCs w:val="20"/>
                <w:highlight w:val="none"/>
              </w:rPr>
              <w:t>档案</w:t>
            </w:r>
            <w:r>
              <w:rPr>
                <w:rFonts w:hint="eastAsia" w:ascii="宋体" w:hAnsi="宋体" w:cs="宋体"/>
                <w:color w:val="000000"/>
                <w:kern w:val="0"/>
                <w:sz w:val="20"/>
                <w:szCs w:val="20"/>
                <w:highlight w:val="none"/>
                <w:lang w:eastAsia="zh-CN"/>
              </w:rPr>
              <w:t>整理</w:t>
            </w:r>
            <w:r>
              <w:rPr>
                <w:rFonts w:hint="eastAsia" w:ascii="宋体" w:hAnsi="宋体" w:cs="宋体"/>
                <w:color w:val="000000"/>
                <w:kern w:val="0"/>
                <w:sz w:val="20"/>
                <w:szCs w:val="20"/>
                <w:highlight w:val="none"/>
              </w:rPr>
              <w:t>员</w:t>
            </w:r>
          </w:p>
        </w:tc>
        <w:tc>
          <w:tcPr>
            <w:tcW w:w="181" w:type="pct"/>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color w:val="000000"/>
                <w:kern w:val="0"/>
                <w:sz w:val="20"/>
                <w:szCs w:val="20"/>
                <w:highlight w:val="none"/>
              </w:rPr>
              <w:t>1</w:t>
            </w:r>
          </w:p>
        </w:tc>
        <w:tc>
          <w:tcPr>
            <w:tcW w:w="175" w:type="pct"/>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eastAsia="zh-CN"/>
              </w:rPr>
              <w:t>女</w:t>
            </w:r>
          </w:p>
        </w:tc>
        <w:tc>
          <w:tcPr>
            <w:tcW w:w="298" w:type="pct"/>
            <w:shd w:val="clear" w:color="auto" w:fill="auto"/>
            <w:vAlign w:val="center"/>
          </w:tcPr>
          <w:p>
            <w:pPr>
              <w:widowControl/>
              <w:spacing w:line="240" w:lineRule="exact"/>
              <w:jc w:val="center"/>
              <w:rPr>
                <w:rFonts w:ascii="宋体" w:hAnsi="宋体" w:cs="宋体"/>
                <w:kern w:val="0"/>
                <w:sz w:val="20"/>
                <w:szCs w:val="20"/>
                <w:highlight w:val="none"/>
              </w:rPr>
            </w:pPr>
            <w:r>
              <w:rPr>
                <w:sz w:val="20"/>
                <w:szCs w:val="20"/>
                <w:highlight w:val="none"/>
              </w:rPr>
              <w:t>20</w:t>
            </w:r>
            <w:r>
              <w:rPr>
                <w:rFonts w:hint="eastAsia"/>
                <w:sz w:val="20"/>
                <w:szCs w:val="20"/>
                <w:highlight w:val="none"/>
              </w:rPr>
              <w:t>至</w:t>
            </w:r>
            <w:r>
              <w:rPr>
                <w:sz w:val="20"/>
                <w:szCs w:val="20"/>
                <w:highlight w:val="none"/>
              </w:rPr>
              <w:t>50</w:t>
            </w:r>
            <w:r>
              <w:rPr>
                <w:rFonts w:hint="eastAsia"/>
                <w:sz w:val="20"/>
                <w:szCs w:val="20"/>
                <w:highlight w:val="none"/>
              </w:rPr>
              <w:t>周岁</w:t>
            </w:r>
          </w:p>
        </w:tc>
        <w:tc>
          <w:tcPr>
            <w:tcW w:w="1937" w:type="pct"/>
            <w:vMerge w:val="continue"/>
            <w:shd w:val="clear" w:color="auto" w:fill="auto"/>
            <w:vAlign w:val="center"/>
          </w:tcPr>
          <w:p>
            <w:pPr>
              <w:widowControl/>
              <w:spacing w:line="240" w:lineRule="exact"/>
              <w:jc w:val="left"/>
              <w:rPr>
                <w:rFonts w:ascii="宋体" w:hAnsi="宋体" w:cs="宋体"/>
                <w:kern w:val="0"/>
                <w:sz w:val="20"/>
                <w:szCs w:val="20"/>
                <w:highlight w:val="none"/>
              </w:rPr>
            </w:pPr>
          </w:p>
        </w:tc>
        <w:tc>
          <w:tcPr>
            <w:tcW w:w="1166" w:type="pct"/>
            <w:vMerge w:val="continue"/>
            <w:shd w:val="clear" w:color="auto" w:fill="auto"/>
            <w:vAlign w:val="center"/>
          </w:tcPr>
          <w:p>
            <w:pPr>
              <w:widowControl/>
              <w:spacing w:line="240" w:lineRule="exact"/>
              <w:jc w:val="left"/>
              <w:rPr>
                <w:rFonts w:ascii="宋体" w:hAnsi="宋体" w:cs="宋体"/>
                <w:kern w:val="0"/>
                <w:sz w:val="20"/>
                <w:szCs w:val="20"/>
                <w:highlight w:val="none"/>
              </w:rPr>
            </w:pPr>
          </w:p>
        </w:tc>
        <w:tc>
          <w:tcPr>
            <w:tcW w:w="386" w:type="pct"/>
            <w:vMerge w:val="continue"/>
            <w:shd w:val="clear" w:color="auto" w:fill="auto"/>
            <w:vAlign w:val="center"/>
          </w:tcPr>
          <w:p>
            <w:pPr>
              <w:widowControl/>
              <w:spacing w:line="240" w:lineRule="exact"/>
              <w:jc w:val="left"/>
              <w:rPr>
                <w:rFonts w:ascii="宋体" w:hAnsi="宋体" w:cs="宋体"/>
                <w:color w:val="000000"/>
                <w:kern w:val="0"/>
                <w:sz w:val="20"/>
                <w:szCs w:val="20"/>
                <w:highlight w:val="none"/>
              </w:rPr>
            </w:pPr>
          </w:p>
        </w:tc>
      </w:tr>
    </w:tbl>
    <w:p>
      <w:pPr>
        <w:spacing w:line="480" w:lineRule="exact"/>
        <w:jc w:val="left"/>
        <w:rPr>
          <w:rFonts w:hint="eastAsia" w:ascii="宋体" w:hAnsi="宋体" w:cs="宋体"/>
          <w:kern w:val="0"/>
          <w:sz w:val="20"/>
          <w:szCs w:val="20"/>
          <w:highlight w:val="none"/>
        </w:rPr>
      </w:pPr>
    </w:p>
    <w:p>
      <w:pPr>
        <w:spacing w:line="560" w:lineRule="exact"/>
        <w:rPr>
          <w:rFonts w:hint="eastAsia"/>
          <w:sz w:val="18"/>
          <w:szCs w:val="18"/>
          <w:highlight w:val="none"/>
        </w:rPr>
        <w:sectPr>
          <w:pgSz w:w="16838" w:h="11906" w:orient="landscape"/>
          <w:pgMar w:top="1797" w:right="1440" w:bottom="1247" w:left="1440" w:header="851" w:footer="567" w:gutter="0"/>
          <w:pgNumType w:fmt="decimal"/>
          <w:cols w:space="425" w:num="1"/>
          <w:docGrid w:linePitch="312" w:charSpace="0"/>
        </w:sectPr>
      </w:pPr>
    </w:p>
    <w:p>
      <w:pPr>
        <w:spacing w:line="480" w:lineRule="exact"/>
        <w:rPr>
          <w:rFonts w:hint="eastAsia" w:ascii="宋体" w:hAnsi="宋体" w:cs="宋体"/>
          <w:kern w:val="0"/>
          <w:sz w:val="24"/>
          <w:szCs w:val="24"/>
          <w:highlight w:val="none"/>
        </w:rPr>
      </w:pPr>
      <w:r>
        <w:rPr>
          <w:rFonts w:hint="eastAsia" w:ascii="宋体" w:hAnsi="宋体" w:cs="宋体"/>
          <w:kern w:val="0"/>
          <w:sz w:val="24"/>
          <w:szCs w:val="24"/>
          <w:highlight w:val="none"/>
        </w:rPr>
        <w:t>附页3：服务质量日常巡查表</w:t>
      </w:r>
    </w:p>
    <w:p>
      <w:pPr>
        <w:spacing w:line="480" w:lineRule="exact"/>
        <w:ind w:firstLine="482" w:firstLineChars="200"/>
        <w:rPr>
          <w:rFonts w:hint="eastAsia"/>
          <w:b/>
          <w:sz w:val="24"/>
          <w:highlight w:val="none"/>
        </w:rPr>
      </w:pPr>
    </w:p>
    <w:tbl>
      <w:tblPr>
        <w:tblStyle w:val="40"/>
        <w:tblW w:w="5000" w:type="pct"/>
        <w:jc w:val="center"/>
        <w:tblLayout w:type="autofit"/>
        <w:tblCellMar>
          <w:top w:w="0" w:type="dxa"/>
          <w:left w:w="108" w:type="dxa"/>
          <w:bottom w:w="0" w:type="dxa"/>
          <w:right w:w="108" w:type="dxa"/>
        </w:tblCellMar>
      </w:tblPr>
      <w:tblGrid>
        <w:gridCol w:w="1349"/>
        <w:gridCol w:w="1229"/>
        <w:gridCol w:w="1110"/>
        <w:gridCol w:w="1479"/>
        <w:gridCol w:w="1945"/>
        <w:gridCol w:w="1410"/>
      </w:tblGrid>
      <w:tr>
        <w:tblPrEx>
          <w:tblCellMar>
            <w:top w:w="0" w:type="dxa"/>
            <w:left w:w="108" w:type="dxa"/>
            <w:bottom w:w="0" w:type="dxa"/>
            <w:right w:w="108" w:type="dxa"/>
          </w:tblCellMar>
        </w:tblPrEx>
        <w:trPr>
          <w:trHeight w:val="567" w:hRule="atLeast"/>
          <w:jc w:val="center"/>
        </w:trPr>
        <w:tc>
          <w:tcPr>
            <w:tcW w:w="5000" w:type="pct"/>
            <w:gridSpan w:val="6"/>
            <w:tcBorders>
              <w:top w:val="nil"/>
              <w:left w:val="nil"/>
              <w:bottom w:val="nil"/>
              <w:right w:val="nil"/>
            </w:tcBorders>
            <w:shd w:val="clear" w:color="auto" w:fill="auto"/>
            <w:vAlign w:val="center"/>
          </w:tcPr>
          <w:p>
            <w:pPr>
              <w:spacing w:line="480" w:lineRule="exact"/>
              <w:jc w:val="center"/>
              <w:rPr>
                <w:rFonts w:ascii="宋体" w:hAnsi="宋体" w:cs="宋体"/>
                <w:b/>
                <w:bCs/>
                <w:kern w:val="0"/>
                <w:sz w:val="28"/>
                <w:szCs w:val="28"/>
                <w:highlight w:val="none"/>
              </w:rPr>
            </w:pPr>
            <w:r>
              <w:rPr>
                <w:rFonts w:hint="eastAsia" w:ascii="宋体" w:hAnsi="宋体" w:cs="宋体"/>
                <w:b/>
                <w:bCs/>
                <w:kern w:val="0"/>
                <w:sz w:val="28"/>
                <w:szCs w:val="28"/>
                <w:highlight w:val="none"/>
              </w:rPr>
              <w:t>服务质量日常巡查表</w:t>
            </w:r>
          </w:p>
        </w:tc>
      </w:tr>
      <w:tr>
        <w:tblPrEx>
          <w:tblCellMar>
            <w:top w:w="0" w:type="dxa"/>
            <w:left w:w="108" w:type="dxa"/>
            <w:bottom w:w="0" w:type="dxa"/>
            <w:right w:w="108" w:type="dxa"/>
          </w:tblCellMar>
        </w:tblPrEx>
        <w:trPr>
          <w:trHeight w:val="567" w:hRule="atLeast"/>
          <w:jc w:val="center"/>
        </w:trPr>
        <w:tc>
          <w:tcPr>
            <w:tcW w:w="792" w:type="pct"/>
            <w:tcBorders>
              <w:top w:val="nil"/>
              <w:left w:val="nil"/>
              <w:bottom w:val="single" w:color="auto" w:sz="8" w:space="0"/>
              <w:right w:val="nil"/>
            </w:tcBorders>
            <w:shd w:val="clear" w:color="auto" w:fill="auto"/>
            <w:vAlign w:val="center"/>
          </w:tcPr>
          <w:p>
            <w:pPr>
              <w:widowControl/>
              <w:spacing w:line="400" w:lineRule="exact"/>
              <w:jc w:val="center"/>
              <w:rPr>
                <w:rFonts w:ascii="宋体" w:hAnsi="宋体" w:cs="宋体"/>
                <w:kern w:val="0"/>
                <w:sz w:val="24"/>
                <w:highlight w:val="none"/>
              </w:rPr>
            </w:pPr>
          </w:p>
        </w:tc>
        <w:tc>
          <w:tcPr>
            <w:tcW w:w="721" w:type="pct"/>
            <w:tcBorders>
              <w:top w:val="nil"/>
              <w:left w:val="nil"/>
              <w:bottom w:val="single" w:color="auto" w:sz="8" w:space="0"/>
              <w:right w:val="nil"/>
            </w:tcBorders>
            <w:shd w:val="clear" w:color="auto" w:fill="auto"/>
            <w:vAlign w:val="center"/>
          </w:tcPr>
          <w:p>
            <w:pPr>
              <w:widowControl/>
              <w:spacing w:line="400" w:lineRule="exact"/>
              <w:jc w:val="center"/>
              <w:rPr>
                <w:rFonts w:ascii="宋体" w:hAnsi="宋体" w:cs="宋体"/>
                <w:kern w:val="0"/>
                <w:sz w:val="24"/>
                <w:highlight w:val="none"/>
              </w:rPr>
            </w:pPr>
          </w:p>
        </w:tc>
        <w:tc>
          <w:tcPr>
            <w:tcW w:w="651" w:type="pct"/>
            <w:tcBorders>
              <w:top w:val="nil"/>
              <w:left w:val="nil"/>
              <w:bottom w:val="single" w:color="auto" w:sz="8" w:space="0"/>
              <w:right w:val="nil"/>
            </w:tcBorders>
            <w:shd w:val="clear" w:color="auto" w:fill="auto"/>
            <w:vAlign w:val="center"/>
          </w:tcPr>
          <w:p>
            <w:pPr>
              <w:widowControl/>
              <w:spacing w:line="400" w:lineRule="exact"/>
              <w:jc w:val="center"/>
              <w:rPr>
                <w:rFonts w:ascii="宋体" w:hAnsi="宋体" w:cs="宋体"/>
                <w:kern w:val="0"/>
                <w:sz w:val="24"/>
                <w:highlight w:val="none"/>
              </w:rPr>
            </w:pPr>
          </w:p>
        </w:tc>
        <w:tc>
          <w:tcPr>
            <w:tcW w:w="867" w:type="pct"/>
            <w:tcBorders>
              <w:top w:val="nil"/>
              <w:left w:val="nil"/>
              <w:bottom w:val="single" w:color="auto" w:sz="8" w:space="0"/>
              <w:right w:val="nil"/>
            </w:tcBorders>
            <w:shd w:val="clear" w:color="auto" w:fill="auto"/>
            <w:vAlign w:val="center"/>
          </w:tcPr>
          <w:p>
            <w:pPr>
              <w:widowControl/>
              <w:spacing w:line="400" w:lineRule="exact"/>
              <w:jc w:val="center"/>
              <w:rPr>
                <w:rFonts w:ascii="宋体" w:hAnsi="宋体" w:cs="宋体"/>
                <w:kern w:val="0"/>
                <w:sz w:val="24"/>
                <w:highlight w:val="none"/>
              </w:rPr>
            </w:pPr>
          </w:p>
        </w:tc>
        <w:tc>
          <w:tcPr>
            <w:tcW w:w="1967" w:type="pct"/>
            <w:gridSpan w:val="2"/>
            <w:tcBorders>
              <w:top w:val="nil"/>
              <w:left w:val="nil"/>
              <w:bottom w:val="single" w:color="auto" w:sz="8" w:space="0"/>
              <w:right w:val="nil"/>
            </w:tcBorders>
            <w:shd w:val="clear" w:color="auto" w:fill="auto"/>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巡查日期：     年   月   日</w:t>
            </w:r>
          </w:p>
        </w:tc>
      </w:tr>
      <w:tr>
        <w:tblPrEx>
          <w:tblCellMar>
            <w:top w:w="0" w:type="dxa"/>
            <w:left w:w="108" w:type="dxa"/>
            <w:bottom w:w="0" w:type="dxa"/>
            <w:right w:w="108" w:type="dxa"/>
          </w:tblCellMar>
        </w:tblPrEx>
        <w:trPr>
          <w:trHeight w:val="567" w:hRule="atLeast"/>
          <w:jc w:val="center"/>
        </w:trPr>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巡查时间</w:t>
            </w:r>
          </w:p>
        </w:tc>
        <w:tc>
          <w:tcPr>
            <w:tcW w:w="721"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p>
        </w:tc>
        <w:tc>
          <w:tcPr>
            <w:tcW w:w="651"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巡查地点</w:t>
            </w:r>
          </w:p>
        </w:tc>
        <w:tc>
          <w:tcPr>
            <w:tcW w:w="867"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p>
        </w:tc>
        <w:tc>
          <w:tcPr>
            <w:tcW w:w="1141"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被巡查人员(事项)</w:t>
            </w:r>
          </w:p>
        </w:tc>
        <w:tc>
          <w:tcPr>
            <w:tcW w:w="826"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p>
        </w:tc>
      </w:tr>
      <w:tr>
        <w:tblPrEx>
          <w:tblCellMar>
            <w:top w:w="0" w:type="dxa"/>
            <w:left w:w="108" w:type="dxa"/>
            <w:bottom w:w="0" w:type="dxa"/>
            <w:right w:w="108" w:type="dxa"/>
          </w:tblCellMar>
        </w:tblPrEx>
        <w:trPr>
          <w:trHeight w:val="567" w:hRule="atLeast"/>
          <w:jc w:val="center"/>
        </w:trPr>
        <w:tc>
          <w:tcPr>
            <w:tcW w:w="792"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巡查类别</w:t>
            </w:r>
          </w:p>
        </w:tc>
        <w:tc>
          <w:tcPr>
            <w:tcW w:w="1372" w:type="pct"/>
            <w:gridSpan w:val="2"/>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kern w:val="0"/>
                <w:sz w:val="24"/>
                <w:highlight w:val="none"/>
              </w:rPr>
            </w:pPr>
          </w:p>
        </w:tc>
        <w:tc>
          <w:tcPr>
            <w:tcW w:w="867"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巡查项目</w:t>
            </w:r>
          </w:p>
        </w:tc>
        <w:tc>
          <w:tcPr>
            <w:tcW w:w="1967" w:type="pct"/>
            <w:gridSpan w:val="2"/>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kern w:val="0"/>
                <w:sz w:val="24"/>
                <w:highlight w:val="none"/>
              </w:rPr>
            </w:pPr>
          </w:p>
        </w:tc>
      </w:tr>
      <w:tr>
        <w:tblPrEx>
          <w:tblCellMar>
            <w:top w:w="0" w:type="dxa"/>
            <w:left w:w="108" w:type="dxa"/>
            <w:bottom w:w="0" w:type="dxa"/>
            <w:right w:w="108" w:type="dxa"/>
          </w:tblCellMar>
        </w:tblPrEx>
        <w:trPr>
          <w:trHeight w:val="2028" w:hRule="atLeast"/>
          <w:jc w:val="center"/>
        </w:trPr>
        <w:tc>
          <w:tcPr>
            <w:tcW w:w="792"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巡查内容</w:t>
            </w:r>
          </w:p>
        </w:tc>
        <w:tc>
          <w:tcPr>
            <w:tcW w:w="2240" w:type="pct"/>
            <w:gridSpan w:val="3"/>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kern w:val="0"/>
                <w:sz w:val="24"/>
                <w:highlight w:val="none"/>
              </w:rPr>
            </w:pPr>
          </w:p>
        </w:tc>
        <w:tc>
          <w:tcPr>
            <w:tcW w:w="1141"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巡查结果</w:t>
            </w:r>
          </w:p>
        </w:tc>
        <w:tc>
          <w:tcPr>
            <w:tcW w:w="82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highlight w:val="none"/>
              </w:rPr>
            </w:pPr>
          </w:p>
        </w:tc>
      </w:tr>
      <w:tr>
        <w:tblPrEx>
          <w:tblCellMar>
            <w:top w:w="0" w:type="dxa"/>
            <w:left w:w="108" w:type="dxa"/>
            <w:bottom w:w="0" w:type="dxa"/>
            <w:right w:w="108" w:type="dxa"/>
          </w:tblCellMar>
        </w:tblPrEx>
        <w:trPr>
          <w:trHeight w:val="567" w:hRule="atLeast"/>
          <w:jc w:val="center"/>
        </w:trPr>
        <w:tc>
          <w:tcPr>
            <w:tcW w:w="5000" w:type="pct"/>
            <w:gridSpan w:val="6"/>
            <w:tcBorders>
              <w:top w:val="single" w:color="auto" w:sz="4" w:space="0"/>
              <w:left w:val="nil"/>
              <w:bottom w:val="nil"/>
              <w:right w:val="nil"/>
            </w:tcBorders>
            <w:shd w:val="clear" w:color="auto" w:fill="auto"/>
            <w:vAlign w:val="center"/>
          </w:tcPr>
          <w:p>
            <w:pPr>
              <w:widowControl/>
              <w:spacing w:line="400" w:lineRule="exact"/>
              <w:rPr>
                <w:rFonts w:ascii="宋体" w:hAnsi="宋体" w:cs="宋体"/>
                <w:kern w:val="0"/>
                <w:sz w:val="24"/>
                <w:highlight w:val="none"/>
              </w:rPr>
            </w:pPr>
            <w:r>
              <w:rPr>
                <w:rFonts w:hint="eastAsia" w:ascii="宋体" w:hAnsi="宋体" w:cs="宋体"/>
                <w:kern w:val="0"/>
                <w:sz w:val="24"/>
                <w:highlight w:val="none"/>
              </w:rPr>
              <w:t>采购方巡查人员签名：                    承包方责任人(委托人)签名：</w:t>
            </w:r>
          </w:p>
        </w:tc>
      </w:tr>
    </w:tbl>
    <w:p>
      <w:pPr>
        <w:spacing w:line="360" w:lineRule="auto"/>
        <w:rPr>
          <w:rFonts w:hint="eastAsia" w:ascii="宋体" w:hAnsi="宋体"/>
          <w:sz w:val="32"/>
          <w:highlight w:val="none"/>
        </w:rPr>
      </w:pPr>
    </w:p>
    <w:p>
      <w:pPr>
        <w:spacing w:line="360" w:lineRule="auto"/>
        <w:rPr>
          <w:rFonts w:hint="eastAsia" w:ascii="宋体" w:hAnsi="宋体"/>
          <w:sz w:val="32"/>
          <w:highlight w:val="none"/>
        </w:rPr>
      </w:pPr>
    </w:p>
    <w:p>
      <w:pPr>
        <w:spacing w:line="360" w:lineRule="auto"/>
        <w:rPr>
          <w:rFonts w:hint="eastAsia" w:ascii="宋体" w:hAnsi="宋体"/>
          <w:sz w:val="32"/>
          <w:highlight w:val="none"/>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p>
    <w:p>
      <w:pPr>
        <w:spacing w:line="480" w:lineRule="exact"/>
        <w:rPr>
          <w:rFonts w:hint="eastAsia" w:ascii="宋体" w:hAnsi="宋体" w:cs="宋体"/>
          <w:kern w:val="0"/>
          <w:sz w:val="24"/>
          <w:szCs w:val="24"/>
          <w:highlight w:val="none"/>
        </w:rPr>
      </w:pPr>
      <w:r>
        <w:rPr>
          <w:rFonts w:hint="eastAsia" w:ascii="宋体" w:hAnsi="宋体" w:cs="宋体"/>
          <w:kern w:val="0"/>
          <w:sz w:val="24"/>
          <w:szCs w:val="24"/>
          <w:highlight w:val="none"/>
        </w:rPr>
        <w:t>附页4：服务质量考核表</w:t>
      </w:r>
    </w:p>
    <w:tbl>
      <w:tblPr>
        <w:tblStyle w:val="40"/>
        <w:tblW w:w="5116" w:type="pct"/>
        <w:jc w:val="center"/>
        <w:tblLayout w:type="fixed"/>
        <w:tblCellMar>
          <w:top w:w="0" w:type="dxa"/>
          <w:left w:w="108" w:type="dxa"/>
          <w:bottom w:w="0" w:type="dxa"/>
          <w:right w:w="108" w:type="dxa"/>
        </w:tblCellMar>
      </w:tblPr>
      <w:tblGrid>
        <w:gridCol w:w="801"/>
        <w:gridCol w:w="1115"/>
        <w:gridCol w:w="2076"/>
        <w:gridCol w:w="2286"/>
        <w:gridCol w:w="479"/>
        <w:gridCol w:w="1132"/>
        <w:gridCol w:w="407"/>
        <w:gridCol w:w="390"/>
        <w:gridCol w:w="34"/>
      </w:tblGrid>
      <w:tr>
        <w:tblPrEx>
          <w:tblCellMar>
            <w:top w:w="0" w:type="dxa"/>
            <w:left w:w="108" w:type="dxa"/>
            <w:bottom w:w="0" w:type="dxa"/>
            <w:right w:w="108" w:type="dxa"/>
          </w:tblCellMar>
        </w:tblPrEx>
        <w:trPr>
          <w:trHeight w:val="539" w:hRule="atLeast"/>
          <w:jc w:val="center"/>
        </w:trPr>
        <w:tc>
          <w:tcPr>
            <w:tcW w:w="5000" w:type="pct"/>
            <w:gridSpan w:val="9"/>
            <w:tcBorders>
              <w:top w:val="nil"/>
              <w:left w:val="nil"/>
              <w:bottom w:val="nil"/>
              <w:right w:val="nil"/>
            </w:tcBorders>
            <w:shd w:val="clear" w:color="auto" w:fill="auto"/>
            <w:vAlign w:val="center"/>
          </w:tcPr>
          <w:p>
            <w:pPr>
              <w:widowControl/>
              <w:spacing w:line="400" w:lineRule="exact"/>
              <w:jc w:val="center"/>
              <w:rPr>
                <w:rFonts w:ascii="宋体" w:hAnsi="宋体" w:cs="宋体"/>
                <w:b/>
                <w:bCs/>
                <w:kern w:val="0"/>
                <w:sz w:val="28"/>
                <w:szCs w:val="28"/>
                <w:highlight w:val="none"/>
              </w:rPr>
            </w:pPr>
            <w:r>
              <w:rPr>
                <w:rFonts w:hint="eastAsia" w:ascii="宋体" w:hAnsi="宋体" w:cs="宋体"/>
                <w:b/>
                <w:bCs/>
                <w:kern w:val="0"/>
                <w:sz w:val="28"/>
                <w:szCs w:val="28"/>
                <w:highlight w:val="none"/>
              </w:rPr>
              <w:t>服务质量考核表</w:t>
            </w:r>
          </w:p>
        </w:tc>
      </w:tr>
      <w:tr>
        <w:tblPrEx>
          <w:tblCellMar>
            <w:top w:w="0" w:type="dxa"/>
            <w:left w:w="108" w:type="dxa"/>
            <w:bottom w:w="0" w:type="dxa"/>
            <w:right w:w="108" w:type="dxa"/>
          </w:tblCellMar>
        </w:tblPrEx>
        <w:trPr>
          <w:trHeight w:val="454" w:hRule="atLeast"/>
          <w:jc w:val="center"/>
        </w:trPr>
        <w:tc>
          <w:tcPr>
            <w:tcW w:w="5000" w:type="pct"/>
            <w:gridSpan w:val="9"/>
            <w:tcBorders>
              <w:top w:val="nil"/>
              <w:left w:val="nil"/>
              <w:bottom w:val="nil"/>
              <w:right w:val="nil"/>
            </w:tcBorders>
            <w:shd w:val="clear" w:color="auto" w:fill="auto"/>
            <w:vAlign w:val="center"/>
          </w:tcPr>
          <w:p>
            <w:pPr>
              <w:widowControl/>
              <w:wordWrap w:val="0"/>
              <w:spacing w:line="240" w:lineRule="exact"/>
              <w:jc w:val="right"/>
              <w:rPr>
                <w:rFonts w:ascii="宋体" w:hAnsi="宋体" w:cs="宋体"/>
                <w:kern w:val="0"/>
                <w:sz w:val="20"/>
                <w:szCs w:val="20"/>
                <w:highlight w:val="none"/>
              </w:rPr>
            </w:pPr>
            <w:r>
              <w:rPr>
                <w:rFonts w:hint="eastAsia" w:ascii="宋体" w:hAnsi="宋体" w:cs="宋体"/>
                <w:kern w:val="0"/>
                <w:sz w:val="20"/>
                <w:szCs w:val="20"/>
                <w:highlight w:val="none"/>
              </w:rPr>
              <w:t>年    月</w:t>
            </w:r>
          </w:p>
        </w:tc>
      </w:tr>
      <w:tr>
        <w:tblPrEx>
          <w:tblCellMar>
            <w:top w:w="0" w:type="dxa"/>
            <w:left w:w="108" w:type="dxa"/>
            <w:bottom w:w="0" w:type="dxa"/>
            <w:right w:w="108" w:type="dxa"/>
          </w:tblCellMar>
        </w:tblPrEx>
        <w:trPr>
          <w:trHeight w:val="454" w:hRule="atLeast"/>
          <w:jc w:val="center"/>
        </w:trPr>
        <w:tc>
          <w:tcPr>
            <w:tcW w:w="459" w:type="pct"/>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类别</w:t>
            </w:r>
          </w:p>
        </w:tc>
        <w:tc>
          <w:tcPr>
            <w:tcW w:w="639" w:type="pct"/>
            <w:tcBorders>
              <w:top w:val="single" w:color="auto" w:sz="8"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项目</w:t>
            </w:r>
          </w:p>
        </w:tc>
        <w:tc>
          <w:tcPr>
            <w:tcW w:w="2501" w:type="pct"/>
            <w:gridSpan w:val="2"/>
            <w:tcBorders>
              <w:top w:val="single" w:color="auto" w:sz="8" w:space="0"/>
              <w:left w:val="nil"/>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标准内容</w:t>
            </w:r>
          </w:p>
        </w:tc>
        <w:tc>
          <w:tcPr>
            <w:tcW w:w="274" w:type="pct"/>
            <w:tcBorders>
              <w:top w:val="single" w:color="auto" w:sz="8"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分值</w:t>
            </w:r>
          </w:p>
        </w:tc>
        <w:tc>
          <w:tcPr>
            <w:tcW w:w="649" w:type="pct"/>
            <w:tcBorders>
              <w:top w:val="single" w:color="auto" w:sz="8"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评分标准</w:t>
            </w:r>
          </w:p>
        </w:tc>
        <w:tc>
          <w:tcPr>
            <w:tcW w:w="233" w:type="pct"/>
            <w:tcBorders>
              <w:top w:val="single" w:color="auto" w:sz="8" w:space="0"/>
              <w:left w:val="nil"/>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扣分</w:t>
            </w:r>
          </w:p>
        </w:tc>
        <w:tc>
          <w:tcPr>
            <w:tcW w:w="243" w:type="pct"/>
            <w:gridSpan w:val="2"/>
            <w:tcBorders>
              <w:top w:val="single" w:color="auto" w:sz="8" w:space="0"/>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得分</w:t>
            </w:r>
          </w:p>
        </w:tc>
      </w:tr>
      <w:tr>
        <w:tblPrEx>
          <w:tblCellMar>
            <w:top w:w="0" w:type="dxa"/>
            <w:left w:w="108" w:type="dxa"/>
            <w:bottom w:w="0" w:type="dxa"/>
            <w:right w:w="108" w:type="dxa"/>
          </w:tblCellMar>
        </w:tblPrEx>
        <w:trPr>
          <w:trHeight w:val="454" w:hRule="atLeast"/>
          <w:jc w:val="center"/>
        </w:trPr>
        <w:tc>
          <w:tcPr>
            <w:tcW w:w="459"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综合管理</w:t>
            </w:r>
            <w:r>
              <w:rPr>
                <w:rFonts w:ascii="宋体" w:hAnsi="宋体" w:cs="Arial"/>
                <w:kern w:val="0"/>
                <w:sz w:val="20"/>
                <w:szCs w:val="20"/>
                <w:highlight w:val="none"/>
              </w:rPr>
              <w:t>1</w:t>
            </w:r>
            <w:r>
              <w:rPr>
                <w:rFonts w:hint="eastAsia" w:ascii="宋体" w:hAnsi="宋体" w:cs="Arial"/>
                <w:kern w:val="0"/>
                <w:sz w:val="20"/>
                <w:szCs w:val="20"/>
                <w:highlight w:val="none"/>
                <w:lang w:val="en-US" w:eastAsia="zh-CN"/>
              </w:rPr>
              <w:t>4</w:t>
            </w:r>
            <w:r>
              <w:rPr>
                <w:rFonts w:hint="eastAsia" w:ascii="宋体" w:hAnsi="宋体" w:cs="宋体"/>
                <w:kern w:val="0"/>
                <w:sz w:val="20"/>
                <w:szCs w:val="20"/>
                <w:highlight w:val="none"/>
              </w:rPr>
              <w:t>分</w:t>
            </w: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公用设施设备档案管理</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公用设施设备档案资料齐全、设立台账、分类成册，管理完善，查阅方便。</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1</w:t>
            </w:r>
            <w:r>
              <w:rPr>
                <w:rFonts w:hint="eastAsia" w:ascii="宋体" w:hAnsi="宋体" w:cs="Arial"/>
                <w:kern w:val="0"/>
                <w:sz w:val="20"/>
                <w:szCs w:val="20"/>
                <w:highlight w:val="none"/>
                <w:lang w:val="en-US" w:eastAsia="zh-CN"/>
              </w:rPr>
              <w:t>1</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86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文件发放</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日常通知、通告发布规范，有相应编号，确保上传下达及时，物业管理相关文书发放登记，记录完整。</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86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管理处工作巡查</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rPr>
              <w:t>管理处定期进行管理服务的监督和检查工作，每月月底对各部门(岗位)工作进行一次全检查，制定各部门(岗位)每月的工作计划及培训计划</w:t>
            </w:r>
            <w:r>
              <w:rPr>
                <w:rFonts w:hint="eastAsia" w:ascii="宋体" w:hAnsi="宋体" w:cs="宋体"/>
                <w:kern w:val="0"/>
                <w:sz w:val="20"/>
                <w:szCs w:val="20"/>
                <w:highlight w:val="none"/>
                <w:lang w:eastAsia="zh-CN"/>
              </w:rPr>
              <w:t>。</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《工作日志》记录完整。</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《管理处月检记录表》记录完整。</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39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员工着装与精神面貌</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员工着装制服、佩戴工牌。</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2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工作规范，举止文明、大方，精神状况良好，使用文明用语。</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2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投诉处理</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接到有效投诉按规定受理和处理协调，有完整《投诉记录》。</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46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突发事件处理</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制定有关各种突发事件预防措施，发生突发事件时及时进行协调处理，并按要求填写《突发事件处理表》上报采购方管理部门，工作时间内接到紧急事件通知</w:t>
            </w:r>
            <w:r>
              <w:rPr>
                <w:rFonts w:ascii="宋体" w:hAnsi="宋体" w:cs="Arial"/>
                <w:kern w:val="0"/>
                <w:sz w:val="20"/>
                <w:szCs w:val="20"/>
                <w:highlight w:val="none"/>
              </w:rPr>
              <w:t>10</w:t>
            </w:r>
            <w:r>
              <w:rPr>
                <w:rFonts w:hint="eastAsia" w:ascii="宋体" w:hAnsi="宋体" w:cs="宋体"/>
                <w:kern w:val="0"/>
                <w:sz w:val="20"/>
                <w:szCs w:val="20"/>
                <w:highlight w:val="none"/>
              </w:rPr>
              <w:t>分钟内（非工作时间</w:t>
            </w:r>
            <w:r>
              <w:rPr>
                <w:rFonts w:ascii="宋体" w:hAnsi="宋体" w:cs="Arial"/>
                <w:kern w:val="0"/>
                <w:sz w:val="20"/>
                <w:szCs w:val="20"/>
                <w:highlight w:val="none"/>
              </w:rPr>
              <w:t>30</w:t>
            </w:r>
            <w:r>
              <w:rPr>
                <w:rFonts w:hint="eastAsia" w:ascii="宋体" w:hAnsi="宋体" w:cs="宋体"/>
                <w:kern w:val="0"/>
                <w:sz w:val="20"/>
                <w:szCs w:val="20"/>
                <w:highlight w:val="none"/>
              </w:rPr>
              <w:t>分钟内）到达现场。</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23"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员工入职和培训计划实施情况</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员工资料</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3</w:t>
            </w:r>
            <w:r>
              <w:rPr>
                <w:rFonts w:hint="eastAsia" w:ascii="宋体" w:hAnsi="宋体" w:cs="Arial"/>
                <w:kern w:val="0"/>
                <w:sz w:val="20"/>
                <w:szCs w:val="20"/>
                <w:highlight w:val="none"/>
              </w:rPr>
              <w:t>分</w:t>
            </w:r>
          </w:p>
        </w:tc>
        <w:tc>
          <w:tcPr>
            <w:tcW w:w="64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员工个人档案，不完整扣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员工入职培训、岗前培训记录、岗前培训考核</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各部门(岗位)每月按工作计划实施并严格遵守采购人的相关管理制度。</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按月计划进行对照，少一项扣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设施设备管理</w:t>
            </w:r>
            <w:r>
              <w:rPr>
                <w:rFonts w:hint="eastAsia" w:ascii="宋体" w:hAnsi="宋体" w:cs="Arial"/>
                <w:kern w:val="0"/>
                <w:sz w:val="20"/>
                <w:szCs w:val="20"/>
                <w:highlight w:val="none"/>
              </w:rPr>
              <w:t>1</w:t>
            </w:r>
            <w:r>
              <w:rPr>
                <w:rFonts w:hint="eastAsia" w:ascii="宋体" w:hAnsi="宋体" w:cs="Arial"/>
                <w:kern w:val="0"/>
                <w:sz w:val="20"/>
                <w:szCs w:val="20"/>
                <w:highlight w:val="none"/>
                <w:lang w:val="en-US" w:eastAsia="zh-CN"/>
              </w:rPr>
              <w:t>4</w:t>
            </w:r>
            <w:r>
              <w:rPr>
                <w:rFonts w:hint="eastAsia" w:ascii="宋体" w:hAnsi="宋体" w:cs="宋体"/>
                <w:kern w:val="0"/>
                <w:sz w:val="20"/>
                <w:szCs w:val="20"/>
                <w:highlight w:val="none"/>
              </w:rPr>
              <w:t>分</w:t>
            </w: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供配电设备管理</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供配电设备良好、运行正常，节能措施得力。</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3</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机房环境整洁，无杂物、无灰尘、无虫害。</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970"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按要求进行检查及维修保养，每天巡视一次，每月协助维保公司进行月检，并做好供配电设备维保确认记录，并设有</w:t>
            </w:r>
            <w:r>
              <w:rPr>
                <w:rFonts w:ascii="宋体" w:hAnsi="宋体" w:cs="Arial"/>
                <w:kern w:val="0"/>
                <w:sz w:val="20"/>
                <w:szCs w:val="20"/>
                <w:highlight w:val="none"/>
              </w:rPr>
              <w:t>24</w:t>
            </w:r>
            <w:r>
              <w:rPr>
                <w:rFonts w:hint="eastAsia" w:ascii="宋体" w:hAnsi="宋体" w:cs="宋体"/>
                <w:kern w:val="0"/>
                <w:sz w:val="20"/>
                <w:szCs w:val="20"/>
                <w:highlight w:val="none"/>
              </w:rPr>
              <w:t>小时值班管理制度。</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70"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及时做好停电时双路电源的人工切换，并定时做好切换设备的检查，确保设备的正常运作。</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道路、楼道、大堂等公共照明完好。</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567"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电梯设备管理</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电梯设备良好，运行正常，督促维保商定期巡检，并做好巡检和维修的确认。</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rPr>
              <w:t>3分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做好相应记录，按要求通知相关部门实施年检。</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50"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设备及机房环境整洁保持清洁，无杂物、无灰尘、无鼠、五虫害发生。</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990"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配备电梯安全管理员，电梯出现问题及时通知电梯维保商进行维修；对出现危险时协助实施急救措施。</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150"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监控及消防设备管理</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color w:val="auto"/>
                <w:kern w:val="0"/>
                <w:sz w:val="20"/>
                <w:szCs w:val="20"/>
                <w:highlight w:val="none"/>
              </w:rPr>
              <w:t>潮州大道办公楼制定有《消防设备（月）保养计划表》并按要求实施执行，《消防值班表》及《设备保养记录表》记录齐全</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消防设施运行正常，督促维保商按规定期限保养并做好确认。</w:t>
            </w:r>
          </w:p>
        </w:tc>
        <w:tc>
          <w:tcPr>
            <w:tcW w:w="274"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3</w:t>
            </w:r>
            <w:r>
              <w:rPr>
                <w:rFonts w:hint="eastAsia" w:ascii="宋体" w:hAnsi="宋体" w:cs="Arial"/>
                <w:kern w:val="0"/>
                <w:sz w:val="20"/>
                <w:szCs w:val="20"/>
                <w:highlight w:val="none"/>
              </w:rPr>
              <w:t>分</w:t>
            </w:r>
          </w:p>
        </w:tc>
        <w:tc>
          <w:tcPr>
            <w:tcW w:w="64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nil"/>
              <w:left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24"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消防设施设备完好无损，可随时起用，每半年进行一次全面检查。</w:t>
            </w:r>
          </w:p>
        </w:tc>
        <w:tc>
          <w:tcPr>
            <w:tcW w:w="274" w:type="pct"/>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left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left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24"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订有消防应急方案，无火灾安全隐患，消防通道畅通。</w:t>
            </w:r>
          </w:p>
        </w:tc>
        <w:tc>
          <w:tcPr>
            <w:tcW w:w="274" w:type="pct"/>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left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left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24"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监控系统设备运行正常，督促维保商按规定期限保养并做好确认。</w:t>
            </w:r>
          </w:p>
        </w:tc>
        <w:tc>
          <w:tcPr>
            <w:tcW w:w="274" w:type="pct"/>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567"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给排水设备管理</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供水设备运行正常，设施完好，无滴漏，节能措施得力。</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3</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机房整洁无积尘、无积水，无杂物。</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24"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排水系统通畅，无垃圾、无淤泥，汛期道路无积水，地下室、车库、设备房无积水、浸泡发生。</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890"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按规定对二次供水蓄水池设施设备进行清洁、消毒，《水池清洗消毒记录表》记录齐全；限水、停水按规定时间报采购方。</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890"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制定有《给排水设备保养计划表》并按要求实施执行，有《给排水设备运行记录》，严格遵守采购方的相关管理制度。</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250"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空调设备管理</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中央空调运行正常，水塔运行正常且噪音不超标，无严重滴漏水现象，机房整洁无杂物，有运行记录。督促维保商按规定期限保养并做好确认。</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2</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940" w:hRule="atLeast"/>
          <w:jc w:val="center"/>
        </w:trPr>
        <w:tc>
          <w:tcPr>
            <w:tcW w:w="459" w:type="pct"/>
            <w:vMerge w:val="continue"/>
            <w:tcBorders>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督促维保商按规定期限做好空调（含中央空调系统）的保养并做好确认。出现运行故障时，及时通知维保商进行维修并确认。</w:t>
            </w:r>
            <w:r>
              <w:rPr>
                <w:rFonts w:ascii="宋体" w:hAnsi="宋体" w:cs="宋体"/>
                <w:kern w:val="0"/>
                <w:sz w:val="20"/>
                <w:szCs w:val="20"/>
                <w:highlight w:val="none"/>
              </w:rPr>
              <w:t xml:space="preserve"> </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120" w:hRule="atLeast"/>
          <w:jc w:val="center"/>
        </w:trPr>
        <w:tc>
          <w:tcPr>
            <w:tcW w:w="459"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清洁管理</w:t>
            </w:r>
            <w:r>
              <w:rPr>
                <w:rFonts w:hint="eastAsia" w:ascii="宋体" w:hAnsi="宋体" w:cs="宋体"/>
                <w:kern w:val="0"/>
                <w:sz w:val="20"/>
                <w:szCs w:val="20"/>
                <w:highlight w:val="none"/>
                <w:lang w:val="en-US" w:eastAsia="zh-CN"/>
              </w:rPr>
              <w:t>8</w:t>
            </w:r>
            <w:r>
              <w:rPr>
                <w:rFonts w:hint="eastAsia" w:ascii="宋体" w:hAnsi="宋体" w:cs="宋体"/>
                <w:kern w:val="0"/>
                <w:sz w:val="20"/>
                <w:szCs w:val="20"/>
                <w:highlight w:val="none"/>
              </w:rPr>
              <w:t>分</w:t>
            </w: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室内公共区域</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地面：地面无垃圾杂物、无泥沙、无污渍；大理石地面打蜡、抛光后光泽均匀，光洁度均达到</w:t>
            </w:r>
            <w:r>
              <w:rPr>
                <w:rFonts w:ascii="宋体" w:hAnsi="宋体" w:cs="Arial"/>
                <w:kern w:val="0"/>
                <w:sz w:val="20"/>
                <w:szCs w:val="20"/>
                <w:highlight w:val="none"/>
              </w:rPr>
              <w:t>70</w:t>
            </w:r>
            <w:r>
              <w:rPr>
                <w:rFonts w:hint="eastAsia" w:ascii="宋体" w:hAnsi="宋体" w:cs="宋体"/>
                <w:kern w:val="0"/>
                <w:sz w:val="20"/>
                <w:szCs w:val="20"/>
                <w:highlight w:val="none"/>
              </w:rPr>
              <w:t>度以上；地毯无灰尘、无垃圾、无污渍。严格遵守采购人的相关管理制度。</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0.5</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8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墙面：大理石、瓷片、喷涂等墙面无灰尘；干净、无污渍、无张贴。</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40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楼道梯走廊：楼道梯间、走廊地面目视无杂物、污迹纸屑、无积水，每个单位楼梯级烟头不超过两个，走廊</w:t>
            </w:r>
            <w:r>
              <w:rPr>
                <w:rFonts w:ascii="宋体" w:hAnsi="宋体" w:cs="Arial"/>
                <w:kern w:val="0"/>
                <w:sz w:val="20"/>
                <w:szCs w:val="20"/>
                <w:highlight w:val="none"/>
              </w:rPr>
              <w:t>100M2</w:t>
            </w:r>
            <w:r>
              <w:rPr>
                <w:rFonts w:hint="eastAsia" w:ascii="宋体" w:hAnsi="宋体" w:cs="宋体"/>
                <w:kern w:val="0"/>
                <w:sz w:val="20"/>
                <w:szCs w:val="20"/>
                <w:highlight w:val="none"/>
              </w:rPr>
              <w:t>之内烟头不超过一个；地面无痰迹、无积尘、无污染；天花无灰尘、无污渍、无手印、无蜘蛛网。</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85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电梯：轿厢四壁干净、无尘、无污迹、无手印；电梯门轨槽、显示屏、按钮开关干净、无尘、无手印、槽内无沙粒。</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90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办公室：地面无污迹；墙面无灰尘；无蜘蛛网、整洁、无杂物；桌椅、沙发、文件柜无灰尘、无污渍、空气清新。</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40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卫生间：地面干净、无异味、无积水、无杂物、无烟头、纸屑、无污渍；墙面瓷片，门、窗无灰尘，便器无黄色污渍、墙面、门无涂画；设施完好、用品齐全；水喉、光亮；天花、灯具无尘无蜘蛛网；玻璃、镜面无灰尘、无污迹、无手印。</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开关灯、指示灯、消防栓：无灰尘、无污迹。</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烟灰筒、垃圾桶：目视内外壁干净、无粘附物、无污渍、无异味。</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13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地下室、地下车库：地下室、车库地面无垃圾、无杂物、无积水、无泥沙、无油迹；墙面目视无污渍，无明显灰尘；标志牌、消防栓、门窗防护栏等设施无污渍、无灰尘。</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室外公共区域</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绿地：绿地无纸屑、无烟头、无石块等杂物。</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rPr>
              <w:t>4分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0.5</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5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排水明沟：无明显泥沙、树叶、污垢，每</w:t>
            </w:r>
            <w:r>
              <w:rPr>
                <w:rFonts w:ascii="宋体" w:hAnsi="宋体" w:cs="Arial"/>
                <w:kern w:val="0"/>
                <w:sz w:val="20"/>
                <w:szCs w:val="20"/>
                <w:highlight w:val="none"/>
              </w:rPr>
              <w:t>100M2</w:t>
            </w:r>
            <w:r>
              <w:rPr>
                <w:rFonts w:hint="eastAsia" w:ascii="宋体" w:hAnsi="宋体" w:cs="宋体"/>
                <w:kern w:val="0"/>
                <w:sz w:val="20"/>
                <w:szCs w:val="20"/>
                <w:highlight w:val="none"/>
              </w:rPr>
              <w:t>烟头、纸屑在两个以下。</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5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沙井、无雨水井：无垃圾、底部无沉淀物，内壁无粘附物，井盖无污迹。</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98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广场：地面洁净无污渍、无垃圾、无烟头、果皮、花坛外表洁净、无污渍，玻璃无水印、无污渍、无灰尘。</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4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垃圾桶：目视垃圾筒无污迹、无油迹、无粘附物、无异味；垃圾筒、果皮箱周围无积水。</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5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天台、雨篷：目视天台、雨篷无垃圾、杂物、排水畅通、无水印、无污渍；水沟无污垢、无泥沙。</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信报箱：信报箱干净、无灰尘、无污迹。</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5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广告、宣传栏、标示牌：无灰尘、无污迹、干净、光亮。</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3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消防设备、器材：无尘、无污迹。</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90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工作记录：相应《清洁工作巡检表》、《卫生间巡回保洁记录表》及《消杀记录表》等记录完整，严格遵守采购人的相关管理制度。</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120" w:hRule="atLeast"/>
          <w:jc w:val="center"/>
        </w:trPr>
        <w:tc>
          <w:tcPr>
            <w:tcW w:w="459"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保安管理</w:t>
            </w:r>
            <w:r>
              <w:rPr>
                <w:rFonts w:hint="eastAsia" w:ascii="宋体" w:hAnsi="宋体" w:cs="宋体"/>
                <w:kern w:val="0"/>
                <w:sz w:val="20"/>
                <w:szCs w:val="20"/>
                <w:highlight w:val="none"/>
                <w:lang w:val="en-US" w:eastAsia="zh-CN"/>
              </w:rPr>
              <w:t>7</w:t>
            </w:r>
            <w:r>
              <w:rPr>
                <w:rFonts w:hint="eastAsia" w:ascii="宋体" w:hAnsi="宋体" w:cs="宋体"/>
                <w:kern w:val="0"/>
                <w:sz w:val="20"/>
                <w:szCs w:val="20"/>
                <w:highlight w:val="none"/>
              </w:rPr>
              <w:t>分</w:t>
            </w: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1</w:t>
            </w:r>
            <w:r>
              <w:rPr>
                <w:rFonts w:hint="eastAsia" w:ascii="宋体" w:hAnsi="宋体" w:cs="Arial"/>
                <w:kern w:val="0"/>
                <w:sz w:val="20"/>
                <w:szCs w:val="20"/>
                <w:highlight w:val="none"/>
              </w:rPr>
              <w:t>、严格执行物品出入管理及来人来访管理制度，《来访登记表》及《物品出入放行条》记录完整，使用文明用语，严格遵守采购人的相关管理制度。</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7</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12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2</w:t>
            </w:r>
            <w:r>
              <w:rPr>
                <w:rFonts w:hint="eastAsia" w:ascii="宋体" w:hAnsi="宋体" w:cs="Arial"/>
                <w:kern w:val="0"/>
                <w:sz w:val="20"/>
                <w:szCs w:val="20"/>
                <w:highlight w:val="none"/>
              </w:rPr>
              <w:t>、按要求设置巡逻签到点，每</w:t>
            </w:r>
            <w:r>
              <w:rPr>
                <w:rFonts w:ascii="宋体" w:hAnsi="宋体" w:cs="Arial"/>
                <w:kern w:val="0"/>
                <w:sz w:val="20"/>
                <w:szCs w:val="20"/>
                <w:highlight w:val="none"/>
              </w:rPr>
              <w:t>2</w:t>
            </w:r>
            <w:r>
              <w:rPr>
                <w:rFonts w:hint="eastAsia" w:ascii="宋体" w:hAnsi="宋体" w:cs="Arial"/>
                <w:kern w:val="0"/>
                <w:sz w:val="20"/>
                <w:szCs w:val="20"/>
                <w:highlight w:val="none"/>
              </w:rPr>
              <w:t>小时巡查一次，并做好《保安巡逻交接班记录表》及《巡逻签到表》记录，坚守岗位，在工作时间不得睡觉或其他与工作无关的事情。</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106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3</w:t>
            </w:r>
            <w:r>
              <w:rPr>
                <w:rFonts w:hint="eastAsia" w:ascii="宋体" w:hAnsi="宋体" w:cs="Arial"/>
                <w:kern w:val="0"/>
                <w:sz w:val="20"/>
                <w:szCs w:val="20"/>
                <w:highlight w:val="none"/>
              </w:rPr>
              <w:t>、值班保安密切注视监督视频及各设备运行状态，每班至少进行一次各类信号检查，并做好《中控室报警监控设备运行记录表》记录，不得离岗。</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7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4</w:t>
            </w:r>
            <w:r>
              <w:rPr>
                <w:rFonts w:hint="eastAsia" w:ascii="宋体" w:hAnsi="宋体" w:cs="Arial"/>
                <w:kern w:val="0"/>
                <w:sz w:val="20"/>
                <w:szCs w:val="20"/>
                <w:highlight w:val="none"/>
              </w:rPr>
              <w:t>、按规定进行交接班，《保安交接班记录表》记录完整。</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5</w:t>
            </w:r>
            <w:r>
              <w:rPr>
                <w:rFonts w:hint="eastAsia" w:ascii="宋体" w:hAnsi="宋体" w:cs="Arial"/>
                <w:kern w:val="0"/>
                <w:sz w:val="20"/>
                <w:szCs w:val="20"/>
                <w:highlight w:val="none"/>
              </w:rPr>
              <w:t>、车辆进出有登记，停放有序。</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5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6</w:t>
            </w:r>
            <w:r>
              <w:rPr>
                <w:rFonts w:hint="eastAsia" w:ascii="宋体" w:hAnsi="宋体" w:cs="Arial"/>
                <w:kern w:val="0"/>
                <w:sz w:val="20"/>
                <w:szCs w:val="20"/>
                <w:highlight w:val="none"/>
              </w:rPr>
              <w:t>、建立有保安器械台帐，器械功能完好，正常使用，《保安器械台帐》记录完整。</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2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7</w:t>
            </w:r>
            <w:r>
              <w:rPr>
                <w:rFonts w:hint="eastAsia" w:ascii="宋体" w:hAnsi="宋体" w:cs="Arial"/>
                <w:kern w:val="0"/>
                <w:sz w:val="20"/>
                <w:szCs w:val="20"/>
                <w:highlight w:val="none"/>
              </w:rPr>
              <w:t>、危及人身安全处有明显标识和具体的防范措施。</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74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8</w:t>
            </w:r>
            <w:r>
              <w:rPr>
                <w:rFonts w:hint="eastAsia" w:ascii="宋体" w:hAnsi="宋体" w:cs="Arial"/>
                <w:kern w:val="0"/>
                <w:sz w:val="20"/>
                <w:szCs w:val="20"/>
                <w:highlight w:val="none"/>
              </w:rPr>
              <w:t>、按规定每月对保安员进行一次综合考评，填写《保安班人员整体素质考核评分表》。</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绿化管理</w:t>
            </w:r>
            <w:r>
              <w:rPr>
                <w:rFonts w:hint="eastAsia" w:ascii="宋体" w:hAnsi="宋体" w:cs="Arial"/>
                <w:kern w:val="0"/>
                <w:sz w:val="20"/>
                <w:szCs w:val="20"/>
                <w:highlight w:val="none"/>
                <w:lang w:val="en-US" w:eastAsia="zh-CN"/>
              </w:rPr>
              <w:t>4</w:t>
            </w:r>
            <w:r>
              <w:rPr>
                <w:rFonts w:hint="eastAsia" w:ascii="宋体" w:hAnsi="宋体" w:cs="宋体"/>
                <w:kern w:val="0"/>
                <w:sz w:val="20"/>
                <w:szCs w:val="20"/>
                <w:highlight w:val="none"/>
              </w:rPr>
              <w:t>分</w:t>
            </w: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1</w:t>
            </w:r>
            <w:r>
              <w:rPr>
                <w:rFonts w:hint="eastAsia" w:ascii="宋体" w:hAnsi="宋体" w:cs="Arial"/>
                <w:kern w:val="0"/>
                <w:sz w:val="20"/>
                <w:szCs w:val="20"/>
                <w:highlight w:val="none"/>
              </w:rPr>
              <w:t>、花草树木长势良好，修整整齐美观。</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2</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2</w:t>
            </w:r>
            <w:r>
              <w:rPr>
                <w:rFonts w:hint="eastAsia" w:ascii="宋体" w:hAnsi="宋体" w:cs="Arial"/>
                <w:kern w:val="0"/>
                <w:sz w:val="20"/>
                <w:szCs w:val="20"/>
                <w:highlight w:val="none"/>
              </w:rPr>
              <w:t>、无病虫害，无折损现象，无斑秃。</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667"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ascii="宋体" w:hAnsi="宋体" w:cs="Arial"/>
                <w:kern w:val="0"/>
                <w:sz w:val="20"/>
                <w:szCs w:val="20"/>
                <w:highlight w:val="none"/>
              </w:rPr>
              <w:t>3</w:t>
            </w:r>
            <w:r>
              <w:rPr>
                <w:rFonts w:hint="eastAsia" w:ascii="宋体" w:hAnsi="宋体" w:cs="Arial"/>
                <w:kern w:val="0"/>
                <w:sz w:val="20"/>
                <w:szCs w:val="20"/>
                <w:highlight w:val="none"/>
              </w:rPr>
              <w:t>、植物绿化符合标准，及时更换，严格遵守采购人的相关管理制度。</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454" w:hRule="atLeast"/>
          <w:jc w:val="center"/>
        </w:trPr>
        <w:tc>
          <w:tcPr>
            <w:tcW w:w="459" w:type="pct"/>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房</w:t>
            </w:r>
            <w:r>
              <w:rPr>
                <w:rFonts w:hint="eastAsia" w:ascii="宋体" w:hAnsi="宋体" w:cs="宋体"/>
                <w:kern w:val="0"/>
                <w:sz w:val="20"/>
                <w:szCs w:val="20"/>
                <w:highlight w:val="none"/>
                <w:lang w:eastAsia="zh-CN"/>
              </w:rPr>
              <w:t>间</w:t>
            </w:r>
            <w:r>
              <w:rPr>
                <w:rFonts w:hint="eastAsia" w:ascii="宋体" w:hAnsi="宋体" w:cs="宋体"/>
                <w:kern w:val="0"/>
                <w:sz w:val="20"/>
                <w:szCs w:val="20"/>
                <w:highlight w:val="none"/>
              </w:rPr>
              <w:t>用餐管理</w:t>
            </w:r>
            <w:r>
              <w:rPr>
                <w:rFonts w:hint="eastAsia" w:ascii="宋体" w:hAnsi="宋体" w:cs="Arial"/>
                <w:kern w:val="0"/>
                <w:sz w:val="20"/>
                <w:szCs w:val="20"/>
                <w:highlight w:val="none"/>
                <w:lang w:val="en-US" w:eastAsia="zh-CN"/>
              </w:rPr>
              <w:t>13</w:t>
            </w:r>
            <w:r>
              <w:rPr>
                <w:rFonts w:hint="eastAsia" w:ascii="宋体" w:hAnsi="宋体" w:cs="宋体"/>
                <w:kern w:val="0"/>
                <w:sz w:val="20"/>
                <w:szCs w:val="20"/>
                <w:highlight w:val="none"/>
              </w:rPr>
              <w:t>分</w:t>
            </w:r>
          </w:p>
        </w:tc>
        <w:tc>
          <w:tcPr>
            <w:tcW w:w="6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综合方面</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从业人员持有效的健康证上岗。</w:t>
            </w:r>
          </w:p>
        </w:tc>
        <w:tc>
          <w:tcPr>
            <w:tcW w:w="274"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64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p>
            <w:pPr>
              <w:widowControl/>
              <w:spacing w:line="240" w:lineRule="exact"/>
              <w:jc w:val="center"/>
              <w:rPr>
                <w:rFonts w:hint="eastAsia" w:ascii="宋体" w:hAnsi="宋体" w:eastAsia="宋体" w:cs="Arial"/>
                <w:kern w:val="0"/>
                <w:sz w:val="20"/>
                <w:szCs w:val="20"/>
                <w:highlight w:val="none"/>
                <w:lang w:eastAsia="zh-CN"/>
              </w:rPr>
            </w:pPr>
          </w:p>
          <w:p>
            <w:pPr>
              <w:widowControl/>
              <w:spacing w:line="240" w:lineRule="exact"/>
              <w:jc w:val="center"/>
              <w:rPr>
                <w:rFonts w:hint="eastAsia" w:ascii="宋体" w:hAnsi="宋体" w:eastAsia="宋体" w:cs="Arial"/>
                <w:kern w:val="0"/>
                <w:sz w:val="20"/>
                <w:szCs w:val="20"/>
                <w:highlight w:val="none"/>
                <w:lang w:eastAsia="zh-CN"/>
              </w:rPr>
            </w:pPr>
          </w:p>
          <w:p>
            <w:pPr>
              <w:widowControl/>
              <w:spacing w:line="240" w:lineRule="exact"/>
              <w:jc w:val="center"/>
              <w:rPr>
                <w:rFonts w:hint="eastAsia" w:ascii="宋体" w:hAnsi="宋体" w:eastAsia="宋体" w:cs="Arial"/>
                <w:kern w:val="0"/>
                <w:sz w:val="20"/>
                <w:szCs w:val="20"/>
                <w:highlight w:val="none"/>
                <w:lang w:eastAsia="zh-CN"/>
              </w:rPr>
            </w:pPr>
          </w:p>
          <w:p>
            <w:pPr>
              <w:spacing w:line="240" w:lineRule="exact"/>
              <w:jc w:val="center"/>
              <w:rPr>
                <w:rFonts w:hint="eastAsia" w:ascii="宋体" w:hAnsi="宋体" w:eastAsia="宋体" w:cs="宋体"/>
                <w:kern w:val="0"/>
                <w:sz w:val="20"/>
                <w:szCs w:val="20"/>
                <w:highlight w:val="none"/>
                <w:lang w:eastAsia="zh-CN"/>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677"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餐厅、房</w:t>
            </w:r>
            <w:r>
              <w:rPr>
                <w:rFonts w:hint="eastAsia" w:ascii="宋体" w:hAnsi="宋体" w:cs="宋体"/>
                <w:kern w:val="0"/>
                <w:sz w:val="20"/>
                <w:szCs w:val="20"/>
                <w:highlight w:val="none"/>
                <w:lang w:eastAsia="zh-CN"/>
              </w:rPr>
              <w:t>间</w:t>
            </w:r>
            <w:r>
              <w:rPr>
                <w:rFonts w:hint="eastAsia" w:ascii="宋体" w:hAnsi="宋体" w:cs="宋体"/>
                <w:kern w:val="0"/>
                <w:sz w:val="20"/>
                <w:szCs w:val="20"/>
                <w:highlight w:val="none"/>
              </w:rPr>
              <w:t>清扫，工作车干净整洁，物品工具齐全、物品摆放整齐有序。</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777"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做好与其它部门的协调工作，严格遵守采购人的相关管理制度。</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85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工作间内不得闲聊、大声喧哗、看书报、休息、吃东西、存放私人物品；没节约水电等能源，没随手关灯、关门。</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121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工勤人员当值期间应化淡装、不准佩带各种饰物，如项链、手链、耳环、戒指等；应保持面容清洁、头发整洁、发型美观、大方；面带笑容、亲切和蔼、端庄稳重、不卑不亢。</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108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反映意见渠道畅通，有投诉意见箱，公布投诉电话，有记录，有改进，有回音。采纳合理化建议，对存在的问题及时整改。</w:t>
            </w:r>
          </w:p>
        </w:tc>
        <w:tc>
          <w:tcPr>
            <w:tcW w:w="274"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165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房</w:t>
            </w:r>
            <w:r>
              <w:rPr>
                <w:rFonts w:hint="eastAsia" w:ascii="宋体" w:hAnsi="宋体" w:cs="宋体"/>
                <w:kern w:val="0"/>
                <w:sz w:val="20"/>
                <w:szCs w:val="20"/>
                <w:highlight w:val="none"/>
                <w:lang w:eastAsia="zh-CN"/>
              </w:rPr>
              <w:t>间</w:t>
            </w:r>
            <w:r>
              <w:rPr>
                <w:rFonts w:hint="eastAsia" w:ascii="宋体" w:hAnsi="宋体" w:cs="宋体"/>
                <w:kern w:val="0"/>
                <w:sz w:val="20"/>
                <w:szCs w:val="20"/>
                <w:highlight w:val="none"/>
              </w:rPr>
              <w:t>方面</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铺床：铺床单，甩单定位，不偏离中心线，正面向上，包角：四个角均匀，紧密，床两侧塞进床垫部分不少</w:t>
            </w:r>
            <w:r>
              <w:rPr>
                <w:rFonts w:ascii="宋体" w:hAnsi="宋体" w:cs="Arial"/>
                <w:kern w:val="0"/>
                <w:sz w:val="20"/>
                <w:szCs w:val="20"/>
                <w:highlight w:val="none"/>
              </w:rPr>
              <w:t>15</w:t>
            </w:r>
            <w:r>
              <w:rPr>
                <w:rFonts w:hint="eastAsia" w:ascii="宋体" w:hAnsi="宋体" w:cs="宋体"/>
                <w:kern w:val="0"/>
                <w:sz w:val="20"/>
                <w:szCs w:val="20"/>
                <w:highlight w:val="none"/>
              </w:rPr>
              <w:t>厘米，床头床位不少于</w:t>
            </w:r>
            <w:r>
              <w:rPr>
                <w:rFonts w:ascii="宋体" w:hAnsi="宋体" w:cs="Arial"/>
                <w:kern w:val="0"/>
                <w:sz w:val="20"/>
                <w:szCs w:val="20"/>
                <w:highlight w:val="none"/>
              </w:rPr>
              <w:t>15</w:t>
            </w:r>
            <w:r>
              <w:rPr>
                <w:rFonts w:hint="eastAsia" w:ascii="宋体" w:hAnsi="宋体" w:cs="宋体"/>
                <w:kern w:val="0"/>
                <w:sz w:val="20"/>
                <w:szCs w:val="20"/>
                <w:highlight w:val="none"/>
              </w:rPr>
              <w:t>厘米；套枕头：四角饱满，挺括；</w:t>
            </w:r>
            <w:r>
              <w:rPr>
                <w:rFonts w:ascii="宋体" w:hAnsi="宋体" w:cs="Arial"/>
                <w:kern w:val="0"/>
                <w:sz w:val="20"/>
                <w:szCs w:val="20"/>
                <w:highlight w:val="none"/>
              </w:rPr>
              <w:t xml:space="preserve"> </w:t>
            </w:r>
            <w:r>
              <w:rPr>
                <w:rFonts w:hint="eastAsia" w:ascii="宋体" w:hAnsi="宋体" w:cs="宋体"/>
                <w:kern w:val="0"/>
                <w:sz w:val="20"/>
                <w:szCs w:val="20"/>
                <w:highlight w:val="none"/>
              </w:rPr>
              <w:t>放枕头：中线与被套中线重合，枕头开口处于床头柜相反，与床两侧距离相等。</w:t>
            </w:r>
          </w:p>
        </w:tc>
        <w:tc>
          <w:tcPr>
            <w:tcW w:w="274"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Arial"/>
                <w:kern w:val="0"/>
                <w:sz w:val="20"/>
                <w:szCs w:val="20"/>
                <w:highlight w:val="none"/>
                <w:lang w:eastAsia="zh-CN"/>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117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卫生间：面盆、浴盆、马桶（干净无毛发、无污垢）；镜子（光亮干净无水迹污迹）；墙面地面（无污渍，无杂物）；布草及物品布放齐全，摆放有序。</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102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擦尘，布放房间物品：擦放有序，从上到下，从左到右，抹布使用有序；房间物品补充齐全，摆放有序。</w:t>
            </w:r>
          </w:p>
        </w:tc>
        <w:tc>
          <w:tcPr>
            <w:tcW w:w="274"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93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餐厅方面</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餐厅内水、暖、照明、冷气、通风、洗手设施齐全、功能正常完好；餐桌干净无油渍、无残留物，座位干净牢固。</w:t>
            </w:r>
          </w:p>
        </w:tc>
        <w:tc>
          <w:tcPr>
            <w:tcW w:w="274"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Arial"/>
                <w:kern w:val="0"/>
                <w:sz w:val="20"/>
                <w:szCs w:val="20"/>
                <w:highlight w:val="none"/>
                <w:lang w:eastAsia="zh-CN"/>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149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卫生管理档案制度：①有专人负责，专人保管；②档案应每年进行一次整理；③档案内容：卫生申请基础资料、卫生机构、各项制度、各种记录、个人健康、卫生知识培训、索证资料、餐具消毒自检记录、检验报告等。</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83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了解每天用餐，接待餐的预定情况并做好接待工作。</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75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工作人员做好餐前准备、餐中服务及餐后的清洁工作，做到微笑，细心、热情，提高服务质量。</w:t>
            </w:r>
          </w:p>
        </w:tc>
        <w:tc>
          <w:tcPr>
            <w:tcW w:w="274"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760" w:hRule="atLeast"/>
          <w:jc w:val="center"/>
        </w:trPr>
        <w:tc>
          <w:tcPr>
            <w:tcW w:w="459" w:type="pct"/>
            <w:vMerge w:val="continue"/>
            <w:tcBorders>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p>
        </w:tc>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布草方面</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及时做好布草更换、清洗，包括所有房</w:t>
            </w:r>
            <w:r>
              <w:rPr>
                <w:rFonts w:hint="eastAsia" w:ascii="宋体" w:hAnsi="宋体" w:cs="宋体"/>
                <w:kern w:val="0"/>
                <w:sz w:val="20"/>
                <w:szCs w:val="20"/>
                <w:highlight w:val="none"/>
                <w:lang w:eastAsia="zh-CN"/>
              </w:rPr>
              <w:t>间</w:t>
            </w:r>
            <w:r>
              <w:rPr>
                <w:rFonts w:hint="eastAsia" w:ascii="宋体" w:hAnsi="宋体" w:cs="宋体"/>
                <w:kern w:val="0"/>
                <w:sz w:val="20"/>
                <w:szCs w:val="20"/>
                <w:highlight w:val="none"/>
              </w:rPr>
              <w:t>、餐厅的布草清洗、消毒、烘干、烫熨、归集。</w:t>
            </w:r>
          </w:p>
        </w:tc>
        <w:tc>
          <w:tcPr>
            <w:tcW w:w="27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1</w:t>
            </w:r>
            <w:r>
              <w:rPr>
                <w:rFonts w:hint="eastAsia" w:ascii="宋体" w:hAnsi="宋体" w:cs="Arial"/>
                <w:kern w:val="0"/>
                <w:sz w:val="20"/>
                <w:szCs w:val="20"/>
                <w:highlight w:val="none"/>
              </w:rPr>
              <w:t>分</w:t>
            </w:r>
          </w:p>
        </w:tc>
        <w:tc>
          <w:tcPr>
            <w:tcW w:w="649"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233" w:type="pct"/>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Arial"/>
                <w:kern w:val="0"/>
                <w:sz w:val="20"/>
                <w:szCs w:val="20"/>
                <w:highlight w:val="none"/>
                <w:lang w:eastAsia="zh-CN"/>
              </w:rPr>
            </w:pPr>
          </w:p>
        </w:tc>
        <w:tc>
          <w:tcPr>
            <w:tcW w:w="243" w:type="pct"/>
            <w:gridSpan w:val="2"/>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1160" w:hRule="atLeast"/>
          <w:jc w:val="center"/>
        </w:trPr>
        <w:tc>
          <w:tcPr>
            <w:tcW w:w="459"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会务培训管理</w:t>
            </w:r>
            <w:r>
              <w:rPr>
                <w:rFonts w:ascii="宋体" w:hAnsi="宋体" w:cs="Arial"/>
                <w:kern w:val="0"/>
                <w:sz w:val="20"/>
                <w:szCs w:val="20"/>
                <w:highlight w:val="none"/>
              </w:rPr>
              <w:t>8</w:t>
            </w:r>
            <w:r>
              <w:rPr>
                <w:rFonts w:hint="eastAsia" w:ascii="宋体" w:hAnsi="宋体" w:cs="宋体"/>
                <w:kern w:val="0"/>
                <w:sz w:val="20"/>
                <w:szCs w:val="20"/>
                <w:highlight w:val="none"/>
              </w:rPr>
              <w:t>分</w:t>
            </w: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会议、培训等活动前准备：会议（培训）开始前</w:t>
            </w:r>
            <w:r>
              <w:rPr>
                <w:rFonts w:ascii="宋体" w:hAnsi="宋体" w:cs="Arial"/>
                <w:kern w:val="0"/>
                <w:sz w:val="20"/>
                <w:szCs w:val="20"/>
                <w:highlight w:val="none"/>
              </w:rPr>
              <w:t>1</w:t>
            </w:r>
            <w:r>
              <w:rPr>
                <w:rFonts w:hint="eastAsia" w:ascii="宋体" w:hAnsi="宋体" w:cs="宋体"/>
                <w:kern w:val="0"/>
                <w:sz w:val="20"/>
                <w:szCs w:val="20"/>
                <w:highlight w:val="none"/>
              </w:rPr>
              <w:t>小时，打开会议室门窗进行通风。若夏天高温，在会议开始前</w:t>
            </w:r>
            <w:r>
              <w:rPr>
                <w:rFonts w:ascii="宋体" w:hAnsi="宋体" w:cs="Arial"/>
                <w:kern w:val="0"/>
                <w:sz w:val="20"/>
                <w:szCs w:val="20"/>
                <w:highlight w:val="none"/>
              </w:rPr>
              <w:t>20</w:t>
            </w:r>
            <w:r>
              <w:rPr>
                <w:rFonts w:hint="eastAsia" w:ascii="宋体" w:hAnsi="宋体" w:cs="宋体"/>
                <w:kern w:val="0"/>
                <w:sz w:val="20"/>
                <w:szCs w:val="20"/>
                <w:highlight w:val="none"/>
              </w:rPr>
              <w:t>分钟关上门窗，打开空调，调至适宜温度。</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8</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2</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hint="eastAsia" w:ascii="宋体" w:hAnsi="宋体" w:eastAsia="宋体" w:cs="宋体"/>
                <w:kern w:val="0"/>
                <w:sz w:val="20"/>
                <w:szCs w:val="20"/>
                <w:highlight w:val="none"/>
                <w:lang w:eastAsia="zh-CN"/>
              </w:rPr>
            </w:pPr>
          </w:p>
        </w:tc>
        <w:tc>
          <w:tcPr>
            <w:tcW w:w="243" w:type="pct"/>
            <w:gridSpan w:val="2"/>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trHeight w:val="100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布置活动（会场、教室等）场地，备好座位、器材、茶具茶水等设施用品。保证开水供应，于活动开始前</w:t>
            </w:r>
            <w:r>
              <w:rPr>
                <w:rFonts w:ascii="宋体" w:hAnsi="宋体" w:cs="Arial"/>
                <w:kern w:val="0"/>
                <w:sz w:val="20"/>
                <w:szCs w:val="20"/>
                <w:highlight w:val="none"/>
              </w:rPr>
              <w:t>10</w:t>
            </w:r>
            <w:r>
              <w:rPr>
                <w:rFonts w:hint="eastAsia" w:ascii="宋体" w:hAnsi="宋体" w:cs="宋体"/>
                <w:kern w:val="0"/>
                <w:sz w:val="20"/>
                <w:szCs w:val="20"/>
                <w:highlight w:val="none"/>
              </w:rPr>
              <w:t>分钟将茶水准备到位。</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166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会议、培训等活动中服务工作：参会人员入场后，举止大方的递上茶水；参加活动人员到齐后，将会议室（教室）茶水添加一遍后，每隔</w:t>
            </w:r>
            <w:r>
              <w:rPr>
                <w:rFonts w:ascii="宋体" w:hAnsi="宋体" w:cs="Arial"/>
                <w:kern w:val="0"/>
                <w:sz w:val="20"/>
                <w:szCs w:val="20"/>
                <w:highlight w:val="none"/>
              </w:rPr>
              <w:t>10~15</w:t>
            </w:r>
            <w:r>
              <w:rPr>
                <w:rFonts w:hint="eastAsia" w:ascii="宋体" w:hAnsi="宋体" w:cs="宋体"/>
                <w:kern w:val="0"/>
                <w:sz w:val="20"/>
                <w:szCs w:val="20"/>
                <w:highlight w:val="none"/>
              </w:rPr>
              <w:t>分钟添加茶水，直到活动结束。服务中要做到三轻（走路轻、讲话轻、动作轻）；严格遵守采购人的相关管理制度。</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740"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会议、培训等活动后工作：清洁会场（教室），关好电源、门窗。</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43" w:type="pct"/>
            <w:gridSpan w:val="2"/>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8277" w:hRule="atLeast"/>
          <w:jc w:val="center"/>
        </w:trPr>
        <w:tc>
          <w:tcPr>
            <w:tcW w:w="459" w:type="pct"/>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厨房管理</w:t>
            </w:r>
            <w:r>
              <w:rPr>
                <w:rFonts w:hint="eastAsia" w:ascii="宋体" w:hAnsi="宋体" w:cs="Arial"/>
                <w:kern w:val="0"/>
                <w:sz w:val="20"/>
                <w:szCs w:val="20"/>
                <w:highlight w:val="none"/>
                <w:lang w:val="en-US" w:eastAsia="zh-CN"/>
              </w:rPr>
              <w:t>14</w:t>
            </w:r>
            <w:r>
              <w:rPr>
                <w:rFonts w:hint="eastAsia" w:ascii="宋体" w:hAnsi="宋体" w:cs="宋体"/>
                <w:kern w:val="0"/>
                <w:sz w:val="20"/>
                <w:szCs w:val="20"/>
                <w:highlight w:val="none"/>
              </w:rPr>
              <w:t>分</w:t>
            </w: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操作及卫生</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Arial"/>
                <w:kern w:val="0"/>
                <w:sz w:val="20"/>
                <w:szCs w:val="20"/>
                <w:highlight w:val="none"/>
              </w:rPr>
            </w:pPr>
            <w:r>
              <w:rPr>
                <w:rFonts w:hint="eastAsia" w:ascii="宋体" w:hAnsi="宋体" w:cs="Arial"/>
                <w:kern w:val="0"/>
                <w:sz w:val="20"/>
                <w:szCs w:val="20"/>
                <w:highlight w:val="none"/>
              </w:rPr>
              <w:t>厨房所有工作人员必须严格执行《食品卫生法》，以确保食品卫生，持有效的健康证上岗。服装要干净，整洁、工作时间不得裸背敞胸，穿便装和怪服；厨房烹调加工食物用过的废水必须及时排除；墙壁、门窗应坚固美观，所有孔、洞、缝、隙应予填实密封，并保持整洁，以免蟑螂、老鼠隐身躲藏或进出；定期清洗抽油烟设备；工作厨台、橱柜下内侧及厨房死角，应特别注意清扫，防止残留食物腐蚀；食物应在工作台上操作加工，并将生熟食物分开处理</w:t>
            </w:r>
            <w:r>
              <w:rPr>
                <w:rFonts w:hint="eastAsia" w:ascii="宋体" w:hAnsi="宋体" w:cs="Arial"/>
                <w:kern w:val="0"/>
                <w:sz w:val="20"/>
                <w:szCs w:val="20"/>
                <w:highlight w:val="none"/>
                <w:lang w:eastAsia="zh-CN"/>
              </w:rPr>
              <w:t>。</w:t>
            </w:r>
            <w:r>
              <w:rPr>
                <w:rFonts w:hint="eastAsia" w:ascii="宋体" w:hAnsi="宋体" w:cs="Arial"/>
                <w:kern w:val="0"/>
                <w:sz w:val="20"/>
                <w:szCs w:val="20"/>
                <w:highlight w:val="none"/>
              </w:rPr>
              <w:t>刀、菜墩、抹布等必须保持清洁、卫生；食物应保持新鲜、清洁、卫生，并于清扫后分类用塑料袋包紧，或装在盖容器内分别储放冷藏区或冷冻区、要确定做到勿将食物在生活常温中暴露太久；调味品应以适当容器装盛，使用后随即加盖，所有器皿及菜均不得与地面或污垢接触；应备有带盖污物桶，潲水桶，潲水当日倒除，不在厨房隔夜，如需要隔夜清除，则应用桶盖隔离，潲水桶四周应经常保持干净；工作时，工作衣帽应穿戴整洁，不得留长发、长指甲，工作时避免让手接触或沾染成品食物与盛器；在厨房工作时，不得在工作区域抽烟；厨房清洁扫除工作应每日数次，至少二次清洁完毕，用具应集中处置，杀虫剂应与洗涤剂分开放置，并指定专人管理。</w:t>
            </w:r>
            <w:r>
              <w:rPr>
                <w:rFonts w:ascii="宋体" w:hAnsi="宋体" w:cs="Arial"/>
                <w:kern w:val="0"/>
                <w:sz w:val="20"/>
                <w:szCs w:val="20"/>
                <w:highlight w:val="none"/>
              </w:rPr>
              <w:t xml:space="preserve">                                                   </w:t>
            </w:r>
            <w:r>
              <w:rPr>
                <w:rFonts w:hint="eastAsia" w:ascii="宋体" w:hAnsi="宋体" w:cs="Arial"/>
                <w:kern w:val="0"/>
                <w:sz w:val="20"/>
                <w:szCs w:val="20"/>
                <w:highlight w:val="none"/>
              </w:rPr>
              <w:t>食品原材料管理：根据生产程序标准，实行烹饪原料先进先出原则，合理使用原料，避免先后程序</w:t>
            </w:r>
            <w:r>
              <w:rPr>
                <w:rFonts w:hint="eastAsia" w:ascii="宋体" w:hAnsi="宋体" w:cs="Arial"/>
                <w:kern w:val="0"/>
                <w:sz w:val="20"/>
                <w:szCs w:val="20"/>
                <w:highlight w:val="none"/>
                <w:lang w:eastAsia="zh-CN"/>
              </w:rPr>
              <w:t>不</w:t>
            </w:r>
            <w:r>
              <w:rPr>
                <w:rFonts w:hint="eastAsia" w:ascii="宋体" w:hAnsi="宋体" w:cs="Arial"/>
                <w:kern w:val="0"/>
                <w:sz w:val="20"/>
                <w:szCs w:val="20"/>
                <w:highlight w:val="none"/>
              </w:rPr>
              <w:t>分，先入库房原料搁置不用；高档原料派专人保管，严格按量使用。其它原料同样做到按量使用，物尽其用；不得使用霉变，有异味等一切变质的烹饪原料。对原料做到先入先出；严格履行原料进入，原料烹煮和菜品供应程序，确保菜品操作流程正常运转。</w:t>
            </w:r>
            <w:r>
              <w:rPr>
                <w:rFonts w:ascii="宋体" w:hAnsi="宋体" w:cs="Arial"/>
                <w:kern w:val="0"/>
                <w:sz w:val="20"/>
                <w:szCs w:val="20"/>
                <w:highlight w:val="none"/>
              </w:rPr>
              <w:t xml:space="preserve">                                                         </w:t>
            </w:r>
            <w:r>
              <w:rPr>
                <w:rFonts w:hint="eastAsia" w:ascii="宋体" w:hAnsi="宋体" w:cs="Arial"/>
                <w:kern w:val="0"/>
                <w:sz w:val="20"/>
                <w:szCs w:val="20"/>
                <w:highlight w:val="none"/>
              </w:rPr>
              <w:t>严格遵守采购人的相关管理制度。</w:t>
            </w:r>
          </w:p>
        </w:tc>
        <w:tc>
          <w:tcPr>
            <w:tcW w:w="27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8</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根据每次检查的实际情况每发现一处不符合扣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tcBorders>
              <w:top w:val="nil"/>
              <w:left w:val="nil"/>
              <w:bottom w:val="single" w:color="auto" w:sz="4" w:space="0"/>
              <w:right w:val="single" w:color="auto" w:sz="8" w:space="0"/>
            </w:tcBorders>
            <w:shd w:val="clear" w:color="auto" w:fill="auto"/>
          </w:tcPr>
          <w:p>
            <w:pPr>
              <w:widowControl/>
              <w:spacing w:line="240" w:lineRule="exact"/>
              <w:rPr>
                <w:rFonts w:hint="eastAsia" w:ascii="宋体" w:hAnsi="宋体" w:eastAsia="宋体" w:cs="宋体"/>
                <w:kern w:val="0"/>
                <w:sz w:val="20"/>
                <w:szCs w:val="20"/>
                <w:highlight w:val="none"/>
                <w:lang w:eastAsia="zh-CN"/>
              </w:rPr>
            </w:pPr>
          </w:p>
        </w:tc>
        <w:tc>
          <w:tcPr>
            <w:tcW w:w="243" w:type="pct"/>
            <w:gridSpan w:val="2"/>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trHeight w:val="2098" w:hRule="atLeast"/>
          <w:jc w:val="center"/>
        </w:trPr>
        <w:tc>
          <w:tcPr>
            <w:tcW w:w="459" w:type="pct"/>
            <w:vMerge w:val="continue"/>
            <w:tcBorders>
              <w:left w:val="single" w:color="auto" w:sz="8"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消防安全</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发现电气设备接头不牢或发生故障时，应及时保修，修复后才能使用；不能超负荷使用电气设备；各种电器设备在不用时或用完后切断电源；易燃物贮藏应远离热源；每天清洗净残油脂；煮锅或炸锅不能超容量或超温度使用；每天清洗干净炉罩炉灶，每周至少清洗一次抽油烟机滤网；下班关闭完能源开关；全体人员掌握处理意外事故的最初控制方法和报警方法；</w:t>
            </w:r>
          </w:p>
        </w:tc>
        <w:tc>
          <w:tcPr>
            <w:tcW w:w="27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tcBorders>
              <w:top w:val="nil"/>
              <w:left w:val="nil"/>
              <w:bottom w:val="single" w:color="auto" w:sz="4" w:space="0"/>
              <w:right w:val="single" w:color="auto" w:sz="8" w:space="0"/>
            </w:tcBorders>
            <w:shd w:val="clear" w:color="auto" w:fill="auto"/>
          </w:tcPr>
          <w:p>
            <w:pPr>
              <w:widowControl/>
              <w:spacing w:line="240" w:lineRule="exact"/>
              <w:rPr>
                <w:rFonts w:hint="eastAsia" w:ascii="宋体" w:hAnsi="宋体" w:eastAsia="宋体" w:cs="宋体"/>
                <w:kern w:val="0"/>
                <w:sz w:val="20"/>
                <w:szCs w:val="20"/>
                <w:highlight w:val="none"/>
                <w:lang w:eastAsia="zh-CN"/>
              </w:rPr>
            </w:pPr>
          </w:p>
        </w:tc>
        <w:tc>
          <w:tcPr>
            <w:tcW w:w="243" w:type="pct"/>
            <w:gridSpan w:val="2"/>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720" w:hRule="atLeast"/>
          <w:jc w:val="center"/>
        </w:trPr>
        <w:tc>
          <w:tcPr>
            <w:tcW w:w="459" w:type="pct"/>
            <w:vMerge w:val="continue"/>
            <w:tcBorders>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其他方面</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经常研究、创新变换菜单，负责每天的菜谱，采购计划，对采购物品的验收</w:t>
            </w:r>
            <w:r>
              <w:rPr>
                <w:rFonts w:hint="eastAsia" w:ascii="宋体" w:hAnsi="宋体" w:cs="宋体"/>
                <w:kern w:val="0"/>
                <w:sz w:val="20"/>
                <w:szCs w:val="20"/>
                <w:highlight w:val="none"/>
                <w:lang w:eastAsia="zh-CN"/>
              </w:rPr>
              <w:t>。</w:t>
            </w:r>
          </w:p>
        </w:tc>
        <w:tc>
          <w:tcPr>
            <w:tcW w:w="27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rPr>
              <w:t>2分</w:t>
            </w:r>
          </w:p>
        </w:tc>
        <w:tc>
          <w:tcPr>
            <w:tcW w:w="649" w:type="pct"/>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tcBorders>
              <w:top w:val="nil"/>
              <w:left w:val="nil"/>
              <w:bottom w:val="single" w:color="auto" w:sz="4" w:space="0"/>
              <w:right w:val="single" w:color="auto" w:sz="8" w:space="0"/>
            </w:tcBorders>
            <w:shd w:val="clear" w:color="auto" w:fill="auto"/>
          </w:tcPr>
          <w:p>
            <w:pPr>
              <w:widowControl/>
              <w:spacing w:line="240" w:lineRule="exact"/>
              <w:rPr>
                <w:rFonts w:hint="eastAsia" w:ascii="宋体" w:hAnsi="宋体" w:eastAsia="宋体" w:cs="宋体"/>
                <w:kern w:val="0"/>
                <w:sz w:val="20"/>
                <w:szCs w:val="20"/>
                <w:highlight w:val="none"/>
                <w:lang w:eastAsia="zh-CN"/>
              </w:rPr>
            </w:pPr>
          </w:p>
        </w:tc>
        <w:tc>
          <w:tcPr>
            <w:tcW w:w="223" w:type="pct"/>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食堂管理</w:t>
            </w:r>
            <w:r>
              <w:rPr>
                <w:rFonts w:hint="eastAsia" w:ascii="宋体" w:hAnsi="宋体" w:cs="宋体"/>
                <w:kern w:val="0"/>
                <w:sz w:val="20"/>
                <w:szCs w:val="20"/>
                <w:highlight w:val="none"/>
                <w:lang w:val="en-US" w:eastAsia="zh-CN"/>
              </w:rPr>
              <w:t>8</w:t>
            </w:r>
            <w:r>
              <w:rPr>
                <w:rFonts w:hint="eastAsia" w:ascii="宋体" w:hAnsi="宋体" w:cs="宋体"/>
                <w:kern w:val="0"/>
                <w:sz w:val="20"/>
                <w:szCs w:val="20"/>
                <w:highlight w:val="none"/>
              </w:rPr>
              <w:t>分</w:t>
            </w:r>
          </w:p>
        </w:tc>
        <w:tc>
          <w:tcPr>
            <w:tcW w:w="6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从业人员持有效的健康证上岗。</w:t>
            </w:r>
          </w:p>
        </w:tc>
        <w:tc>
          <w:tcPr>
            <w:tcW w:w="274"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8</w:t>
            </w:r>
            <w:r>
              <w:rPr>
                <w:rFonts w:hint="eastAsia" w:ascii="宋体" w:hAnsi="宋体" w:cs="Arial"/>
                <w:kern w:val="0"/>
                <w:sz w:val="20"/>
                <w:szCs w:val="20"/>
                <w:highlight w:val="none"/>
              </w:rPr>
              <w:t>分</w:t>
            </w:r>
          </w:p>
        </w:tc>
        <w:tc>
          <w:tcPr>
            <w:tcW w:w="64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nil"/>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restart"/>
            <w:tcBorders>
              <w:top w:val="nil"/>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907"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工作人员着装整洁，化淡妆，挂牌上岗，不佩带各种饰物，如项链、手链、耳环、戒指等，热情服务，态度和蔼，文明用语，无争吵现象。</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1191"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饭堂内水、暖、照明、冷气、通风、洗手设施齐全、功能正常完好；地面干净无积水、无污渍，卫生打扫彻底无死角；餐桌干净无油渍、无残留物，座位干净牢固。</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111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工作间内不得闲聊、大声喧哗、看书报、休息、吃东西、存放私人物品；没节约水电等能源，没随手关灯、关门。</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151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卫生管理档案制度：①有专人负责，专人保管；</w:t>
            </w:r>
            <w:r>
              <w:rPr>
                <w:rFonts w:ascii="宋体" w:hAnsi="宋体" w:cs="Arial"/>
                <w:kern w:val="0"/>
                <w:sz w:val="20"/>
                <w:szCs w:val="20"/>
                <w:highlight w:val="none"/>
              </w:rPr>
              <w:t xml:space="preserve"> </w:t>
            </w:r>
            <w:r>
              <w:rPr>
                <w:rFonts w:hint="eastAsia" w:ascii="宋体" w:hAnsi="宋体" w:cs="宋体"/>
                <w:kern w:val="0"/>
                <w:sz w:val="20"/>
                <w:szCs w:val="20"/>
                <w:highlight w:val="none"/>
              </w:rPr>
              <w:t>②档案应每年进行一次整理；③档案内容：卫生申请基础资料、卫生机构、各项制度、各种记录、个人健康、卫生知识培训、索证资料、餐具消毒自检记录、检验报告等。</w:t>
            </w:r>
            <w:r>
              <w:rPr>
                <w:rFonts w:ascii="宋体" w:hAnsi="宋体" w:cs="Arial"/>
                <w:kern w:val="0"/>
                <w:sz w:val="20"/>
                <w:szCs w:val="20"/>
                <w:highlight w:val="none"/>
              </w:rPr>
              <w:t xml:space="preserve">      </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624"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了解每天用餐，接待餐的预定情况并做好接待工作。</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624"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反映意见渠道畅通，有投诉意见箱，公布投诉电话，有记录，有改进，有回音。</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采纳合理化建议，对饭堂存在的问题及时整改。</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制度健全，岗位责任制公示上墙，有员工手册。</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严格遵守采购人的相关管理制度。</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0" w:hRule="atLeast"/>
          <w:jc w:val="center"/>
        </w:trPr>
        <w:tc>
          <w:tcPr>
            <w:tcW w:w="459" w:type="pct"/>
            <w:vMerge w:val="continue"/>
            <w:tcBorders>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kern w:val="0"/>
                <w:sz w:val="20"/>
                <w:szCs w:val="20"/>
                <w:highlight w:val="none"/>
              </w:rPr>
              <w:t>工作人员做好餐前准备、餐中服务及餐后的清洁工作，做到微笑，细心、热情，提高服务质量。</w:t>
            </w:r>
          </w:p>
        </w:tc>
        <w:tc>
          <w:tcPr>
            <w:tcW w:w="274"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649"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bottom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690" w:hRule="atLeast"/>
          <w:jc w:val="center"/>
        </w:trPr>
        <w:tc>
          <w:tcPr>
            <w:tcW w:w="459" w:type="pct"/>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车辆运维管理</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w:t>
            </w:r>
          </w:p>
        </w:tc>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安全方面</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color w:val="000000"/>
                <w:kern w:val="0"/>
                <w:sz w:val="20"/>
                <w:szCs w:val="20"/>
                <w:highlight w:val="none"/>
              </w:rPr>
              <w:t>严格执行《中华人民共和国道路交通安全法》；做好行车前的安全检查；确保不出现交通事故。</w:t>
            </w:r>
          </w:p>
        </w:tc>
        <w:tc>
          <w:tcPr>
            <w:tcW w:w="274"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Arial"/>
                <w:kern w:val="0"/>
                <w:sz w:val="20"/>
                <w:szCs w:val="20"/>
                <w:highlight w:val="none"/>
              </w:rPr>
            </w:pPr>
            <w:r>
              <w:rPr>
                <w:rFonts w:hint="eastAsia" w:ascii="宋体" w:hAnsi="宋体" w:cs="Arial"/>
                <w:kern w:val="0"/>
                <w:sz w:val="20"/>
                <w:szCs w:val="20"/>
                <w:highlight w:val="none"/>
                <w:lang w:val="en-US" w:eastAsia="zh-CN"/>
              </w:rPr>
              <w:t>2</w:t>
            </w:r>
            <w:r>
              <w:rPr>
                <w:rFonts w:hint="eastAsia" w:ascii="宋体" w:hAnsi="宋体" w:cs="Arial"/>
                <w:kern w:val="0"/>
                <w:sz w:val="20"/>
                <w:szCs w:val="20"/>
                <w:highlight w:val="none"/>
              </w:rPr>
              <w:t>分</w:t>
            </w:r>
          </w:p>
        </w:tc>
        <w:tc>
          <w:tcPr>
            <w:tcW w:w="64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安全方面及运维方面每发现一处不符合扣</w:t>
            </w:r>
            <w:r>
              <w:rPr>
                <w:rFonts w:hint="eastAsia" w:ascii="宋体" w:hAnsi="宋体" w:cs="Arial"/>
                <w:kern w:val="0"/>
                <w:sz w:val="20"/>
                <w:szCs w:val="20"/>
                <w:highlight w:val="none"/>
              </w:rPr>
              <w:t>2</w:t>
            </w:r>
            <w:r>
              <w:rPr>
                <w:rFonts w:hint="eastAsia" w:ascii="宋体" w:hAnsi="宋体" w:cs="宋体"/>
                <w:kern w:val="0"/>
                <w:sz w:val="20"/>
                <w:szCs w:val="20"/>
                <w:highlight w:val="none"/>
              </w:rPr>
              <w:t>分，保洁方面每发现一处不符合扣</w:t>
            </w:r>
            <w:r>
              <w:rPr>
                <w:rFonts w:hint="eastAsia" w:ascii="宋体" w:hAnsi="宋体" w:cs="宋体"/>
                <w:kern w:val="0"/>
                <w:sz w:val="20"/>
                <w:szCs w:val="20"/>
                <w:highlight w:val="none"/>
                <w:lang w:val="en-US" w:eastAsia="zh-CN"/>
              </w:rPr>
              <w:t>0.5</w:t>
            </w:r>
            <w:r>
              <w:rPr>
                <w:rFonts w:hint="eastAsia" w:ascii="宋体" w:hAnsi="宋体" w:cs="宋体"/>
                <w:kern w:val="0"/>
                <w:sz w:val="20"/>
                <w:szCs w:val="20"/>
                <w:highlight w:val="none"/>
              </w:rPr>
              <w:t>分</w:t>
            </w:r>
          </w:p>
        </w:tc>
        <w:tc>
          <w:tcPr>
            <w:tcW w:w="233" w:type="pct"/>
            <w:vMerge w:val="restart"/>
            <w:tcBorders>
              <w:top w:val="nil"/>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restart"/>
            <w:tcBorders>
              <w:top w:val="nil"/>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830" w:hRule="atLeast"/>
          <w:jc w:val="center"/>
        </w:trPr>
        <w:tc>
          <w:tcPr>
            <w:tcW w:w="459" w:type="pct"/>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运维方面</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ascii="宋体" w:hAnsi="宋体" w:cs="宋体"/>
                <w:kern w:val="0"/>
                <w:sz w:val="20"/>
                <w:szCs w:val="20"/>
                <w:highlight w:val="none"/>
              </w:rPr>
            </w:pPr>
            <w:r>
              <w:rPr>
                <w:rFonts w:hint="eastAsia" w:ascii="宋体" w:hAnsi="宋体" w:cs="宋体"/>
                <w:color w:val="000000"/>
                <w:kern w:val="0"/>
                <w:sz w:val="20"/>
                <w:szCs w:val="20"/>
                <w:highlight w:val="none"/>
              </w:rPr>
              <w:t>车辆及时加油，并及时做好车辆的维修、保养、保险、年审等的经办。</w:t>
            </w:r>
          </w:p>
        </w:tc>
        <w:tc>
          <w:tcPr>
            <w:tcW w:w="274"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Arial"/>
                <w:kern w:val="0"/>
                <w:sz w:val="20"/>
                <w:szCs w:val="20"/>
                <w:highlight w:val="none"/>
              </w:rPr>
            </w:pPr>
          </w:p>
        </w:tc>
        <w:tc>
          <w:tcPr>
            <w:tcW w:w="649" w:type="pct"/>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vMerge w:val="continue"/>
            <w:tcBorders>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保洁方面</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定期做好车辆保洁，确保车辆的卫生、干净。</w:t>
            </w:r>
          </w:p>
        </w:tc>
        <w:tc>
          <w:tcPr>
            <w:tcW w:w="274"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Arial"/>
                <w:kern w:val="0"/>
                <w:sz w:val="20"/>
                <w:szCs w:val="20"/>
                <w:highlight w:val="none"/>
              </w:rPr>
            </w:pPr>
          </w:p>
        </w:tc>
        <w:tc>
          <w:tcPr>
            <w:tcW w:w="649"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233" w:type="pct"/>
            <w:vMerge w:val="continue"/>
            <w:tcBorders>
              <w:left w:val="single" w:color="auto" w:sz="4" w:space="0"/>
              <w:bottom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223" w:type="pct"/>
            <w:vMerge w:val="continue"/>
            <w:tcBorders>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808" w:hRule="atLeast"/>
          <w:jc w:val="center"/>
        </w:trPr>
        <w:tc>
          <w:tcPr>
            <w:tcW w:w="459"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文书服务管理</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w:t>
            </w:r>
          </w:p>
        </w:tc>
        <w:tc>
          <w:tcPr>
            <w:tcW w:w="639" w:type="pct"/>
            <w:tcBorders>
              <w:top w:val="single" w:color="auto" w:sz="4" w:space="0"/>
              <w:left w:val="single" w:color="auto" w:sz="4" w:space="0"/>
              <w:bottom w:val="single" w:color="auto" w:sz="6"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工作内容</w:t>
            </w:r>
          </w:p>
        </w:tc>
        <w:tc>
          <w:tcPr>
            <w:tcW w:w="2501" w:type="pct"/>
            <w:gridSpan w:val="2"/>
            <w:tcBorders>
              <w:top w:val="single" w:color="auto" w:sz="4" w:space="0"/>
              <w:left w:val="nil"/>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按时完成工作任务，相关的</w:t>
            </w:r>
            <w:r>
              <w:rPr>
                <w:rFonts w:hint="eastAsia" w:ascii="宋体" w:hAnsi="宋体" w:cs="宋体"/>
                <w:color w:val="000000"/>
                <w:kern w:val="0"/>
                <w:sz w:val="20"/>
                <w:szCs w:val="20"/>
                <w:highlight w:val="none"/>
              </w:rPr>
              <w:t>资料编织、打印、整理、归档等不出现错漏。</w:t>
            </w:r>
          </w:p>
        </w:tc>
        <w:tc>
          <w:tcPr>
            <w:tcW w:w="27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Arial"/>
                <w:kern w:val="0"/>
                <w:sz w:val="20"/>
                <w:szCs w:val="20"/>
                <w:highlight w:val="none"/>
              </w:rPr>
            </w:pPr>
            <w:r>
              <w:rPr>
                <w:rFonts w:hint="eastAsia" w:ascii="宋体" w:hAnsi="宋体" w:cs="Arial"/>
                <w:kern w:val="0"/>
                <w:sz w:val="20"/>
                <w:szCs w:val="20"/>
                <w:highlight w:val="none"/>
                <w:lang w:val="en-US" w:eastAsia="zh-CN"/>
              </w:rPr>
              <w:t>2</w:t>
            </w:r>
            <w:r>
              <w:rPr>
                <w:rFonts w:hint="eastAsia" w:ascii="宋体" w:hAnsi="宋体" w:cs="Arial"/>
                <w:kern w:val="0"/>
                <w:sz w:val="20"/>
                <w:szCs w:val="20"/>
                <w:highlight w:val="none"/>
              </w:rPr>
              <w:t>分</w:t>
            </w:r>
          </w:p>
        </w:tc>
        <w:tc>
          <w:tcPr>
            <w:tcW w:w="64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出现涉密情况本项不得分，发现其他一处不符合扣</w:t>
            </w:r>
            <w:r>
              <w:rPr>
                <w:rFonts w:hint="eastAsia" w:ascii="宋体" w:hAnsi="宋体" w:cs="宋体"/>
                <w:kern w:val="0"/>
                <w:sz w:val="20"/>
                <w:szCs w:val="20"/>
                <w:highlight w:val="none"/>
                <w:lang w:val="en-US" w:eastAsia="zh-CN"/>
              </w:rPr>
              <w:t>0.5</w:t>
            </w:r>
            <w:r>
              <w:rPr>
                <w:rFonts w:hint="eastAsia" w:ascii="宋体" w:hAnsi="宋体" w:cs="宋体"/>
                <w:kern w:val="0"/>
                <w:sz w:val="20"/>
                <w:szCs w:val="20"/>
                <w:highlight w:val="none"/>
              </w:rPr>
              <w:t>分</w:t>
            </w:r>
          </w:p>
        </w:tc>
        <w:tc>
          <w:tcPr>
            <w:tcW w:w="233" w:type="pct"/>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hint="eastAsia" w:ascii="宋体" w:hAnsi="宋体" w:eastAsia="宋体" w:cs="宋体"/>
                <w:kern w:val="0"/>
                <w:sz w:val="20"/>
                <w:szCs w:val="20"/>
                <w:highlight w:val="none"/>
                <w:lang w:eastAsia="zh-CN"/>
              </w:rPr>
            </w:pPr>
          </w:p>
        </w:tc>
        <w:tc>
          <w:tcPr>
            <w:tcW w:w="223" w:type="pct"/>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highlight w:val="none"/>
              </w:rPr>
            </w:pPr>
          </w:p>
        </w:tc>
        <w:tc>
          <w:tcPr>
            <w:tcW w:w="639" w:type="pct"/>
            <w:tcBorders>
              <w:top w:val="single" w:color="auto" w:sz="6"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保密工作</w:t>
            </w:r>
          </w:p>
        </w:tc>
        <w:tc>
          <w:tcPr>
            <w:tcW w:w="25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highlight w:val="none"/>
              </w:rPr>
            </w:pPr>
            <w:r>
              <w:rPr>
                <w:rFonts w:hint="eastAsia" w:ascii="宋体" w:hAnsi="宋体" w:cs="宋体"/>
                <w:color w:val="000000"/>
                <w:kern w:val="0"/>
                <w:sz w:val="20"/>
                <w:szCs w:val="20"/>
                <w:highlight w:val="none"/>
              </w:rPr>
              <w:t>做好涉及工作的保密。</w:t>
            </w:r>
          </w:p>
        </w:tc>
        <w:tc>
          <w:tcPr>
            <w:tcW w:w="27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23" w:type="pct"/>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340" w:hRule="atLeast"/>
          <w:jc w:val="center"/>
        </w:trPr>
        <w:tc>
          <w:tcPr>
            <w:tcW w:w="45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sz w:val="20"/>
                <w:szCs w:val="20"/>
                <w:highlight w:val="none"/>
              </w:rPr>
            </w:pPr>
            <w:r>
              <w:rPr>
                <w:rFonts w:hint="eastAsia" w:ascii="宋体" w:hAnsi="宋体" w:cs="宋体"/>
                <w:kern w:val="0"/>
                <w:sz w:val="20"/>
                <w:szCs w:val="20"/>
                <w:highlight w:val="none"/>
              </w:rPr>
              <w:t>上次考核整改情况</w:t>
            </w:r>
            <w:r>
              <w:rPr>
                <w:rFonts w:hint="eastAsia" w:ascii="宋体" w:hAnsi="宋体" w:cs="宋体"/>
                <w:kern w:val="0"/>
                <w:sz w:val="20"/>
                <w:szCs w:val="20"/>
                <w:highlight w:val="none"/>
                <w:lang w:val="en-US" w:eastAsia="zh-CN"/>
              </w:rPr>
              <w:t>6</w:t>
            </w:r>
            <w:r>
              <w:rPr>
                <w:rFonts w:hint="eastAsia" w:ascii="宋体" w:hAnsi="宋体" w:cs="宋体"/>
                <w:kern w:val="0"/>
                <w:sz w:val="20"/>
                <w:szCs w:val="20"/>
                <w:highlight w:val="none"/>
              </w:rPr>
              <w:t>分</w:t>
            </w:r>
          </w:p>
        </w:tc>
        <w:tc>
          <w:tcPr>
            <w:tcW w:w="3140" w:type="pct"/>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宋体" w:hAnsi="宋体" w:cs="宋体"/>
                <w:sz w:val="20"/>
                <w:szCs w:val="20"/>
                <w:highlight w:val="none"/>
              </w:rPr>
            </w:pPr>
            <w:r>
              <w:rPr>
                <w:rFonts w:hint="eastAsia" w:ascii="宋体" w:hAnsi="宋体" w:cs="宋体"/>
                <w:kern w:val="0"/>
                <w:sz w:val="20"/>
                <w:szCs w:val="20"/>
                <w:highlight w:val="none"/>
              </w:rPr>
              <w:t>按要求做好上次考核不合格事项的整改工作。</w:t>
            </w:r>
          </w:p>
        </w:tc>
        <w:tc>
          <w:tcPr>
            <w:tcW w:w="27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Arial"/>
                <w:sz w:val="20"/>
                <w:szCs w:val="20"/>
                <w:highlight w:val="none"/>
              </w:rPr>
            </w:pPr>
            <w:r>
              <w:rPr>
                <w:rFonts w:hint="eastAsia" w:ascii="宋体" w:hAnsi="宋体" w:cs="Arial"/>
                <w:kern w:val="0"/>
                <w:sz w:val="20"/>
                <w:szCs w:val="20"/>
                <w:highlight w:val="none"/>
                <w:lang w:val="en-US" w:eastAsia="zh-CN"/>
              </w:rPr>
              <w:t>6</w:t>
            </w:r>
            <w:r>
              <w:rPr>
                <w:rFonts w:hint="eastAsia" w:ascii="宋体" w:hAnsi="宋体" w:cs="Arial"/>
                <w:kern w:val="0"/>
                <w:sz w:val="20"/>
                <w:szCs w:val="20"/>
                <w:highlight w:val="none"/>
              </w:rPr>
              <w:t>分</w:t>
            </w:r>
          </w:p>
        </w:tc>
        <w:tc>
          <w:tcPr>
            <w:tcW w:w="64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宋体" w:hAnsi="宋体" w:cs="宋体"/>
                <w:sz w:val="20"/>
                <w:szCs w:val="20"/>
                <w:highlight w:val="none"/>
              </w:rPr>
            </w:pPr>
            <w:r>
              <w:rPr>
                <w:rFonts w:hint="eastAsia" w:ascii="宋体" w:hAnsi="宋体" w:cs="宋体"/>
                <w:kern w:val="0"/>
                <w:sz w:val="20"/>
                <w:szCs w:val="20"/>
                <w:highlight w:val="none"/>
              </w:rPr>
              <w:t>每发现一项整改不合格扣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233" w:type="pct"/>
            <w:vMerge w:val="restart"/>
            <w:tcBorders>
              <w:top w:val="single" w:color="auto" w:sz="8" w:space="0"/>
              <w:left w:val="single" w:color="auto" w:sz="8" w:space="0"/>
              <w:bottom w:val="single" w:color="auto" w:sz="8" w:space="0"/>
              <w:right w:val="single" w:color="auto" w:sz="8" w:space="0"/>
            </w:tcBorders>
            <w:shd w:val="clear" w:color="auto" w:fill="auto"/>
          </w:tcPr>
          <w:p>
            <w:pPr>
              <w:widowControl/>
              <w:spacing w:line="240" w:lineRule="exact"/>
              <w:rPr>
                <w:rFonts w:hint="eastAsia" w:ascii="宋体" w:hAnsi="宋体" w:eastAsia="宋体" w:cs="宋体"/>
                <w:kern w:val="0"/>
                <w:sz w:val="20"/>
                <w:szCs w:val="20"/>
                <w:highlight w:val="none"/>
                <w:lang w:eastAsia="zh-CN"/>
              </w:rPr>
            </w:pPr>
          </w:p>
        </w:tc>
        <w:tc>
          <w:tcPr>
            <w:tcW w:w="223" w:type="pct"/>
            <w:vMerge w:val="restart"/>
            <w:tcBorders>
              <w:top w:val="single" w:color="auto" w:sz="8" w:space="0"/>
              <w:left w:val="single" w:color="auto" w:sz="8" w:space="0"/>
              <w:bottom w:val="single" w:color="auto" w:sz="8"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3140" w:type="pct"/>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74"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23"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3140" w:type="pct"/>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74"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23"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240" w:hRule="atLeast"/>
          <w:jc w:val="center"/>
        </w:trPr>
        <w:tc>
          <w:tcPr>
            <w:tcW w:w="45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sz w:val="20"/>
                <w:szCs w:val="20"/>
                <w:highlight w:val="none"/>
              </w:rPr>
            </w:pPr>
          </w:p>
        </w:tc>
        <w:tc>
          <w:tcPr>
            <w:tcW w:w="3140" w:type="pct"/>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74"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Arial"/>
                <w:kern w:val="0"/>
                <w:sz w:val="20"/>
                <w:szCs w:val="20"/>
                <w:highlight w:val="none"/>
              </w:rPr>
            </w:pPr>
          </w:p>
        </w:tc>
        <w:tc>
          <w:tcPr>
            <w:tcW w:w="64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33"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23"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19" w:type="pct"/>
          <w:trHeight w:val="454" w:hRule="atLeast"/>
          <w:jc w:val="center"/>
        </w:trPr>
        <w:tc>
          <w:tcPr>
            <w:tcW w:w="459" w:type="pc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合计</w:t>
            </w:r>
          </w:p>
        </w:tc>
        <w:tc>
          <w:tcPr>
            <w:tcW w:w="4064" w:type="pct"/>
            <w:gridSpan w:val="5"/>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w:t>
            </w:r>
          </w:p>
        </w:tc>
        <w:tc>
          <w:tcPr>
            <w:tcW w:w="233" w:type="pct"/>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223" w:type="pct"/>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1693" w:hRule="atLeast"/>
          <w:jc w:val="center"/>
        </w:trPr>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采购方签章</w:t>
            </w:r>
          </w:p>
        </w:tc>
        <w:tc>
          <w:tcPr>
            <w:tcW w:w="1829" w:type="pct"/>
            <w:gridSpan w:val="2"/>
            <w:tcBorders>
              <w:top w:val="single" w:color="auto" w:sz="8" w:space="0"/>
              <w:left w:val="single" w:color="auto" w:sz="8" w:space="0"/>
              <w:bottom w:val="single" w:color="auto" w:sz="8" w:space="0"/>
              <w:right w:val="single" w:color="auto" w:sz="8" w:space="0"/>
            </w:tcBorders>
            <w:shd w:val="clear" w:color="auto" w:fill="auto"/>
            <w:vAlign w:val="bottom"/>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代表人：</w:t>
            </w:r>
          </w:p>
          <w:p>
            <w:pPr>
              <w:widowControl/>
              <w:spacing w:line="240" w:lineRule="exact"/>
              <w:jc w:val="left"/>
              <w:rPr>
                <w:rFonts w:hint="eastAsia" w:ascii="宋体" w:hAnsi="宋体" w:cs="宋体"/>
                <w:kern w:val="0"/>
                <w:sz w:val="20"/>
                <w:szCs w:val="20"/>
                <w:highlight w:val="none"/>
              </w:rPr>
            </w:pPr>
          </w:p>
          <w:p>
            <w:pPr>
              <w:widowControl/>
              <w:spacing w:line="240" w:lineRule="exact"/>
              <w:jc w:val="left"/>
              <w:rPr>
                <w:rFonts w:hint="eastAsia" w:ascii="宋体" w:hAnsi="宋体" w:cs="宋体"/>
                <w:kern w:val="0"/>
                <w:sz w:val="20"/>
                <w:szCs w:val="20"/>
                <w:highlight w:val="none"/>
              </w:rPr>
            </w:pPr>
          </w:p>
          <w:p>
            <w:pPr>
              <w:widowControl/>
              <w:spacing w:line="240" w:lineRule="exact"/>
              <w:jc w:val="right"/>
              <w:rPr>
                <w:rFonts w:ascii="宋体" w:hAnsi="宋体" w:cs="宋体"/>
                <w:kern w:val="0"/>
                <w:sz w:val="20"/>
                <w:szCs w:val="20"/>
                <w:highlight w:val="none"/>
              </w:rPr>
            </w:pP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年</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月</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日</w:t>
            </w:r>
          </w:p>
        </w:tc>
        <w:tc>
          <w:tcPr>
            <w:tcW w:w="131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承包方签章</w:t>
            </w:r>
          </w:p>
        </w:tc>
        <w:tc>
          <w:tcPr>
            <w:tcW w:w="1400" w:type="pct"/>
            <w:gridSpan w:val="5"/>
            <w:tcBorders>
              <w:top w:val="single" w:color="auto" w:sz="8" w:space="0"/>
              <w:left w:val="single" w:color="auto" w:sz="8" w:space="0"/>
              <w:bottom w:val="single" w:color="auto" w:sz="8" w:space="0"/>
              <w:right w:val="single" w:color="auto" w:sz="8" w:space="0"/>
            </w:tcBorders>
            <w:shd w:val="clear" w:color="auto" w:fill="auto"/>
            <w:vAlign w:val="bottom"/>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代表人：</w:t>
            </w:r>
          </w:p>
          <w:p>
            <w:pPr>
              <w:widowControl/>
              <w:spacing w:line="240" w:lineRule="exact"/>
              <w:jc w:val="left"/>
              <w:rPr>
                <w:rFonts w:hint="eastAsia" w:ascii="宋体" w:hAnsi="宋体" w:cs="宋体"/>
                <w:kern w:val="0"/>
                <w:sz w:val="20"/>
                <w:szCs w:val="20"/>
                <w:highlight w:val="none"/>
              </w:rPr>
            </w:pPr>
          </w:p>
          <w:p>
            <w:pPr>
              <w:widowControl/>
              <w:spacing w:line="240" w:lineRule="exact"/>
              <w:jc w:val="left"/>
              <w:rPr>
                <w:rFonts w:hint="eastAsia" w:ascii="宋体" w:hAnsi="宋体" w:cs="宋体"/>
                <w:kern w:val="0"/>
                <w:sz w:val="20"/>
                <w:szCs w:val="20"/>
                <w:highlight w:val="none"/>
              </w:rPr>
            </w:pPr>
          </w:p>
          <w:p>
            <w:pPr>
              <w:widowControl/>
              <w:spacing w:line="240" w:lineRule="exact"/>
              <w:jc w:val="right"/>
              <w:rPr>
                <w:rFonts w:ascii="宋体" w:hAnsi="宋体" w:cs="宋体"/>
                <w:kern w:val="0"/>
                <w:sz w:val="20"/>
                <w:szCs w:val="20"/>
                <w:highlight w:val="none"/>
              </w:rPr>
            </w:pP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年</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月</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日</w:t>
            </w:r>
          </w:p>
        </w:tc>
      </w:tr>
    </w:tbl>
    <w:p>
      <w:pPr>
        <w:spacing w:line="360" w:lineRule="auto"/>
        <w:jc w:val="both"/>
        <w:rPr>
          <w:rFonts w:hint="eastAsia" w:ascii="宋体" w:hAnsi="宋体" w:cs="宋体"/>
          <w:b/>
          <w:bCs/>
          <w:sz w:val="36"/>
          <w:szCs w:val="36"/>
          <w:highlight w:val="none"/>
          <w:lang w:val="zh-CN"/>
        </w:rPr>
      </w:pPr>
    </w:p>
    <w:p>
      <w:pPr>
        <w:pStyle w:val="39"/>
        <w:ind w:firstLine="480"/>
        <w:rPr>
          <w:rFonts w:cs="宋体"/>
          <w:sz w:val="24"/>
          <w:highlight w:val="none"/>
          <w:lang w:bidi="ar"/>
        </w:rPr>
        <w:sectPr>
          <w:pgSz w:w="11907" w:h="16840"/>
          <w:pgMar w:top="1440" w:right="1800" w:bottom="1440" w:left="1800" w:header="794" w:footer="794" w:gutter="0"/>
          <w:pgNumType w:fmt="decimal"/>
          <w:cols w:space="720" w:num="1"/>
          <w:docGrid w:linePitch="285" w:charSpace="0"/>
        </w:sectPr>
      </w:pPr>
    </w:p>
    <w:p>
      <w:pPr>
        <w:pStyle w:val="26"/>
        <w:tabs>
          <w:tab w:val="right" w:leader="dot" w:pos="9628"/>
        </w:tabs>
        <w:spacing w:before="0" w:after="0" w:line="360" w:lineRule="auto"/>
        <w:rPr>
          <w:rFonts w:ascii="宋体" w:hAnsi="宋体" w:cs="宋体"/>
          <w:highlight w:val="none"/>
        </w:rPr>
      </w:pPr>
    </w:p>
    <w:p>
      <w:pPr>
        <w:spacing w:line="360" w:lineRule="auto"/>
        <w:rPr>
          <w:rFonts w:ascii="宋体" w:hAnsi="宋体" w:cs="宋体"/>
          <w:sz w:val="28"/>
          <w:highlight w:val="none"/>
        </w:rPr>
      </w:pPr>
    </w:p>
    <w:p>
      <w:pPr>
        <w:pStyle w:val="26"/>
        <w:tabs>
          <w:tab w:val="right" w:leader="dot" w:pos="9628"/>
        </w:tabs>
        <w:spacing w:before="0" w:after="0" w:line="360" w:lineRule="auto"/>
        <w:rPr>
          <w:rFonts w:ascii="宋体" w:hAnsi="宋体" w:cs="宋体"/>
          <w:highlight w:val="none"/>
        </w:rPr>
      </w:pPr>
    </w:p>
    <w:p>
      <w:pPr>
        <w:pStyle w:val="2"/>
        <w:keepLines w:val="0"/>
        <w:spacing w:before="0" w:after="0" w:line="360" w:lineRule="auto"/>
        <w:ind w:right="5"/>
        <w:jc w:val="center"/>
        <w:rPr>
          <w:rFonts w:hint="eastAsia" w:ascii="宋体" w:hAnsi="宋体" w:cs="宋体"/>
          <w:kern w:val="2"/>
          <w:highlight w:val="none"/>
        </w:rPr>
      </w:pPr>
      <w:bookmarkStart w:id="42" w:name="_Toc14450813"/>
      <w:bookmarkStart w:id="43" w:name="_Toc59967405"/>
      <w:bookmarkStart w:id="44" w:name="_Toc28489462"/>
      <w:bookmarkStart w:id="45" w:name="_Toc15936"/>
      <w:r>
        <w:rPr>
          <w:rFonts w:hint="eastAsia" w:ascii="宋体" w:hAnsi="宋体" w:cs="宋体"/>
          <w:kern w:val="2"/>
          <w:highlight w:val="none"/>
        </w:rPr>
        <w:t>第三</w:t>
      </w:r>
      <w:bookmarkStart w:id="46" w:name="_Toc10525517"/>
      <w:r>
        <w:rPr>
          <w:rFonts w:hint="eastAsia" w:ascii="宋体" w:hAnsi="宋体" w:cs="宋体"/>
          <w:kern w:val="2"/>
          <w:highlight w:val="none"/>
        </w:rPr>
        <w:t xml:space="preserve">部分  </w:t>
      </w:r>
      <w:bookmarkEnd w:id="42"/>
      <w:bookmarkEnd w:id="43"/>
      <w:bookmarkEnd w:id="44"/>
      <w:bookmarkEnd w:id="46"/>
      <w:r>
        <w:rPr>
          <w:rFonts w:hint="eastAsia" w:ascii="宋体" w:hAnsi="宋体" w:cs="宋体"/>
          <w:kern w:val="2"/>
          <w:highlight w:val="none"/>
        </w:rPr>
        <w:t>投标人须知</w:t>
      </w:r>
      <w:bookmarkEnd w:id="45"/>
    </w:p>
    <w:p>
      <w:pPr>
        <w:spacing w:line="360" w:lineRule="auto"/>
        <w:jc w:val="center"/>
        <w:rPr>
          <w:rFonts w:ascii="宋体" w:hAnsi="宋体" w:cs="宋体"/>
          <w:highlight w:val="none"/>
        </w:rPr>
      </w:pPr>
      <w:r>
        <w:rPr>
          <w:rFonts w:hint="eastAsia" w:ascii="宋体" w:hAnsi="宋体" w:cs="宋体"/>
          <w:highlight w:val="none"/>
        </w:rPr>
        <w:br w:type="page"/>
      </w:r>
    </w:p>
    <w:p>
      <w:pPr>
        <w:spacing w:line="360" w:lineRule="auto"/>
        <w:jc w:val="center"/>
        <w:rPr>
          <w:rFonts w:ascii="宋体" w:hAnsi="宋体" w:cs="宋体"/>
          <w:b/>
          <w:kern w:val="28"/>
          <w:sz w:val="32"/>
          <w:highlight w:val="none"/>
        </w:rPr>
      </w:pPr>
      <w:r>
        <w:rPr>
          <w:rFonts w:hint="eastAsia" w:ascii="宋体" w:hAnsi="宋体" w:cs="宋体"/>
          <w:b/>
          <w:kern w:val="28"/>
          <w:sz w:val="32"/>
          <w:highlight w:val="none"/>
        </w:rPr>
        <w:t>第三部分 投标人须知</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一、说  明</w:t>
      </w:r>
    </w:p>
    <w:p>
      <w:pPr>
        <w:spacing w:line="360" w:lineRule="auto"/>
        <w:ind w:firstLine="482" w:firstLineChars="200"/>
        <w:rPr>
          <w:rFonts w:ascii="宋体" w:hAnsi="宋体" w:cs="宋体"/>
          <w:b/>
          <w:bCs/>
          <w:highlight w:val="none"/>
        </w:rPr>
      </w:pPr>
      <w:r>
        <w:rPr>
          <w:rFonts w:hint="eastAsia" w:ascii="宋体" w:hAnsi="宋体" w:cs="宋体"/>
          <w:b/>
          <w:bCs/>
          <w:highlight w:val="none"/>
        </w:rPr>
        <w:t>1．适用范围</w:t>
      </w:r>
    </w:p>
    <w:p>
      <w:pPr>
        <w:spacing w:line="360" w:lineRule="auto"/>
        <w:ind w:firstLine="480" w:firstLineChars="200"/>
        <w:rPr>
          <w:rFonts w:ascii="宋体" w:hAnsi="宋体" w:cs="宋体"/>
          <w:highlight w:val="none"/>
        </w:rPr>
      </w:pPr>
      <w:r>
        <w:rPr>
          <w:rFonts w:hint="eastAsia" w:ascii="宋体" w:hAnsi="宋体" w:cs="宋体"/>
          <w:highlight w:val="none"/>
        </w:rPr>
        <w:t>1.1 本招标文件适用于本投标邀请中所述项目的采购。</w:t>
      </w:r>
    </w:p>
    <w:p>
      <w:pPr>
        <w:spacing w:line="360" w:lineRule="auto"/>
        <w:ind w:firstLine="482" w:firstLineChars="200"/>
        <w:rPr>
          <w:rFonts w:ascii="宋体" w:hAnsi="宋体" w:cs="宋体"/>
          <w:b/>
          <w:bCs/>
          <w:highlight w:val="none"/>
        </w:rPr>
      </w:pPr>
      <w:r>
        <w:rPr>
          <w:rFonts w:hint="eastAsia" w:ascii="宋体" w:hAnsi="宋体" w:cs="宋体"/>
          <w:b/>
          <w:bCs/>
          <w:highlight w:val="none"/>
        </w:rPr>
        <w:t>2．定义</w:t>
      </w:r>
    </w:p>
    <w:p>
      <w:pPr>
        <w:spacing w:line="360" w:lineRule="auto"/>
        <w:ind w:left="960" w:leftChars="200" w:hanging="480" w:hangingChars="200"/>
        <w:rPr>
          <w:rFonts w:ascii="宋体" w:hAnsi="宋体" w:cs="宋体"/>
          <w:highlight w:val="none"/>
        </w:rPr>
      </w:pPr>
      <w:r>
        <w:rPr>
          <w:rFonts w:hint="eastAsia" w:ascii="宋体" w:hAnsi="宋体" w:cs="宋体"/>
          <w:highlight w:val="none"/>
        </w:rPr>
        <w:t>2.1 “采购人”是指：</w:t>
      </w:r>
      <w:r>
        <w:rPr>
          <w:rFonts w:hint="eastAsia" w:ascii="宋体" w:hAnsi="宋体" w:cs="宋体"/>
          <w:highlight w:val="none"/>
          <w:lang w:eastAsia="zh-CN"/>
        </w:rPr>
        <w:t>国家税务总局广东潮州经济开发区税务局</w:t>
      </w:r>
      <w:r>
        <w:rPr>
          <w:rFonts w:hint="eastAsia" w:ascii="宋体" w:hAnsi="宋体" w:cs="宋体"/>
          <w:highlight w:val="none"/>
        </w:rPr>
        <w:t>。</w:t>
      </w:r>
    </w:p>
    <w:p>
      <w:pPr>
        <w:spacing w:line="360" w:lineRule="auto"/>
        <w:ind w:left="960" w:leftChars="200" w:hanging="480" w:hangingChars="200"/>
        <w:rPr>
          <w:rFonts w:ascii="宋体" w:hAnsi="宋体" w:cs="宋体"/>
          <w:highlight w:val="none"/>
        </w:rPr>
      </w:pPr>
      <w:r>
        <w:rPr>
          <w:rFonts w:hint="eastAsia" w:ascii="宋体" w:hAnsi="宋体" w:cs="宋体"/>
          <w:highlight w:val="none"/>
        </w:rPr>
        <w:t>2.2 “采购代理机构”是指：公诚管理咨询有限公司。</w:t>
      </w:r>
    </w:p>
    <w:p>
      <w:pPr>
        <w:spacing w:line="360" w:lineRule="auto"/>
        <w:ind w:left="960" w:leftChars="200" w:hanging="480" w:hangingChars="200"/>
        <w:rPr>
          <w:rFonts w:ascii="宋体" w:hAnsi="宋体" w:cs="宋体"/>
          <w:highlight w:val="none"/>
        </w:rPr>
      </w:pPr>
      <w:r>
        <w:rPr>
          <w:rFonts w:hint="eastAsia" w:ascii="宋体" w:hAnsi="宋体" w:cs="宋体"/>
          <w:highlight w:val="none"/>
        </w:rPr>
        <w:t>2.3 “投标人”是指：各投标服务供应商。</w:t>
      </w:r>
    </w:p>
    <w:p>
      <w:pPr>
        <w:spacing w:line="360" w:lineRule="auto"/>
        <w:ind w:left="960" w:leftChars="200" w:hanging="480" w:hangingChars="200"/>
        <w:rPr>
          <w:rFonts w:ascii="宋体" w:hAnsi="宋体" w:cs="宋体"/>
          <w:highlight w:val="none"/>
        </w:rPr>
      </w:pPr>
      <w:r>
        <w:rPr>
          <w:rFonts w:hint="eastAsia" w:ascii="宋体" w:hAnsi="宋体" w:cs="宋体"/>
          <w:highlight w:val="none"/>
        </w:rPr>
        <w:t>2.4 “中标人”是指经法定程序确定并授予合同的投标人。</w:t>
      </w:r>
    </w:p>
    <w:p>
      <w:pPr>
        <w:spacing w:line="360" w:lineRule="auto"/>
        <w:ind w:left="960" w:leftChars="200" w:hanging="480" w:hangingChars="200"/>
        <w:rPr>
          <w:rFonts w:ascii="宋体" w:hAnsi="宋体" w:cs="宋体"/>
          <w:highlight w:val="none"/>
        </w:rPr>
      </w:pPr>
      <w:r>
        <w:rPr>
          <w:rFonts w:hint="eastAsia" w:ascii="宋体" w:hAnsi="宋体" w:cs="宋体"/>
          <w:highlight w:val="none"/>
        </w:rPr>
        <w:t>2.5 “采购监管部门”是指负责采购人本级预算项目的财政部门。</w:t>
      </w:r>
    </w:p>
    <w:p>
      <w:pPr>
        <w:spacing w:line="360" w:lineRule="auto"/>
        <w:ind w:left="960" w:leftChars="200" w:hanging="480" w:hangingChars="200"/>
        <w:rPr>
          <w:rFonts w:ascii="宋体" w:hAnsi="宋体" w:cs="宋体"/>
          <w:highlight w:val="none"/>
        </w:rPr>
      </w:pPr>
      <w:r>
        <w:rPr>
          <w:rFonts w:hint="eastAsia" w:ascii="宋体" w:hAnsi="宋体" w:cs="宋体"/>
          <w:highlight w:val="none"/>
        </w:rPr>
        <w:t>2.6 “货物”是指投标人制造或组织符合招标文件要求的货物等。招标文件中没有提及招标货物来源地的，根据《政府采购法》的相关规定均应是本国货物，优先采购自主创新、节能、环保产品。投标的货物必须是其合法生产的符合国家有关标准要求的货物，并满足政府招标文件规定的规格、参数、质量、价格、有效期、售后服务等要求。</w:t>
      </w:r>
    </w:p>
    <w:p>
      <w:pPr>
        <w:spacing w:line="360" w:lineRule="auto"/>
        <w:ind w:left="960" w:leftChars="200" w:hanging="480" w:hangingChars="200"/>
        <w:rPr>
          <w:rFonts w:ascii="宋体" w:hAnsi="宋体" w:cs="宋体"/>
          <w:highlight w:val="none"/>
        </w:rPr>
      </w:pPr>
      <w:r>
        <w:rPr>
          <w:rFonts w:hint="eastAsia" w:ascii="宋体" w:hAnsi="宋体" w:cs="宋体"/>
          <w:highlight w:val="none"/>
        </w:rPr>
        <w:t>2.7 “服务”是指除货物和工程以外的其他采购对象,其中包括：投标人须承担的运输、安装、技术支持、培训以及招标文件规定的其它服务。</w:t>
      </w:r>
    </w:p>
    <w:p>
      <w:pPr>
        <w:spacing w:line="360" w:lineRule="auto"/>
        <w:ind w:firstLine="482" w:firstLineChars="200"/>
        <w:rPr>
          <w:rFonts w:ascii="宋体" w:hAnsi="宋体" w:cs="宋体"/>
          <w:b/>
          <w:bCs/>
          <w:highlight w:val="none"/>
        </w:rPr>
      </w:pPr>
      <w:r>
        <w:rPr>
          <w:rFonts w:hint="eastAsia" w:ascii="宋体" w:hAnsi="宋体" w:cs="宋体"/>
          <w:b/>
          <w:bCs/>
          <w:highlight w:val="none"/>
        </w:rPr>
        <w:t>3．合格的投标人</w:t>
      </w:r>
    </w:p>
    <w:p>
      <w:pPr>
        <w:spacing w:line="360" w:lineRule="auto"/>
        <w:ind w:left="960" w:leftChars="200" w:hanging="480" w:hangingChars="200"/>
        <w:rPr>
          <w:rFonts w:ascii="宋体" w:hAnsi="宋体" w:cs="宋体"/>
          <w:highlight w:val="none"/>
        </w:rPr>
      </w:pPr>
      <w:r>
        <w:rPr>
          <w:rFonts w:hint="eastAsia" w:ascii="宋体" w:hAnsi="宋体" w:cs="宋体"/>
          <w:highlight w:val="none"/>
        </w:rPr>
        <w:t>3.1 符合《政府采购法》第二十二条规定的投标人。</w:t>
      </w:r>
    </w:p>
    <w:p>
      <w:pPr>
        <w:spacing w:line="360" w:lineRule="auto"/>
        <w:ind w:left="960" w:leftChars="200" w:hanging="480" w:hangingChars="200"/>
        <w:rPr>
          <w:rFonts w:ascii="宋体" w:hAnsi="宋体" w:cs="宋体"/>
          <w:highlight w:val="none"/>
        </w:rPr>
      </w:pPr>
      <w:r>
        <w:rPr>
          <w:rFonts w:hint="eastAsia" w:ascii="宋体" w:hAnsi="宋体" w:cs="宋体"/>
          <w:highlight w:val="none"/>
        </w:rPr>
        <w:t>3.2 符合《政府采购法实施条例》第十八条规定的投标人。</w:t>
      </w:r>
    </w:p>
    <w:p>
      <w:pPr>
        <w:spacing w:line="360" w:lineRule="auto"/>
        <w:ind w:left="960" w:leftChars="200" w:hanging="480" w:hangingChars="200"/>
        <w:rPr>
          <w:rFonts w:ascii="宋体" w:hAnsi="宋体" w:cs="宋体"/>
          <w:highlight w:val="none"/>
        </w:rPr>
      </w:pPr>
      <w:r>
        <w:rPr>
          <w:rFonts w:hint="eastAsia" w:ascii="宋体" w:hAnsi="宋体" w:cs="宋体"/>
          <w:highlight w:val="none"/>
        </w:rPr>
        <w:t>3.3 符合招标文件规定的资格要求。</w:t>
      </w:r>
    </w:p>
    <w:p>
      <w:pPr>
        <w:spacing w:line="360" w:lineRule="auto"/>
        <w:ind w:firstLine="482" w:firstLineChars="200"/>
        <w:rPr>
          <w:rFonts w:ascii="宋体" w:hAnsi="宋体" w:cs="宋体"/>
          <w:b/>
          <w:bCs/>
          <w:highlight w:val="none"/>
        </w:rPr>
      </w:pPr>
      <w:r>
        <w:rPr>
          <w:rFonts w:hint="eastAsia" w:ascii="宋体" w:hAnsi="宋体" w:cs="宋体"/>
          <w:b/>
          <w:bCs/>
          <w:highlight w:val="none"/>
        </w:rPr>
        <w:t>4．投标费用</w:t>
      </w:r>
    </w:p>
    <w:p>
      <w:pPr>
        <w:spacing w:line="360" w:lineRule="auto"/>
        <w:ind w:left="960" w:leftChars="200" w:hanging="480" w:hangingChars="200"/>
        <w:rPr>
          <w:rFonts w:ascii="宋体" w:hAnsi="宋体" w:cs="宋体"/>
          <w:highlight w:val="none"/>
        </w:rPr>
      </w:pPr>
      <w:r>
        <w:rPr>
          <w:rFonts w:hint="eastAsia" w:ascii="宋体" w:hAnsi="宋体" w:cs="宋体"/>
          <w:highlight w:val="none"/>
        </w:rPr>
        <w:t>4.1 投标人应承担所有与准备和参加投标有关的费用。不论投标的结果如何，采购代理机构和采购人均无义务和责任承担这些费用。</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二、招标文件</w:t>
      </w:r>
    </w:p>
    <w:p>
      <w:pPr>
        <w:spacing w:line="360" w:lineRule="auto"/>
        <w:ind w:firstLine="482" w:firstLineChars="200"/>
        <w:rPr>
          <w:rFonts w:ascii="宋体" w:hAnsi="宋体" w:cs="宋体"/>
          <w:b/>
          <w:bCs/>
          <w:highlight w:val="none"/>
        </w:rPr>
      </w:pPr>
      <w:r>
        <w:rPr>
          <w:rFonts w:hint="eastAsia" w:ascii="宋体" w:hAnsi="宋体" w:cs="宋体"/>
          <w:b/>
          <w:bCs/>
          <w:highlight w:val="none"/>
        </w:rPr>
        <w:t>5．招标文件的构成</w:t>
      </w:r>
    </w:p>
    <w:p>
      <w:pPr>
        <w:spacing w:line="360" w:lineRule="auto"/>
        <w:ind w:left="960" w:leftChars="200" w:hanging="480" w:hangingChars="200"/>
        <w:rPr>
          <w:rFonts w:ascii="宋体" w:hAnsi="宋体" w:cs="宋体"/>
          <w:highlight w:val="none"/>
        </w:rPr>
      </w:pPr>
      <w:r>
        <w:rPr>
          <w:rFonts w:hint="eastAsia" w:ascii="宋体" w:hAnsi="宋体" w:cs="宋体"/>
          <w:highlight w:val="none"/>
        </w:rPr>
        <w:t>5.1招标文件由下列文件以及在招标过程中发出的修正和补充文件组成：</w:t>
      </w:r>
    </w:p>
    <w:p>
      <w:pPr>
        <w:spacing w:line="360" w:lineRule="auto"/>
        <w:ind w:left="960" w:leftChars="200" w:hanging="480" w:hangingChars="200"/>
        <w:rPr>
          <w:rFonts w:ascii="宋体" w:hAnsi="宋体" w:cs="宋体"/>
          <w:highlight w:val="none"/>
        </w:rPr>
      </w:pPr>
      <w:r>
        <w:rPr>
          <w:rFonts w:hint="eastAsia" w:ascii="宋体" w:hAnsi="宋体" w:cs="宋体"/>
          <w:highlight w:val="none"/>
        </w:rPr>
        <w:t>（1）投标邀请；</w:t>
      </w:r>
    </w:p>
    <w:p>
      <w:pPr>
        <w:spacing w:line="360" w:lineRule="auto"/>
        <w:ind w:left="960" w:leftChars="200" w:hanging="480" w:hangingChars="200"/>
        <w:rPr>
          <w:rFonts w:ascii="宋体" w:hAnsi="宋体" w:cs="宋体"/>
          <w:highlight w:val="none"/>
        </w:rPr>
      </w:pPr>
      <w:r>
        <w:rPr>
          <w:rFonts w:hint="eastAsia" w:ascii="宋体" w:hAnsi="宋体" w:cs="宋体"/>
          <w:highlight w:val="none"/>
        </w:rPr>
        <w:t>（2）采购项目内容；</w:t>
      </w:r>
    </w:p>
    <w:p>
      <w:pPr>
        <w:spacing w:line="360" w:lineRule="auto"/>
        <w:ind w:left="960" w:leftChars="200" w:hanging="480" w:hangingChars="200"/>
        <w:rPr>
          <w:rFonts w:ascii="宋体" w:hAnsi="宋体" w:cs="宋体"/>
          <w:highlight w:val="none"/>
        </w:rPr>
      </w:pPr>
      <w:r>
        <w:rPr>
          <w:rFonts w:hint="eastAsia" w:ascii="宋体" w:hAnsi="宋体" w:cs="宋体"/>
          <w:highlight w:val="none"/>
        </w:rPr>
        <w:t>（3）投标人须知；</w:t>
      </w:r>
    </w:p>
    <w:p>
      <w:pPr>
        <w:spacing w:line="360" w:lineRule="auto"/>
        <w:ind w:left="960" w:leftChars="200" w:hanging="480" w:hangingChars="200"/>
        <w:rPr>
          <w:rFonts w:ascii="宋体" w:hAnsi="宋体" w:cs="宋体"/>
          <w:highlight w:val="none"/>
        </w:rPr>
      </w:pPr>
      <w:r>
        <w:rPr>
          <w:rFonts w:hint="eastAsia" w:ascii="宋体" w:hAnsi="宋体" w:cs="宋体"/>
          <w:highlight w:val="none"/>
        </w:rPr>
        <w:t>（4）合同书格式；</w:t>
      </w:r>
    </w:p>
    <w:p>
      <w:pPr>
        <w:spacing w:line="360" w:lineRule="auto"/>
        <w:ind w:left="960" w:leftChars="200" w:hanging="480" w:hangingChars="200"/>
        <w:rPr>
          <w:rFonts w:ascii="宋体" w:hAnsi="宋体" w:cs="宋体"/>
          <w:highlight w:val="none"/>
        </w:rPr>
      </w:pPr>
      <w:r>
        <w:rPr>
          <w:rFonts w:hint="eastAsia" w:ascii="宋体" w:hAnsi="宋体" w:cs="宋体"/>
          <w:highlight w:val="none"/>
        </w:rPr>
        <w:t>（5）投标文件格式；</w:t>
      </w:r>
    </w:p>
    <w:p>
      <w:pPr>
        <w:spacing w:line="360" w:lineRule="auto"/>
        <w:ind w:left="960" w:leftChars="200" w:hanging="480" w:hangingChars="200"/>
        <w:rPr>
          <w:rFonts w:ascii="宋体" w:hAnsi="宋体" w:cs="宋体"/>
          <w:highlight w:val="none"/>
        </w:rPr>
      </w:pPr>
      <w:r>
        <w:rPr>
          <w:rFonts w:hint="eastAsia" w:ascii="宋体" w:hAnsi="宋体" w:cs="宋体"/>
          <w:highlight w:val="none"/>
        </w:rPr>
        <w:t>（6）在招标过程中由采购代理机构发出的修正和补充文件等。</w:t>
      </w:r>
    </w:p>
    <w:p>
      <w:pPr>
        <w:spacing w:line="360" w:lineRule="auto"/>
        <w:ind w:left="960" w:leftChars="200" w:hanging="480" w:hangingChars="200"/>
        <w:rPr>
          <w:rFonts w:ascii="宋体" w:hAnsi="宋体" w:cs="宋体"/>
          <w:highlight w:val="none"/>
        </w:rPr>
      </w:pPr>
      <w:r>
        <w:rPr>
          <w:rFonts w:hint="eastAsia" w:ascii="宋体" w:hAnsi="宋体" w:cs="宋体"/>
          <w:highlight w:val="none"/>
        </w:rPr>
        <w:t>5.2 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spacing w:line="360" w:lineRule="auto"/>
        <w:ind w:firstLine="482" w:firstLineChars="200"/>
        <w:rPr>
          <w:rFonts w:ascii="宋体" w:hAnsi="宋体" w:cs="宋体"/>
          <w:b/>
          <w:bCs/>
          <w:highlight w:val="none"/>
        </w:rPr>
      </w:pPr>
      <w:r>
        <w:rPr>
          <w:rFonts w:hint="eastAsia" w:ascii="宋体" w:hAnsi="宋体" w:cs="宋体"/>
          <w:b/>
          <w:bCs/>
          <w:highlight w:val="none"/>
        </w:rPr>
        <w:t>6．招标文件的澄清</w:t>
      </w:r>
    </w:p>
    <w:p>
      <w:pPr>
        <w:spacing w:line="360" w:lineRule="auto"/>
        <w:ind w:left="960" w:leftChars="200" w:hanging="480" w:hangingChars="200"/>
        <w:rPr>
          <w:rFonts w:ascii="宋体" w:hAnsi="宋体" w:cs="宋体"/>
          <w:highlight w:val="none"/>
        </w:rPr>
      </w:pPr>
      <w:r>
        <w:rPr>
          <w:rFonts w:hint="eastAsia" w:ascii="宋体" w:hAnsi="宋体" w:cs="宋体"/>
          <w:highlight w:val="none"/>
        </w:rPr>
        <w:t>6.1 任何要求对招标文件进行澄清的投标人，均应以书面形式在投标截止时间十五日以前通知采购代理机构。采购代理机构将组织采购人对投标人所要求澄清的内容均以书面形式予以答复。必要时，采购代理机构将组织相关专家召开答疑会，并将会议内容以书面的形式发给每个购买招标文件的潜在投标人（答复中不包括问题的来源）。</w:t>
      </w:r>
    </w:p>
    <w:p>
      <w:pPr>
        <w:spacing w:line="360" w:lineRule="auto"/>
        <w:ind w:left="960" w:leftChars="200" w:hanging="480" w:hangingChars="200"/>
        <w:rPr>
          <w:rFonts w:ascii="宋体" w:hAnsi="宋体" w:cs="宋体"/>
          <w:highlight w:val="none"/>
        </w:rPr>
      </w:pPr>
      <w:r>
        <w:rPr>
          <w:rFonts w:hint="eastAsia" w:ascii="宋体" w:hAnsi="宋体" w:cs="宋体"/>
          <w:highlight w:val="none"/>
        </w:rPr>
        <w:t>6.2 投标人在规定的时间内未对招标文件澄清或提出疑问的，采购代理机构将视其为无异议。对招标文件中描述有歧义或前后不一致的地方，评标委员会有权进行评判，但对同一条款的评判应适用于每个投标人。</w:t>
      </w:r>
    </w:p>
    <w:p>
      <w:pPr>
        <w:spacing w:line="360" w:lineRule="auto"/>
        <w:ind w:firstLine="482" w:firstLineChars="200"/>
        <w:rPr>
          <w:rFonts w:ascii="宋体" w:hAnsi="宋体" w:cs="宋体"/>
          <w:b/>
          <w:bCs/>
          <w:highlight w:val="none"/>
        </w:rPr>
      </w:pPr>
      <w:r>
        <w:rPr>
          <w:rFonts w:hint="eastAsia" w:ascii="宋体" w:hAnsi="宋体" w:cs="宋体"/>
          <w:b/>
          <w:bCs/>
          <w:highlight w:val="none"/>
        </w:rPr>
        <w:t>7．招标文件的修改</w:t>
      </w:r>
    </w:p>
    <w:p>
      <w:pPr>
        <w:spacing w:line="360" w:lineRule="auto"/>
        <w:ind w:left="960" w:leftChars="200" w:hanging="480" w:hangingChars="200"/>
        <w:rPr>
          <w:rFonts w:ascii="宋体" w:hAnsi="宋体" w:cs="宋体"/>
          <w:highlight w:val="none"/>
        </w:rPr>
      </w:pPr>
      <w:r>
        <w:rPr>
          <w:rFonts w:hint="eastAsia" w:ascii="宋体" w:hAnsi="宋体" w:cs="宋体"/>
          <w:highlight w:val="none"/>
        </w:rPr>
        <w:t>7.l 在投标截止时间十五日以前，无论出于何种原因，采购代理机构可主动地或在解答投标人提出的疑问时对招标文件进行修改。</w:t>
      </w:r>
    </w:p>
    <w:p>
      <w:pPr>
        <w:spacing w:line="360" w:lineRule="auto"/>
        <w:ind w:left="960" w:leftChars="200" w:hanging="480" w:hangingChars="200"/>
        <w:rPr>
          <w:rFonts w:ascii="宋体" w:hAnsi="宋体" w:cs="宋体"/>
          <w:highlight w:val="none"/>
        </w:rPr>
      </w:pPr>
      <w:r>
        <w:rPr>
          <w:rFonts w:hint="eastAsia" w:ascii="宋体" w:hAnsi="宋体" w:cs="宋体"/>
          <w:highlight w:val="none"/>
        </w:rPr>
        <w:t>7.2 修改后的内容是招标文件的组成部分，将以书面形式通知所有购买招标文件的潜在投标人，并对潜在投标人具有约束力。潜在投标人在收到上述通知后，应立即以书面形式向采购代理机构确认。</w:t>
      </w:r>
    </w:p>
    <w:p>
      <w:pPr>
        <w:spacing w:line="360" w:lineRule="auto"/>
        <w:ind w:left="960" w:leftChars="200" w:hanging="480" w:hangingChars="200"/>
        <w:rPr>
          <w:rFonts w:ascii="宋体" w:hAnsi="宋体" w:cs="宋体"/>
          <w:highlight w:val="none"/>
        </w:rPr>
      </w:pPr>
      <w:r>
        <w:rPr>
          <w:rFonts w:hint="eastAsia" w:ascii="宋体" w:hAnsi="宋体" w:cs="宋体"/>
          <w:highlight w:val="none"/>
        </w:rPr>
        <w:t>7.3为使投标人准备投标时有充足时间对招标文件的修改部分进行研究，采购代理机构可适当推迟投标截止期，但应发布公告并书面通知所有购买招标文件的潜在投标人。</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三、投标文件的编制和数量</w:t>
      </w:r>
    </w:p>
    <w:p>
      <w:pPr>
        <w:spacing w:line="360" w:lineRule="auto"/>
        <w:ind w:firstLine="482" w:firstLineChars="200"/>
        <w:rPr>
          <w:rFonts w:ascii="宋体" w:hAnsi="宋体" w:cs="宋体"/>
          <w:b/>
          <w:bCs/>
          <w:highlight w:val="none"/>
        </w:rPr>
      </w:pPr>
      <w:r>
        <w:rPr>
          <w:rFonts w:hint="eastAsia" w:ascii="宋体" w:hAnsi="宋体" w:cs="宋体"/>
          <w:b/>
          <w:bCs/>
          <w:highlight w:val="none"/>
        </w:rPr>
        <w:t>8．投标的语言</w:t>
      </w:r>
    </w:p>
    <w:p>
      <w:pPr>
        <w:spacing w:line="360" w:lineRule="auto"/>
        <w:ind w:left="960" w:leftChars="200" w:hanging="480" w:hangingChars="200"/>
        <w:rPr>
          <w:rFonts w:ascii="宋体" w:hAnsi="宋体" w:cs="宋体"/>
          <w:highlight w:val="none"/>
        </w:rPr>
      </w:pPr>
      <w:r>
        <w:rPr>
          <w:rFonts w:hint="eastAsia" w:ascii="宋体" w:hAnsi="宋体" w:cs="宋体"/>
          <w:highlight w:val="none"/>
        </w:rPr>
        <w:t>8.1 投标人提交的投标文件以及投标人与采购代理机构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spacing w:line="360" w:lineRule="auto"/>
        <w:ind w:firstLine="482" w:firstLineChars="200"/>
        <w:rPr>
          <w:rFonts w:ascii="宋体" w:hAnsi="宋体" w:cs="宋体"/>
          <w:b/>
          <w:bCs/>
          <w:highlight w:val="none"/>
        </w:rPr>
      </w:pPr>
      <w:r>
        <w:rPr>
          <w:rFonts w:hint="eastAsia" w:ascii="宋体" w:hAnsi="宋体" w:cs="宋体"/>
          <w:b/>
          <w:bCs/>
          <w:highlight w:val="none"/>
        </w:rPr>
        <w:t>9．投标文件的构成应符合法律法规及招标文件的要求。</w:t>
      </w:r>
    </w:p>
    <w:p>
      <w:pPr>
        <w:spacing w:line="360" w:lineRule="auto"/>
        <w:ind w:firstLine="482" w:firstLineChars="200"/>
        <w:rPr>
          <w:rFonts w:ascii="宋体" w:hAnsi="宋体" w:cs="宋体"/>
          <w:b/>
          <w:bCs/>
          <w:highlight w:val="none"/>
        </w:rPr>
      </w:pPr>
      <w:r>
        <w:rPr>
          <w:rFonts w:hint="eastAsia" w:ascii="宋体" w:hAnsi="宋体" w:cs="宋体"/>
          <w:b/>
          <w:bCs/>
          <w:highlight w:val="none"/>
        </w:rPr>
        <w:t>10．投标文件编制</w:t>
      </w:r>
    </w:p>
    <w:p>
      <w:pPr>
        <w:spacing w:line="360" w:lineRule="auto"/>
        <w:ind w:left="960" w:leftChars="200" w:hanging="480" w:hangingChars="200"/>
        <w:rPr>
          <w:rFonts w:ascii="宋体" w:hAnsi="宋体" w:cs="宋体"/>
          <w:highlight w:val="none"/>
        </w:rPr>
      </w:pPr>
      <w:r>
        <w:rPr>
          <w:rFonts w:hint="eastAsia" w:ascii="宋体" w:hAnsi="宋体" w:cs="宋体"/>
          <w:highlight w:val="none"/>
        </w:rPr>
        <w:t>10.1 投标人应当对投标文件进行装订封册，对未经装订的投标文件可能发生的文件散落或缺损，由此产生的后果由投标人承担。</w:t>
      </w:r>
    </w:p>
    <w:p>
      <w:pPr>
        <w:spacing w:line="360" w:lineRule="auto"/>
        <w:ind w:left="960" w:leftChars="200" w:hanging="480" w:hangingChars="200"/>
        <w:rPr>
          <w:rFonts w:ascii="宋体" w:hAnsi="宋体" w:cs="宋体"/>
          <w:highlight w:val="none"/>
        </w:rPr>
      </w:pPr>
      <w:r>
        <w:rPr>
          <w:rFonts w:hint="eastAsia" w:ascii="宋体" w:hAnsi="宋体" w:cs="宋体"/>
          <w:highlight w:val="none"/>
        </w:rPr>
        <w:t>10.2 投标人应完整、真实、准确的填写招标文件中规定的所有内容。</w:t>
      </w:r>
    </w:p>
    <w:p>
      <w:pPr>
        <w:spacing w:line="360" w:lineRule="auto"/>
        <w:ind w:left="960" w:leftChars="200" w:hanging="480" w:hangingChars="200"/>
        <w:rPr>
          <w:rFonts w:ascii="宋体" w:hAnsi="宋体" w:cs="宋体"/>
          <w:highlight w:val="none"/>
        </w:rPr>
      </w:pPr>
      <w:r>
        <w:rPr>
          <w:rFonts w:hint="eastAsia" w:ascii="宋体" w:hAnsi="宋体" w:cs="宋体"/>
          <w:highlight w:val="none"/>
        </w:rPr>
        <w:t>10.3 投标人必须对投标文件所提供的全部资料的真实性承担法律责任，并无条件接受采购人及政府采购监督管理部门等对其中任何资料进行核实的要求。投标人必须对投标文件所提供的全部资料的真实性承担法律责任。</w:t>
      </w:r>
    </w:p>
    <w:p>
      <w:pPr>
        <w:spacing w:line="360" w:lineRule="auto"/>
        <w:ind w:left="960" w:leftChars="200" w:hanging="480" w:hangingChars="200"/>
        <w:rPr>
          <w:rFonts w:ascii="宋体" w:hAnsi="宋体" w:cs="宋体"/>
          <w:highlight w:val="none"/>
        </w:rPr>
      </w:pPr>
      <w:r>
        <w:rPr>
          <w:rFonts w:hint="eastAsia" w:ascii="宋体" w:hAnsi="宋体" w:cs="宋体"/>
          <w:highlight w:val="none"/>
        </w:rPr>
        <w:t>10.4 如果因为投标人投标文件填报的内容不详，或没有提供招标文件中所要求的全部资料及数据，由此造成的后果，其责任由投标人承担。</w:t>
      </w:r>
    </w:p>
    <w:p>
      <w:pPr>
        <w:spacing w:line="360" w:lineRule="auto"/>
        <w:ind w:left="996" w:leftChars="170" w:hanging="588" w:hangingChars="244"/>
        <w:rPr>
          <w:rFonts w:ascii="宋体" w:hAnsi="宋体" w:cs="宋体"/>
          <w:b/>
          <w:bCs/>
          <w:highlight w:val="none"/>
        </w:rPr>
      </w:pPr>
      <w:r>
        <w:rPr>
          <w:rFonts w:hint="eastAsia" w:ascii="宋体" w:hAnsi="宋体" w:cs="宋体"/>
          <w:b/>
          <w:bCs/>
          <w:highlight w:val="none"/>
        </w:rPr>
        <w:t>11．投标报价</w:t>
      </w:r>
    </w:p>
    <w:p>
      <w:pPr>
        <w:spacing w:line="360" w:lineRule="auto"/>
        <w:ind w:left="960" w:leftChars="200" w:hanging="480" w:hangingChars="200"/>
        <w:rPr>
          <w:rFonts w:ascii="宋体" w:hAnsi="宋体" w:cs="宋体"/>
          <w:highlight w:val="none"/>
        </w:rPr>
      </w:pPr>
      <w:r>
        <w:rPr>
          <w:rFonts w:hint="eastAsia" w:ascii="宋体" w:hAnsi="宋体" w:cs="宋体"/>
          <w:highlight w:val="none"/>
        </w:rPr>
        <w:t>11.1 投标人所提供的货物和服务均应以人民币报价，若同时以人民币及外币报价的，以人民币报价为准。</w:t>
      </w:r>
    </w:p>
    <w:p>
      <w:pPr>
        <w:spacing w:line="360" w:lineRule="auto"/>
        <w:ind w:left="960" w:leftChars="200" w:hanging="480" w:hangingChars="200"/>
        <w:rPr>
          <w:rFonts w:ascii="宋体" w:hAnsi="宋体" w:cs="宋体"/>
          <w:highlight w:val="none"/>
        </w:rPr>
      </w:pPr>
      <w:r>
        <w:rPr>
          <w:rFonts w:hint="eastAsia" w:ascii="宋体" w:hAnsi="宋体" w:cs="宋体"/>
          <w:highlight w:val="none"/>
        </w:rPr>
        <w:t>11.2 投标人应按照“第二部分 采购项目内容”规定的内容、责任范围以及合同条款进行报价。并按《开标一览表》和《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spacing w:line="360" w:lineRule="auto"/>
        <w:ind w:left="960" w:leftChars="200" w:hanging="480" w:hangingChars="200"/>
        <w:rPr>
          <w:rFonts w:ascii="宋体" w:hAnsi="宋体" w:cs="宋体"/>
          <w:highlight w:val="none"/>
        </w:rPr>
      </w:pPr>
      <w:r>
        <w:rPr>
          <w:rFonts w:hint="eastAsia" w:ascii="宋体" w:hAnsi="宋体" w:cs="宋体"/>
          <w:highlight w:val="none"/>
        </w:rPr>
        <w:t>11.3 《分项报价表》填写时应响应下列要求：</w:t>
      </w:r>
    </w:p>
    <w:p>
      <w:pPr>
        <w:spacing w:line="360" w:lineRule="auto"/>
        <w:ind w:left="960" w:leftChars="200" w:hanging="480" w:hangingChars="200"/>
        <w:rPr>
          <w:rFonts w:ascii="宋体" w:hAnsi="宋体" w:cs="宋体"/>
          <w:highlight w:val="none"/>
        </w:rPr>
      </w:pPr>
      <w:r>
        <w:rPr>
          <w:rFonts w:hint="eastAsia" w:ascii="宋体" w:hAnsi="宋体" w:cs="宋体"/>
          <w:highlight w:val="none"/>
        </w:rPr>
        <w:t>（1）对于报价免费的项目必须标明“免费”；</w:t>
      </w:r>
    </w:p>
    <w:p>
      <w:pPr>
        <w:spacing w:line="360" w:lineRule="auto"/>
        <w:ind w:left="960" w:leftChars="200" w:hanging="480" w:hangingChars="200"/>
        <w:rPr>
          <w:rFonts w:ascii="宋体" w:hAnsi="宋体" w:cs="宋体"/>
          <w:highlight w:val="none"/>
        </w:rPr>
      </w:pPr>
      <w:r>
        <w:rPr>
          <w:rFonts w:hint="eastAsia" w:ascii="宋体" w:hAnsi="宋体" w:cs="宋体"/>
          <w:highlight w:val="none"/>
        </w:rPr>
        <w:t>（2）所有根据合同或其它原因应由投标人支付的税款和其它应交纳的费用都要包括在投标人提交的投标价格中；</w:t>
      </w:r>
    </w:p>
    <w:p>
      <w:pPr>
        <w:spacing w:line="360" w:lineRule="auto"/>
        <w:ind w:left="960" w:leftChars="200" w:hanging="480" w:hangingChars="200"/>
        <w:rPr>
          <w:rFonts w:ascii="宋体" w:hAnsi="宋体" w:cs="宋体"/>
          <w:highlight w:val="none"/>
        </w:rPr>
      </w:pPr>
      <w:r>
        <w:rPr>
          <w:rFonts w:hint="eastAsia" w:ascii="宋体" w:hAnsi="宋体" w:cs="宋体"/>
          <w:highlight w:val="none"/>
        </w:rPr>
        <w:t>（3）应包含货物运至最终目的地的运输、保险和伴随货物服务的其他所有费用。</w:t>
      </w:r>
    </w:p>
    <w:p>
      <w:pPr>
        <w:spacing w:line="360" w:lineRule="auto"/>
        <w:ind w:firstLine="482" w:firstLineChars="200"/>
        <w:rPr>
          <w:rFonts w:ascii="宋体" w:hAnsi="宋体" w:cs="宋体"/>
          <w:b/>
          <w:bCs/>
          <w:highlight w:val="none"/>
        </w:rPr>
      </w:pPr>
      <w:r>
        <w:rPr>
          <w:rFonts w:hint="eastAsia" w:ascii="宋体" w:hAnsi="宋体" w:cs="宋体"/>
          <w:b/>
          <w:bCs/>
          <w:highlight w:val="none"/>
        </w:rPr>
        <w:t>12．备选方案：</w:t>
      </w:r>
    </w:p>
    <w:p>
      <w:pPr>
        <w:spacing w:line="360" w:lineRule="auto"/>
        <w:ind w:left="960" w:leftChars="200" w:hanging="480" w:hangingChars="200"/>
        <w:rPr>
          <w:rFonts w:ascii="宋体" w:hAnsi="宋体" w:cs="宋体"/>
          <w:highlight w:val="none"/>
        </w:rPr>
      </w:pPr>
      <w:r>
        <w:rPr>
          <w:rFonts w:hint="eastAsia" w:ascii="宋体" w:hAnsi="宋体" w:cs="宋体"/>
          <w:highlight w:val="none"/>
        </w:rPr>
        <w:t>12.1 本项目不允许投标人有备选方案，否则将被视为无效投标。</w:t>
      </w:r>
    </w:p>
    <w:p>
      <w:pPr>
        <w:spacing w:line="360" w:lineRule="auto"/>
        <w:ind w:firstLine="482" w:firstLineChars="200"/>
        <w:rPr>
          <w:rFonts w:ascii="宋体" w:hAnsi="宋体" w:cs="宋体"/>
          <w:b/>
          <w:bCs/>
          <w:highlight w:val="none"/>
        </w:rPr>
      </w:pPr>
      <w:r>
        <w:rPr>
          <w:rFonts w:hint="eastAsia" w:ascii="宋体" w:hAnsi="宋体" w:cs="宋体"/>
          <w:b/>
          <w:bCs/>
          <w:highlight w:val="none"/>
        </w:rPr>
        <w:t>13．联合体投标</w:t>
      </w:r>
    </w:p>
    <w:p>
      <w:pPr>
        <w:spacing w:line="360" w:lineRule="auto"/>
        <w:ind w:left="960" w:leftChars="200" w:hanging="480" w:hangingChars="200"/>
        <w:rPr>
          <w:rFonts w:ascii="宋体" w:hAnsi="宋体" w:cs="宋体"/>
          <w:highlight w:val="none"/>
        </w:rPr>
      </w:pPr>
      <w:r>
        <w:rPr>
          <w:rFonts w:hint="eastAsia" w:ascii="宋体" w:hAnsi="宋体" w:cs="宋体"/>
          <w:highlight w:val="none"/>
        </w:rPr>
        <w:t>13.1 本项目不接受联合体投标。</w:t>
      </w:r>
    </w:p>
    <w:p>
      <w:pPr>
        <w:spacing w:line="360" w:lineRule="auto"/>
        <w:ind w:firstLine="482" w:firstLineChars="200"/>
        <w:rPr>
          <w:rFonts w:ascii="宋体" w:hAnsi="宋体" w:cs="宋体"/>
          <w:b/>
          <w:bCs/>
          <w:highlight w:val="none"/>
        </w:rPr>
      </w:pPr>
      <w:r>
        <w:rPr>
          <w:rFonts w:hint="eastAsia" w:ascii="宋体" w:hAnsi="宋体" w:cs="宋体"/>
          <w:b/>
          <w:bCs/>
          <w:highlight w:val="none"/>
        </w:rPr>
        <w:t>14．投标人资格证明文件</w:t>
      </w:r>
    </w:p>
    <w:p>
      <w:pPr>
        <w:spacing w:line="360" w:lineRule="auto"/>
        <w:ind w:left="960" w:leftChars="200" w:hanging="480" w:hangingChars="200"/>
        <w:rPr>
          <w:rFonts w:ascii="宋体" w:hAnsi="宋体" w:cs="宋体"/>
          <w:highlight w:val="none"/>
        </w:rPr>
      </w:pPr>
      <w:r>
        <w:rPr>
          <w:rFonts w:hint="eastAsia" w:ascii="宋体" w:hAnsi="宋体" w:cs="宋体"/>
          <w:highlight w:val="none"/>
        </w:rPr>
        <w:t>14.1 投标人应按招标文件的要求，提交证明其有资格参加投标和中标后有履行合同能力的文件，并作为其投标文件的组成部分。</w:t>
      </w:r>
    </w:p>
    <w:p>
      <w:pPr>
        <w:spacing w:line="360" w:lineRule="auto"/>
        <w:ind w:left="960" w:leftChars="200" w:hanging="480" w:hangingChars="200"/>
        <w:rPr>
          <w:rFonts w:ascii="宋体" w:hAnsi="宋体" w:cs="宋体"/>
          <w:highlight w:val="none"/>
        </w:rPr>
      </w:pPr>
      <w:r>
        <w:rPr>
          <w:rFonts w:hint="eastAsia" w:ascii="宋体" w:hAnsi="宋体" w:cs="宋体"/>
          <w:highlight w:val="none"/>
        </w:rPr>
        <w:t>14.2 资格证明文件必须真实有效，复印件必须加盖单位印章。</w:t>
      </w:r>
    </w:p>
    <w:p>
      <w:pPr>
        <w:spacing w:line="360" w:lineRule="auto"/>
        <w:ind w:firstLine="482" w:firstLineChars="200"/>
        <w:rPr>
          <w:rFonts w:ascii="宋体" w:hAnsi="宋体" w:cs="宋体"/>
          <w:b/>
          <w:bCs/>
          <w:highlight w:val="none"/>
        </w:rPr>
      </w:pPr>
      <w:r>
        <w:rPr>
          <w:rFonts w:hint="eastAsia" w:ascii="宋体" w:hAnsi="宋体" w:cs="宋体"/>
          <w:b/>
          <w:bCs/>
          <w:highlight w:val="none"/>
        </w:rPr>
        <w:t>15．投标人编制的投标文件中须包含的资格证明文件详见附表。</w:t>
      </w:r>
    </w:p>
    <w:p>
      <w:pPr>
        <w:spacing w:line="360" w:lineRule="auto"/>
        <w:ind w:firstLine="482" w:firstLineChars="200"/>
        <w:rPr>
          <w:rFonts w:ascii="宋体" w:hAnsi="宋体" w:cs="宋体"/>
          <w:b/>
          <w:bCs/>
          <w:highlight w:val="none"/>
        </w:rPr>
      </w:pPr>
      <w:r>
        <w:rPr>
          <w:rFonts w:hint="eastAsia" w:ascii="宋体" w:hAnsi="宋体" w:cs="宋体"/>
          <w:b/>
          <w:bCs/>
          <w:highlight w:val="none"/>
        </w:rPr>
        <w:t>16．投标的截止时间</w:t>
      </w:r>
    </w:p>
    <w:p>
      <w:pPr>
        <w:spacing w:line="360" w:lineRule="auto"/>
        <w:ind w:left="960" w:leftChars="200" w:hanging="480" w:hangingChars="200"/>
        <w:rPr>
          <w:rFonts w:ascii="宋体" w:hAnsi="宋体" w:cs="宋体"/>
          <w:highlight w:val="none"/>
        </w:rPr>
      </w:pPr>
      <w:r>
        <w:rPr>
          <w:rFonts w:hint="eastAsia" w:ascii="宋体" w:hAnsi="宋体" w:cs="宋体"/>
          <w:highlight w:val="none"/>
        </w:rPr>
        <w:t>16.1 投标的截止时间详见第一部分 投标邀请“四、提交投标文件截止时间、开标时间和地点”，超过截止时间后的投标为无效投标。</w:t>
      </w:r>
    </w:p>
    <w:p>
      <w:pPr>
        <w:spacing w:line="360" w:lineRule="auto"/>
        <w:ind w:firstLine="482" w:firstLineChars="200"/>
        <w:rPr>
          <w:rFonts w:ascii="宋体" w:hAnsi="宋体" w:cs="宋体"/>
          <w:b/>
          <w:bCs/>
          <w:highlight w:val="none"/>
        </w:rPr>
      </w:pPr>
      <w:r>
        <w:rPr>
          <w:rFonts w:hint="eastAsia" w:ascii="宋体" w:hAnsi="宋体" w:cs="宋体"/>
          <w:b/>
          <w:bCs/>
          <w:highlight w:val="none"/>
        </w:rPr>
        <w:t>17．投标文件的数量和签署</w:t>
      </w:r>
    </w:p>
    <w:p>
      <w:pPr>
        <w:spacing w:line="360" w:lineRule="auto"/>
        <w:ind w:left="960" w:leftChars="200" w:hanging="480" w:hangingChars="200"/>
        <w:rPr>
          <w:rFonts w:ascii="宋体" w:hAnsi="宋体" w:cs="宋体"/>
          <w:highlight w:val="none"/>
        </w:rPr>
      </w:pPr>
      <w:r>
        <w:rPr>
          <w:rFonts w:hint="eastAsia" w:ascii="宋体" w:hAnsi="宋体" w:cs="宋体"/>
          <w:highlight w:val="none"/>
        </w:rPr>
        <w:t>17.1 投标人应编制投标文件一式六份，其中正本一份、副本五份、电子版一份，投标文件的副本可采用正本的复印件。每套投标文件须清楚地标明“正本”、“副本”。若副本与正本不符，以正本为准。投标文件电子版要求以U 盘介质提供，不留密码，无病毒，不压缩，其中投标文件全文（含报价）应具备Word可编辑版；报价部分应须保留EXCEL格式或WORD 格式可编辑文档格式文件。</w:t>
      </w:r>
    </w:p>
    <w:p>
      <w:pPr>
        <w:spacing w:line="360" w:lineRule="auto"/>
        <w:ind w:left="960" w:leftChars="200" w:hanging="480" w:hangingChars="200"/>
        <w:rPr>
          <w:rFonts w:ascii="宋体" w:hAnsi="宋体" w:cs="宋体"/>
          <w:highlight w:val="none"/>
        </w:rPr>
      </w:pPr>
      <w:r>
        <w:rPr>
          <w:rFonts w:hint="eastAsia" w:ascii="宋体" w:hAnsi="宋体" w:cs="宋体"/>
          <w:highlight w:val="none"/>
        </w:rPr>
        <w:t>17.2 投标文件的正本需打印或用不褪色墨水书写，并由法定代表人（或负责人）或经其正式授权的代表签字。授权代表须出具书面授权证明，其《法定代表人（或负责人）授权书》应附在投标文件中。</w:t>
      </w:r>
    </w:p>
    <w:p>
      <w:pPr>
        <w:spacing w:line="360" w:lineRule="auto"/>
        <w:ind w:left="960" w:leftChars="200" w:hanging="480" w:hangingChars="200"/>
        <w:rPr>
          <w:rFonts w:ascii="宋体" w:hAnsi="宋体" w:cs="宋体"/>
          <w:highlight w:val="none"/>
        </w:rPr>
      </w:pPr>
      <w:r>
        <w:rPr>
          <w:rFonts w:hint="eastAsia" w:ascii="宋体" w:hAnsi="宋体" w:cs="宋体"/>
          <w:highlight w:val="none"/>
        </w:rPr>
        <w:t>17.3 投标文件中的任何重要的插字、涂改和增删，必须由法定代表人（或负责人）或经其正式授权的代表在旁边签章或签字才有效。</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四、投标文件的递交</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18．投标文件的密封和标记</w:t>
      </w:r>
    </w:p>
    <w:p>
      <w:pPr>
        <w:spacing w:line="360" w:lineRule="auto"/>
        <w:ind w:left="960" w:leftChars="200" w:hanging="480" w:hangingChars="200"/>
        <w:rPr>
          <w:rFonts w:ascii="宋体" w:hAnsi="宋体" w:cs="宋体"/>
          <w:highlight w:val="none"/>
        </w:rPr>
      </w:pPr>
      <w:r>
        <w:rPr>
          <w:rFonts w:hint="eastAsia" w:ascii="宋体" w:hAnsi="宋体" w:cs="宋体"/>
          <w:highlight w:val="none"/>
        </w:rPr>
        <w:t>18.1 为方便开标时唱标，投标人应将《开标一览表》一份单独密封提交，并在信封上清晰标明“唱标信封”字样。投标文件（正本一份和副本五份及电子版）必须放在同一完好的信封或包装内密封，并在外包装上清晰标明“投标文件”字样。</w:t>
      </w:r>
    </w:p>
    <w:p>
      <w:pPr>
        <w:spacing w:line="360" w:lineRule="auto"/>
        <w:ind w:left="960" w:leftChars="200" w:hanging="480" w:hangingChars="200"/>
        <w:rPr>
          <w:rFonts w:ascii="宋体" w:hAnsi="宋体" w:cs="宋体"/>
          <w:highlight w:val="none"/>
        </w:rPr>
      </w:pPr>
      <w:r>
        <w:rPr>
          <w:rFonts w:hint="eastAsia" w:ascii="宋体" w:hAnsi="宋体" w:cs="宋体"/>
          <w:highlight w:val="none"/>
        </w:rPr>
        <w:t>18.2 信封或外包装上应当注明采购项目名称、采购项目编号和</w:t>
      </w:r>
      <w:r>
        <w:rPr>
          <w:rFonts w:hint="eastAsia" w:ascii="宋体" w:hAnsi="宋体" w:cs="宋体"/>
          <w:b/>
          <w:bCs/>
          <w:highlight w:val="none"/>
        </w:rPr>
        <w:t>“在2022年</w:t>
      </w:r>
      <w:r>
        <w:rPr>
          <w:rFonts w:hint="eastAsia" w:ascii="宋体" w:hAnsi="宋体" w:cs="宋体"/>
          <w:b/>
          <w:bCs/>
          <w:highlight w:val="none"/>
          <w:lang w:val="en-US" w:eastAsia="zh-CN"/>
        </w:rPr>
        <w:t>07</w:t>
      </w:r>
      <w:r>
        <w:rPr>
          <w:rFonts w:hint="eastAsia" w:ascii="宋体" w:hAnsi="宋体" w:cs="宋体"/>
          <w:b/>
          <w:bCs/>
          <w:highlight w:val="none"/>
        </w:rPr>
        <w:t>月</w:t>
      </w:r>
      <w:r>
        <w:rPr>
          <w:rFonts w:hint="eastAsia" w:ascii="宋体" w:hAnsi="宋体" w:cs="宋体"/>
          <w:b/>
          <w:bCs/>
          <w:highlight w:val="none"/>
          <w:lang w:val="en-US" w:eastAsia="zh-CN"/>
        </w:rPr>
        <w:t>19</w:t>
      </w:r>
      <w:r>
        <w:rPr>
          <w:rFonts w:hint="eastAsia" w:ascii="宋体" w:hAnsi="宋体" w:cs="宋体"/>
          <w:b/>
          <w:bCs/>
          <w:highlight w:val="none"/>
        </w:rPr>
        <w:t>日上午</w:t>
      </w:r>
      <w:r>
        <w:rPr>
          <w:rFonts w:hint="eastAsia" w:ascii="宋体" w:hAnsi="宋体" w:cs="宋体"/>
          <w:b/>
          <w:bCs/>
          <w:highlight w:val="none"/>
          <w:lang w:val="en-US" w:eastAsia="zh-CN"/>
        </w:rPr>
        <w:t>09</w:t>
      </w:r>
      <w:r>
        <w:rPr>
          <w:rFonts w:hint="eastAsia" w:ascii="宋体" w:hAnsi="宋体" w:cs="宋体"/>
          <w:b/>
          <w:bCs/>
          <w:highlight w:val="none"/>
        </w:rPr>
        <w:t>时</w:t>
      </w:r>
      <w:r>
        <w:rPr>
          <w:rFonts w:hint="eastAsia" w:ascii="宋体" w:hAnsi="宋体" w:cs="宋体"/>
          <w:b/>
          <w:bCs/>
          <w:highlight w:val="none"/>
          <w:lang w:val="en-US" w:eastAsia="zh-CN"/>
        </w:rPr>
        <w:t>00</w:t>
      </w:r>
      <w:r>
        <w:rPr>
          <w:rFonts w:hint="eastAsia" w:ascii="宋体" w:hAnsi="宋体" w:cs="宋体"/>
          <w:b/>
          <w:bCs/>
          <w:highlight w:val="none"/>
        </w:rPr>
        <w:t>分之前不得启封”</w:t>
      </w:r>
      <w:r>
        <w:rPr>
          <w:rFonts w:hint="eastAsia" w:ascii="宋体" w:hAnsi="宋体" w:cs="宋体"/>
          <w:highlight w:val="none"/>
        </w:rPr>
        <w:t>的字样，封口处应加盖投标人印章。</w:t>
      </w:r>
    </w:p>
    <w:p>
      <w:pPr>
        <w:spacing w:line="360" w:lineRule="auto"/>
        <w:ind w:left="960" w:leftChars="200" w:hanging="480" w:hangingChars="200"/>
        <w:rPr>
          <w:rFonts w:ascii="宋体" w:hAnsi="宋体" w:cs="宋体"/>
          <w:highlight w:val="none"/>
        </w:rPr>
      </w:pPr>
      <w:r>
        <w:rPr>
          <w:rFonts w:hint="eastAsia" w:ascii="宋体" w:hAnsi="宋体" w:cs="宋体"/>
          <w:highlight w:val="none"/>
        </w:rPr>
        <w:t>18.3如果未按要求密封和标记，采购代理机构对误投或提前启封概不负责。</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19．投标文件的修改和撤回</w:t>
      </w:r>
    </w:p>
    <w:p>
      <w:pPr>
        <w:spacing w:line="360" w:lineRule="auto"/>
        <w:ind w:left="960" w:leftChars="200" w:hanging="480" w:hangingChars="200"/>
        <w:rPr>
          <w:rFonts w:ascii="宋体" w:hAnsi="宋体" w:cs="宋体"/>
          <w:highlight w:val="none"/>
        </w:rPr>
      </w:pPr>
      <w:r>
        <w:rPr>
          <w:rFonts w:hint="eastAsia" w:ascii="宋体" w:hAnsi="宋体" w:cs="宋体"/>
          <w:highlight w:val="none"/>
        </w:rPr>
        <w:t>19.1 投标人在投标截止时间前，可以对所递交的投标文件进行补充、修改或者撤回，并书面通知采购代理机构。补充、修改的内容应当按招标文件要求签署、盖章，并作为投标文件的组成部分。在投标截止时点之后，投标人不得对其投标文件做任何修改和补充。</w:t>
      </w:r>
    </w:p>
    <w:p>
      <w:pPr>
        <w:spacing w:line="360" w:lineRule="auto"/>
        <w:ind w:left="960" w:leftChars="200" w:hanging="480" w:hangingChars="200"/>
        <w:rPr>
          <w:rFonts w:ascii="宋体" w:hAnsi="宋体" w:cs="宋体"/>
          <w:highlight w:val="none"/>
        </w:rPr>
      </w:pPr>
      <w:r>
        <w:rPr>
          <w:rFonts w:hint="eastAsia" w:ascii="宋体" w:hAnsi="宋体" w:cs="宋体"/>
          <w:highlight w:val="none"/>
        </w:rPr>
        <w:t>19.2 投标人在递交投标文件后，可以撤回其投标，但投标人必须在规定的投标截止时点前以书面形式告知采购代理机构。</w:t>
      </w:r>
    </w:p>
    <w:p>
      <w:pPr>
        <w:spacing w:line="360" w:lineRule="auto"/>
        <w:ind w:left="960" w:leftChars="200" w:hanging="480" w:hangingChars="200"/>
        <w:rPr>
          <w:rFonts w:ascii="宋体" w:hAnsi="宋体" w:cs="宋体"/>
          <w:highlight w:val="none"/>
        </w:rPr>
      </w:pPr>
      <w:r>
        <w:rPr>
          <w:rFonts w:hint="eastAsia" w:ascii="宋体" w:hAnsi="宋体" w:cs="宋体"/>
          <w:highlight w:val="none"/>
        </w:rPr>
        <w:t>19.3 投标人所提交的投标文件在评标结束后，无论中标与否都不退还。</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五、开标、评标定标</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20．开标</w:t>
      </w:r>
    </w:p>
    <w:p>
      <w:pPr>
        <w:spacing w:line="360" w:lineRule="auto"/>
        <w:ind w:left="960" w:leftChars="200" w:hanging="480" w:hangingChars="200"/>
        <w:rPr>
          <w:rFonts w:ascii="宋体" w:hAnsi="宋体" w:cs="宋体"/>
          <w:highlight w:val="none"/>
        </w:rPr>
      </w:pPr>
      <w:r>
        <w:rPr>
          <w:rFonts w:hint="eastAsia" w:ascii="宋体" w:hAnsi="宋体" w:cs="宋体"/>
          <w:highlight w:val="none"/>
        </w:rPr>
        <w:t>20.1 采购代理机构在《投标邀请》中规定的日期、时间和地点组织公开开标。开标时原则上应当有采购人代表和投标人代表参加。参加开标的代表应签到以证明其出席。</w:t>
      </w:r>
    </w:p>
    <w:p>
      <w:pPr>
        <w:spacing w:line="360" w:lineRule="auto"/>
        <w:ind w:left="960" w:leftChars="200" w:hanging="480" w:hangingChars="200"/>
        <w:rPr>
          <w:rFonts w:ascii="宋体" w:hAnsi="宋体" w:cs="宋体"/>
          <w:highlight w:val="none"/>
        </w:rPr>
      </w:pPr>
      <w:r>
        <w:rPr>
          <w:rFonts w:hint="eastAsia" w:ascii="宋体" w:hAnsi="宋体" w:cs="宋体"/>
          <w:highlight w:val="none"/>
        </w:rPr>
        <w:t>20.2 开标时，由投标人或其推选的代表检查投标文件的密封情况，也可以由采购代理机构委托的机构检查并见证，经确认无误后由招标工作人员当众拆封，宣读投标人名称、投标价格、价格折扣、投标文件的其他主要内容和招标文件允许提供的备选投标方案。</w:t>
      </w:r>
    </w:p>
    <w:p>
      <w:pPr>
        <w:spacing w:line="360" w:lineRule="auto"/>
        <w:ind w:left="960" w:leftChars="200" w:hanging="480" w:hangingChars="200"/>
        <w:rPr>
          <w:rFonts w:ascii="宋体" w:hAnsi="宋体" w:cs="宋体"/>
          <w:highlight w:val="none"/>
        </w:rPr>
      </w:pPr>
      <w:r>
        <w:rPr>
          <w:rFonts w:hint="eastAsia" w:ascii="宋体" w:hAnsi="宋体" w:cs="宋体"/>
          <w:highlight w:val="none"/>
        </w:rPr>
        <w:t>20.3 开标结束后，采购人或采购代理机构将依法对各投标人的资格进行审查。</w:t>
      </w:r>
    </w:p>
    <w:p>
      <w:pPr>
        <w:spacing w:line="360" w:lineRule="auto"/>
        <w:ind w:left="960" w:leftChars="200" w:hanging="480" w:hangingChars="200"/>
        <w:rPr>
          <w:rFonts w:ascii="宋体" w:hAnsi="宋体" w:cs="宋体"/>
          <w:highlight w:val="none"/>
        </w:rPr>
      </w:pPr>
      <w:r>
        <w:rPr>
          <w:rFonts w:hint="eastAsia" w:ascii="宋体" w:hAnsi="宋体" w:cs="宋体"/>
          <w:highlight w:val="none"/>
        </w:rPr>
        <w:t>20.4 资格检查是指依据法律法规和招标文件的规定，对投标文件中要求达到的投标人资格条件等进行审查，以确定投标人是否具备投标资格。</w:t>
      </w:r>
      <w:r>
        <w:rPr>
          <w:rFonts w:hint="eastAsia" w:ascii="宋体" w:hAnsi="宋体" w:cs="宋体"/>
          <w:b/>
          <w:bCs/>
          <w:highlight w:val="none"/>
        </w:rPr>
        <w:t>只有通过资格审查的投标人提交的投标文件才得以进入评标环节，未通过资格审查的投标人其投标文件将被拒绝。</w:t>
      </w:r>
    </w:p>
    <w:p>
      <w:pPr>
        <w:spacing w:line="360" w:lineRule="auto"/>
        <w:ind w:left="960" w:leftChars="200" w:hanging="480" w:hangingChars="200"/>
        <w:rPr>
          <w:rFonts w:ascii="宋体" w:hAnsi="宋体" w:cs="宋体"/>
          <w:highlight w:val="none"/>
        </w:rPr>
      </w:pPr>
      <w:r>
        <w:rPr>
          <w:rFonts w:hint="eastAsia" w:ascii="宋体" w:hAnsi="宋体" w:cs="宋体"/>
          <w:highlight w:val="none"/>
        </w:rPr>
        <w:t>20.5 当通过资格审查的合格投标人不足三家时，采购代理机构将按照《中华人民共和国政府采购法》重新组织招投标。</w:t>
      </w:r>
    </w:p>
    <w:p>
      <w:pPr>
        <w:spacing w:line="360" w:lineRule="auto"/>
        <w:ind w:left="960" w:leftChars="200" w:hanging="480" w:hangingChars="200"/>
        <w:rPr>
          <w:rFonts w:ascii="宋体" w:hAnsi="宋体" w:cs="宋体"/>
          <w:highlight w:val="none"/>
        </w:rPr>
      </w:pPr>
      <w:r>
        <w:rPr>
          <w:rFonts w:hint="eastAsia" w:ascii="宋体" w:hAnsi="宋体" w:cs="宋体"/>
          <w:highlight w:val="none"/>
        </w:rPr>
        <w:t>20.6 采购代理机构做好开标记录，开标记录由各投标人签字确认。</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21．评标委员会的组成和评标方法</w:t>
      </w:r>
    </w:p>
    <w:p>
      <w:pPr>
        <w:spacing w:line="360" w:lineRule="auto"/>
        <w:ind w:left="960" w:leftChars="200" w:hanging="480" w:hangingChars="200"/>
        <w:rPr>
          <w:rFonts w:ascii="宋体" w:hAnsi="宋体" w:cs="宋体"/>
          <w:highlight w:val="none"/>
        </w:rPr>
      </w:pPr>
      <w:r>
        <w:rPr>
          <w:rFonts w:hint="eastAsia" w:ascii="宋体" w:hAnsi="宋体" w:cs="宋体"/>
          <w:highlight w:val="none"/>
        </w:rPr>
        <w:t>21.1 评标由采购人依照政府采购法律、法规、规章、政策的规定，组建的评标委员会负责。评标委员会成员由采购人代表和（技术、经济等）方面的评审专家组成，采购人代表人数、专家人数及专业构成按有关政府采购规定确定。</w:t>
      </w:r>
    </w:p>
    <w:p>
      <w:pPr>
        <w:spacing w:line="360" w:lineRule="auto"/>
        <w:ind w:left="960" w:leftChars="200" w:hanging="480" w:hangingChars="200"/>
        <w:rPr>
          <w:rFonts w:ascii="宋体" w:hAnsi="宋体" w:cs="宋体"/>
          <w:highlight w:val="none"/>
        </w:rPr>
      </w:pPr>
      <w:r>
        <w:rPr>
          <w:rFonts w:hint="eastAsia" w:ascii="宋体" w:hAnsi="宋体" w:cs="宋体"/>
          <w:highlight w:val="none"/>
        </w:rPr>
        <w:t>21.2 评标委员会将按照招标文件确定的评标方法进行评标。评标委员会对投标文件的评审分为符合性审查和商务技术评议、价格评议。</w:t>
      </w:r>
    </w:p>
    <w:p>
      <w:pPr>
        <w:spacing w:line="360" w:lineRule="auto"/>
        <w:ind w:left="960" w:leftChars="200" w:hanging="480" w:hangingChars="200"/>
        <w:rPr>
          <w:rFonts w:ascii="宋体" w:hAnsi="宋体" w:cs="宋体"/>
          <w:highlight w:val="none"/>
        </w:rPr>
      </w:pPr>
      <w:r>
        <w:rPr>
          <w:rFonts w:hint="eastAsia" w:ascii="宋体" w:hAnsi="宋体" w:cs="宋体"/>
          <w:highlight w:val="none"/>
        </w:rPr>
        <w:t>21.3 本次评标采用（综合评分法）方法，具体见本部分“九、评标方法、步骤及标准”。</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22．投标文件的符合性审查</w:t>
      </w:r>
    </w:p>
    <w:p>
      <w:pPr>
        <w:spacing w:line="360" w:lineRule="auto"/>
        <w:ind w:left="960" w:leftChars="200" w:hanging="480" w:hangingChars="200"/>
        <w:rPr>
          <w:rFonts w:ascii="宋体" w:hAnsi="宋体" w:cs="宋体"/>
          <w:highlight w:val="none"/>
        </w:rPr>
      </w:pPr>
      <w:r>
        <w:rPr>
          <w:rFonts w:hint="eastAsia" w:ascii="宋体" w:hAnsi="宋体" w:cs="宋体"/>
          <w:highlight w:val="none"/>
        </w:rPr>
        <w:t>22.1 进入评标环节后，评标委员会首先对通过资格审查的投标人所提交的投标文件进行符合性审查。</w:t>
      </w:r>
    </w:p>
    <w:p>
      <w:pPr>
        <w:spacing w:line="360" w:lineRule="auto"/>
        <w:ind w:left="960" w:leftChars="200" w:hanging="480" w:hangingChars="200"/>
        <w:rPr>
          <w:rFonts w:ascii="宋体" w:hAnsi="宋体" w:cs="宋体"/>
          <w:highlight w:val="none"/>
        </w:rPr>
      </w:pPr>
      <w:r>
        <w:rPr>
          <w:rFonts w:hint="eastAsia" w:ascii="宋体" w:hAnsi="宋体" w:cs="宋体"/>
          <w:highlight w:val="none"/>
        </w:rPr>
        <w:t>22.2 符合性审查是指依据招标文件的规定，从投标文件的有效性、完整性和对招标文件的响应程度进行审查，以确定是否对招标文件的实质性要求作出响应。</w:t>
      </w:r>
      <w:r>
        <w:rPr>
          <w:rFonts w:hint="eastAsia" w:ascii="宋体" w:hAnsi="宋体" w:cs="宋体"/>
          <w:b/>
          <w:highlight w:val="none"/>
        </w:rPr>
        <w:t>对没有通过符合性审查的投标文件，评标委员会将对其做无效投标处理。</w:t>
      </w:r>
    </w:p>
    <w:p>
      <w:pPr>
        <w:spacing w:line="360" w:lineRule="auto"/>
        <w:ind w:left="960" w:leftChars="200" w:hanging="480" w:hangingChars="200"/>
        <w:rPr>
          <w:rFonts w:ascii="宋体" w:hAnsi="宋体" w:cs="宋体"/>
          <w:highlight w:val="none"/>
        </w:rPr>
      </w:pPr>
      <w:r>
        <w:rPr>
          <w:rFonts w:hint="eastAsia" w:ascii="宋体" w:hAnsi="宋体" w:cs="宋体"/>
          <w:highlight w:val="none"/>
        </w:rPr>
        <w:t>22.3 当投标文件通过符合性审查的</w:t>
      </w:r>
      <w:r>
        <w:rPr>
          <w:rFonts w:hint="eastAsia" w:ascii="宋体" w:hAnsi="宋体" w:cs="宋体"/>
          <w:highlight w:val="none"/>
          <w:lang w:val="zh-CN"/>
        </w:rPr>
        <w:t>投标人不足三家时</w:t>
      </w:r>
      <w:r>
        <w:rPr>
          <w:rFonts w:hint="eastAsia" w:ascii="宋体" w:hAnsi="宋体" w:cs="宋体"/>
          <w:highlight w:val="none"/>
        </w:rPr>
        <w:t>，采购代理机构将按照《中华人民共和国政府采购法》重新组织招投标。</w:t>
      </w:r>
    </w:p>
    <w:p>
      <w:pPr>
        <w:spacing w:line="360" w:lineRule="auto"/>
        <w:ind w:left="960" w:leftChars="200" w:hanging="480" w:hangingChars="200"/>
        <w:rPr>
          <w:rFonts w:ascii="宋体" w:hAnsi="宋体" w:cs="宋体"/>
          <w:highlight w:val="none"/>
        </w:rPr>
      </w:pPr>
      <w:r>
        <w:rPr>
          <w:rFonts w:hint="eastAsia" w:ascii="宋体" w:hAnsi="宋体" w:cs="宋体"/>
          <w:highlight w:val="none"/>
        </w:rPr>
        <w:t>22.4 通过符合性审查须满足以下条件：</w:t>
      </w:r>
    </w:p>
    <w:p>
      <w:pPr>
        <w:spacing w:line="360" w:lineRule="auto"/>
        <w:ind w:left="960" w:leftChars="200" w:hanging="480" w:hangingChars="200"/>
        <w:rPr>
          <w:rFonts w:ascii="宋体" w:hAnsi="宋体" w:cs="宋体"/>
          <w:highlight w:val="none"/>
        </w:rPr>
      </w:pPr>
      <w:r>
        <w:rPr>
          <w:rFonts w:hint="eastAsia" w:ascii="宋体" w:hAnsi="宋体" w:cs="宋体"/>
          <w:highlight w:val="none"/>
        </w:rPr>
        <w:t>（1）投标文件关键页（含封面）均有按招标文件要求加盖公章或签字；</w:t>
      </w:r>
    </w:p>
    <w:p>
      <w:pPr>
        <w:spacing w:line="360" w:lineRule="auto"/>
        <w:ind w:left="960" w:leftChars="200" w:hanging="480" w:hangingChars="200"/>
        <w:rPr>
          <w:rFonts w:ascii="宋体" w:hAnsi="宋体" w:cs="宋体"/>
          <w:highlight w:val="none"/>
        </w:rPr>
      </w:pPr>
      <w:r>
        <w:rPr>
          <w:rFonts w:hint="eastAsia" w:ascii="宋体" w:hAnsi="宋体" w:cs="宋体"/>
          <w:highlight w:val="none"/>
        </w:rPr>
        <w:t>（2）投标报价内容满足招标文件要求且没有超出限价范围；</w:t>
      </w:r>
    </w:p>
    <w:p>
      <w:pPr>
        <w:spacing w:line="360" w:lineRule="auto"/>
        <w:ind w:left="960" w:leftChars="200" w:hanging="480" w:hangingChars="200"/>
        <w:rPr>
          <w:rFonts w:ascii="宋体" w:hAnsi="宋体" w:cs="宋体"/>
          <w:highlight w:val="none"/>
        </w:rPr>
      </w:pPr>
      <w:r>
        <w:rPr>
          <w:rFonts w:hint="eastAsia" w:ascii="宋体" w:hAnsi="宋体" w:cs="宋体"/>
          <w:highlight w:val="none"/>
        </w:rPr>
        <w:t>（3）投标函内容及有效期满足招标文件要求；</w:t>
      </w:r>
    </w:p>
    <w:p>
      <w:pPr>
        <w:spacing w:line="360" w:lineRule="auto"/>
        <w:ind w:left="960" w:leftChars="200" w:hanging="480" w:hangingChars="200"/>
        <w:rPr>
          <w:rFonts w:ascii="宋体" w:hAnsi="宋体" w:cs="宋体"/>
          <w:highlight w:val="none"/>
        </w:rPr>
      </w:pPr>
      <w:r>
        <w:rPr>
          <w:rFonts w:hint="eastAsia" w:ascii="宋体" w:hAnsi="宋体" w:cs="宋体"/>
          <w:highlight w:val="none"/>
        </w:rPr>
        <w:t>（4）投标文件有提供投标人法定代表人（或负责人）身份证明书；</w:t>
      </w:r>
    </w:p>
    <w:p>
      <w:pPr>
        <w:spacing w:line="360" w:lineRule="auto"/>
        <w:ind w:left="960" w:leftChars="200" w:hanging="480" w:hangingChars="200"/>
        <w:rPr>
          <w:rFonts w:ascii="宋体" w:hAnsi="宋体" w:cs="宋体"/>
          <w:highlight w:val="none"/>
        </w:rPr>
      </w:pPr>
      <w:r>
        <w:rPr>
          <w:rFonts w:hint="eastAsia" w:ascii="宋体" w:hAnsi="宋体" w:cs="宋体"/>
          <w:highlight w:val="none"/>
        </w:rPr>
        <w:t>（5）投标文件有提供投标人法定代表人（或负责人）授权委托书（非法定代表人（或负责人）投标时）；</w:t>
      </w:r>
    </w:p>
    <w:p>
      <w:pPr>
        <w:spacing w:line="360" w:lineRule="auto"/>
        <w:ind w:left="960" w:leftChars="200" w:hanging="480" w:hangingChars="200"/>
        <w:rPr>
          <w:rFonts w:ascii="宋体" w:hAnsi="宋体" w:cs="宋体"/>
          <w:highlight w:val="none"/>
        </w:rPr>
      </w:pPr>
      <w:r>
        <w:rPr>
          <w:rFonts w:hint="eastAsia" w:ascii="宋体" w:hAnsi="宋体" w:cs="宋体"/>
          <w:highlight w:val="none"/>
        </w:rPr>
        <w:t>（6）投标内容无重大（实质性）偏离项目采购需求书的要求；</w:t>
      </w:r>
    </w:p>
    <w:p>
      <w:pPr>
        <w:spacing w:line="360" w:lineRule="auto"/>
        <w:ind w:left="960" w:leftChars="200" w:hanging="480" w:hangingChars="200"/>
        <w:rPr>
          <w:rFonts w:ascii="宋体" w:hAnsi="宋体" w:cs="宋体"/>
          <w:highlight w:val="none"/>
        </w:rPr>
      </w:pPr>
      <w:r>
        <w:rPr>
          <w:rFonts w:hint="eastAsia" w:ascii="宋体" w:hAnsi="宋体" w:cs="宋体"/>
          <w:highlight w:val="none"/>
        </w:rPr>
        <w:t>（7）投标文件中没有出现明显对采购人不利的附加条件；</w:t>
      </w:r>
    </w:p>
    <w:p>
      <w:pPr>
        <w:spacing w:line="360" w:lineRule="auto"/>
        <w:ind w:left="960" w:leftChars="200" w:hanging="480" w:hangingChars="200"/>
        <w:rPr>
          <w:rFonts w:ascii="宋体" w:hAnsi="宋体" w:cs="宋体"/>
          <w:highlight w:val="none"/>
        </w:rPr>
      </w:pPr>
      <w:r>
        <w:rPr>
          <w:rFonts w:hint="eastAsia" w:ascii="宋体" w:hAnsi="宋体" w:cs="宋体"/>
          <w:highlight w:val="none"/>
        </w:rPr>
        <w:t>（8）投标文件不存在法律、法规和招标文件规定的其他无效情形。</w:t>
      </w:r>
    </w:p>
    <w:p>
      <w:pPr>
        <w:spacing w:line="360" w:lineRule="auto"/>
        <w:ind w:left="960" w:leftChars="200" w:hanging="480" w:hangingChars="200"/>
        <w:rPr>
          <w:rFonts w:ascii="宋体" w:hAnsi="宋体" w:cs="宋体"/>
          <w:highlight w:val="none"/>
        </w:rPr>
      </w:pPr>
      <w:r>
        <w:rPr>
          <w:rFonts w:hint="eastAsia" w:ascii="宋体" w:hAnsi="宋体" w:cs="宋体"/>
          <w:highlight w:val="none"/>
        </w:rPr>
        <w:t>22.5 实质上没有响应招标文件要求的投标将被拒绝。投标人不得通过修正或撤消不合要求的偏离或保留从而使其投标成为实质上响应的投标。</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23．投标文件的澄清</w:t>
      </w:r>
    </w:p>
    <w:p>
      <w:pPr>
        <w:spacing w:line="360" w:lineRule="auto"/>
        <w:ind w:left="960" w:leftChars="200" w:hanging="480" w:hangingChars="200"/>
        <w:rPr>
          <w:rFonts w:ascii="宋体" w:hAnsi="宋体" w:cs="宋体"/>
          <w:highlight w:val="none"/>
        </w:rPr>
      </w:pPr>
      <w:r>
        <w:rPr>
          <w:rFonts w:hint="eastAsia" w:ascii="宋体" w:hAnsi="宋体" w:cs="宋体"/>
          <w:highlight w:val="none"/>
        </w:rPr>
        <w:t>23.1 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由其授权的代表签字，并不得超出投标文件的范围或者改变投标文件的实质性内容。有关澄清的答复均应由投标人的法定代表人（或负责人）或授权代表签字的书面形式作出。</w:t>
      </w:r>
    </w:p>
    <w:p>
      <w:pPr>
        <w:spacing w:line="360" w:lineRule="auto"/>
        <w:ind w:left="960" w:leftChars="200" w:hanging="480" w:hangingChars="200"/>
        <w:rPr>
          <w:rFonts w:ascii="宋体" w:hAnsi="宋体" w:cs="宋体"/>
          <w:highlight w:val="none"/>
        </w:rPr>
      </w:pPr>
      <w:r>
        <w:rPr>
          <w:rFonts w:hint="eastAsia" w:ascii="宋体" w:hAnsi="宋体" w:cs="宋体"/>
          <w:highlight w:val="none"/>
        </w:rPr>
        <w:t>23.2 投标人的澄清文件是其投标文件的组成部分。</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24．投标文件的评审</w:t>
      </w:r>
    </w:p>
    <w:p>
      <w:pPr>
        <w:spacing w:line="360" w:lineRule="auto"/>
        <w:ind w:left="960" w:leftChars="200" w:hanging="480" w:hangingChars="200"/>
        <w:rPr>
          <w:rFonts w:ascii="宋体" w:hAnsi="宋体" w:cs="宋体"/>
          <w:highlight w:val="none"/>
        </w:rPr>
      </w:pPr>
      <w:r>
        <w:rPr>
          <w:rFonts w:hint="eastAsia" w:ascii="宋体" w:hAnsi="宋体" w:cs="宋体"/>
          <w:highlight w:val="none"/>
        </w:rPr>
        <w:t>24.1 评标委员会只对确定为实质上响应招标文件要求的投标文件进行比较和评审。</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25．授标</w:t>
      </w:r>
    </w:p>
    <w:p>
      <w:pPr>
        <w:spacing w:line="360" w:lineRule="auto"/>
        <w:ind w:left="960" w:leftChars="200" w:hanging="480" w:hangingChars="200"/>
        <w:rPr>
          <w:rFonts w:ascii="宋体" w:hAnsi="宋体" w:cs="宋体"/>
          <w:highlight w:val="none"/>
        </w:rPr>
      </w:pPr>
      <w:r>
        <w:rPr>
          <w:rFonts w:hint="eastAsia" w:ascii="宋体" w:hAnsi="宋体" w:cs="宋体"/>
          <w:highlight w:val="none"/>
        </w:rPr>
        <w:t>25.1 评标委员会按照招标文件确定的评标方法、步骤、标准，对投标文件进行评审，提出书面评标报告，按照得分由高到低的顺序推荐两名中标候选人。</w:t>
      </w:r>
    </w:p>
    <w:p>
      <w:pPr>
        <w:spacing w:line="360" w:lineRule="auto"/>
        <w:ind w:left="960" w:leftChars="200" w:hanging="480" w:hangingChars="200"/>
        <w:rPr>
          <w:rFonts w:ascii="宋体" w:hAnsi="宋体" w:cs="宋体"/>
          <w:highlight w:val="none"/>
        </w:rPr>
      </w:pPr>
      <w:r>
        <w:rPr>
          <w:rFonts w:hint="eastAsia" w:ascii="宋体" w:hAnsi="宋体" w:cs="宋体"/>
          <w:highlight w:val="none"/>
        </w:rPr>
        <w:t>25.2 采购人在收到评标报告后的法定时间内，按照评标报告中推荐的中标候选人确定一名中标人，也可以事先授权评标委员会直接确定中标人。</w:t>
      </w:r>
    </w:p>
    <w:p>
      <w:pPr>
        <w:spacing w:line="360" w:lineRule="auto"/>
        <w:ind w:left="960" w:leftChars="200" w:hanging="480" w:hangingChars="200"/>
        <w:rPr>
          <w:rFonts w:ascii="宋体" w:hAnsi="宋体" w:cs="宋体"/>
          <w:highlight w:val="none"/>
        </w:rPr>
      </w:pPr>
      <w:r>
        <w:rPr>
          <w:rFonts w:hint="eastAsia" w:ascii="宋体" w:hAnsi="宋体" w:cs="宋体"/>
          <w:highlight w:val="none"/>
        </w:rPr>
        <w:t>25.3 中标人确定后，采购代理机构将在政府采购监督管理部门指定的媒体上发布中标公告，并向中标人发出《中标通知书》，《中标通知书》对中标人和采购人具有同等法律效力。</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六、质疑</w:t>
      </w:r>
    </w:p>
    <w:p>
      <w:pPr>
        <w:spacing w:line="360" w:lineRule="auto"/>
        <w:ind w:left="960" w:leftChars="200" w:hanging="480" w:hangingChars="200"/>
        <w:rPr>
          <w:rFonts w:ascii="宋体" w:hAnsi="宋体" w:cs="宋体"/>
          <w:highlight w:val="none"/>
        </w:rPr>
      </w:pPr>
      <w:r>
        <w:rPr>
          <w:rFonts w:hint="eastAsia" w:ascii="宋体" w:hAnsi="宋体" w:cs="宋体"/>
          <w:highlight w:val="none"/>
        </w:rPr>
        <w:t>26．如果投标人对此次采购活动有疑问，可依法向采购代理机构提出质疑。采购代理机构应当依法给与答复，并将结果告知有关当事人。</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七、 合同的订立和履行</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27．合同的订立</w:t>
      </w:r>
    </w:p>
    <w:p>
      <w:pPr>
        <w:spacing w:line="360" w:lineRule="auto"/>
        <w:ind w:left="960" w:leftChars="200" w:hanging="480" w:hangingChars="200"/>
        <w:rPr>
          <w:rFonts w:ascii="宋体" w:hAnsi="宋体" w:cs="宋体"/>
          <w:highlight w:val="none"/>
        </w:rPr>
      </w:pPr>
      <w:r>
        <w:rPr>
          <w:rFonts w:hint="eastAsia" w:ascii="宋体" w:hAnsi="宋体" w:cs="宋体"/>
          <w:highlight w:val="none"/>
        </w:rPr>
        <w:t>27.1 采购人与中标服务商自中标通知书发出之日起三十日内，按招标文件要求和中标人投标文件承诺签订政府采购合同，但不得超出招标文件和中标人投标文件的范围、也不得再行订立背离合同实质性内容的其他协议。</w:t>
      </w:r>
    </w:p>
    <w:p>
      <w:pPr>
        <w:spacing w:line="360" w:lineRule="auto"/>
        <w:ind w:left="960" w:leftChars="200" w:hanging="480" w:hangingChars="200"/>
        <w:rPr>
          <w:rFonts w:ascii="宋体" w:hAnsi="宋体" w:cs="宋体"/>
          <w:highlight w:val="none"/>
        </w:rPr>
      </w:pPr>
      <w:r>
        <w:rPr>
          <w:rFonts w:hint="eastAsia" w:ascii="宋体" w:hAnsi="宋体" w:cs="宋体"/>
          <w:highlight w:val="none"/>
        </w:rPr>
        <w:t>27.2采购人应当自政府采购合同签订之日起2个工作日内，将政府采购合同在省级以上人民政府财政部门指定的媒体上公告，但政府采购合同中涉及国家秘密、商业秘密的内容除外。</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28．合同的履行</w:t>
      </w:r>
    </w:p>
    <w:p>
      <w:pPr>
        <w:spacing w:line="360" w:lineRule="auto"/>
        <w:ind w:left="960" w:leftChars="200" w:hanging="480" w:hangingChars="200"/>
        <w:rPr>
          <w:rFonts w:ascii="宋体" w:hAnsi="宋体" w:cs="宋体"/>
          <w:highlight w:val="none"/>
        </w:rPr>
      </w:pPr>
      <w:r>
        <w:rPr>
          <w:rFonts w:hint="eastAsia" w:ascii="宋体" w:hAnsi="宋体" w:cs="宋体"/>
          <w:highlight w:val="none"/>
        </w:rPr>
        <w:t>28.1 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left="960" w:leftChars="200" w:hanging="480" w:hangingChars="200"/>
        <w:rPr>
          <w:rFonts w:ascii="宋体" w:hAnsi="宋体" w:cs="宋体"/>
          <w:highlight w:val="none"/>
        </w:rPr>
      </w:pPr>
      <w:r>
        <w:rPr>
          <w:rFonts w:hint="eastAsia" w:ascii="宋体" w:hAnsi="宋体" w:cs="宋体"/>
          <w:highlight w:val="none"/>
        </w:rPr>
        <w:t>28.2 政府采购合同履行中，采购人需追加与合同标的相同的货物、工程或者服务的，在不改变合同其他条款的前提下，可以与服务商签订补充合同，但所补充合同的采购金额不得超过原采购金额的百分之十。</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八、适用法律</w:t>
      </w:r>
    </w:p>
    <w:p>
      <w:pPr>
        <w:spacing w:line="360" w:lineRule="auto"/>
        <w:ind w:left="960" w:leftChars="200" w:hanging="480" w:hangingChars="200"/>
        <w:rPr>
          <w:rFonts w:ascii="宋体" w:hAnsi="宋体" w:cs="宋体"/>
          <w:highlight w:val="none"/>
        </w:rPr>
      </w:pPr>
      <w:r>
        <w:rPr>
          <w:rFonts w:hint="eastAsia" w:ascii="宋体" w:hAnsi="宋体" w:cs="宋体"/>
          <w:highlight w:val="none"/>
        </w:rPr>
        <w:t>29．采购人、采购代理机构及投标人的一切招标投标活动均适用《中华人民共和国政府采购法》及其配套的法规、规章、政策。</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九、评标方法、步骤及标准</w:t>
      </w:r>
    </w:p>
    <w:p>
      <w:pPr>
        <w:spacing w:line="360" w:lineRule="auto"/>
        <w:ind w:left="960" w:leftChars="200" w:hanging="480" w:hangingChars="200"/>
        <w:rPr>
          <w:rFonts w:ascii="宋体" w:hAnsi="宋体" w:cs="宋体"/>
          <w:highlight w:val="none"/>
        </w:rPr>
      </w:pPr>
      <w:r>
        <w:rPr>
          <w:rFonts w:hint="eastAsia" w:ascii="宋体" w:hAnsi="宋体" w:cs="宋体"/>
          <w:highlight w:val="none"/>
        </w:rPr>
        <w:t>根据《中华人民共和国政府采购法》的相关规定确定以下评标方法、步骤及标准：</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30．评标方法</w:t>
      </w:r>
    </w:p>
    <w:p>
      <w:pPr>
        <w:spacing w:line="360" w:lineRule="auto"/>
        <w:ind w:left="960" w:leftChars="200" w:hanging="480" w:hangingChars="200"/>
        <w:rPr>
          <w:rFonts w:ascii="宋体" w:hAnsi="宋体" w:cs="宋体"/>
          <w:highlight w:val="none"/>
        </w:rPr>
      </w:pPr>
      <w:r>
        <w:rPr>
          <w:rFonts w:hint="eastAsia" w:ascii="宋体" w:hAnsi="宋体" w:cs="宋体"/>
          <w:highlight w:val="none"/>
        </w:rPr>
        <w:t>本次评标采用综合评分法。详见本节附件。</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31．评标步骤</w:t>
      </w:r>
    </w:p>
    <w:p>
      <w:pPr>
        <w:spacing w:line="360" w:lineRule="auto"/>
        <w:ind w:left="960" w:leftChars="200" w:hanging="480" w:hangingChars="200"/>
        <w:rPr>
          <w:rFonts w:ascii="宋体" w:hAnsi="宋体" w:cs="宋体"/>
          <w:highlight w:val="none"/>
        </w:rPr>
      </w:pPr>
      <w:r>
        <w:rPr>
          <w:rFonts w:hint="eastAsia" w:ascii="宋体" w:hAnsi="宋体" w:cs="宋体"/>
          <w:highlight w:val="none"/>
        </w:rPr>
        <w:t>评标委员会对投标文件的评审分为初步审查、详细评审、推荐中标候选人名单：</w:t>
      </w:r>
    </w:p>
    <w:p>
      <w:pPr>
        <w:spacing w:line="360" w:lineRule="auto"/>
        <w:ind w:left="960" w:leftChars="200" w:hanging="480" w:hangingChars="200"/>
        <w:rPr>
          <w:rFonts w:ascii="宋体" w:hAnsi="宋体" w:cs="宋体"/>
          <w:highlight w:val="none"/>
        </w:rPr>
      </w:pPr>
      <w:r>
        <w:rPr>
          <w:rFonts w:hint="eastAsia" w:ascii="宋体" w:hAnsi="宋体" w:cs="宋体"/>
          <w:highlight w:val="none"/>
        </w:rPr>
        <w:t>（一）初步审查</w:t>
      </w:r>
    </w:p>
    <w:p>
      <w:pPr>
        <w:spacing w:line="360" w:lineRule="auto"/>
        <w:ind w:left="960" w:leftChars="200" w:hanging="480" w:hangingChars="200"/>
        <w:rPr>
          <w:rFonts w:ascii="宋体" w:hAnsi="宋体" w:cs="宋体"/>
          <w:highlight w:val="none"/>
        </w:rPr>
      </w:pPr>
      <w:r>
        <w:rPr>
          <w:rFonts w:hint="eastAsia" w:ascii="宋体" w:hAnsi="宋体" w:cs="宋体"/>
          <w:highlight w:val="none"/>
        </w:rPr>
        <w:t>（二）详细评审</w:t>
      </w:r>
    </w:p>
    <w:p>
      <w:pPr>
        <w:spacing w:line="360" w:lineRule="auto"/>
        <w:ind w:left="1200" w:leftChars="300" w:hanging="480" w:hangingChars="200"/>
        <w:rPr>
          <w:rFonts w:ascii="宋体" w:hAnsi="宋体" w:cs="宋体"/>
          <w:highlight w:val="none"/>
        </w:rPr>
      </w:pPr>
      <w:r>
        <w:rPr>
          <w:rFonts w:hint="eastAsia" w:ascii="宋体" w:hAnsi="宋体" w:cs="宋体"/>
          <w:highlight w:val="none"/>
        </w:rPr>
        <w:t>1、商务技术评分；</w:t>
      </w:r>
    </w:p>
    <w:p>
      <w:pPr>
        <w:spacing w:line="360" w:lineRule="auto"/>
        <w:ind w:left="1200" w:leftChars="300" w:hanging="480" w:hangingChars="200"/>
        <w:rPr>
          <w:rFonts w:ascii="宋体" w:hAnsi="宋体" w:cs="宋体"/>
          <w:highlight w:val="none"/>
        </w:rPr>
      </w:pPr>
      <w:r>
        <w:rPr>
          <w:rFonts w:hint="eastAsia" w:ascii="宋体" w:hAnsi="宋体" w:cs="宋体"/>
          <w:highlight w:val="none"/>
        </w:rPr>
        <w:t>2、价格评分；</w:t>
      </w:r>
    </w:p>
    <w:p>
      <w:pPr>
        <w:spacing w:line="360" w:lineRule="auto"/>
        <w:ind w:left="1200" w:leftChars="300" w:hanging="480" w:hangingChars="200"/>
        <w:rPr>
          <w:rFonts w:ascii="宋体" w:hAnsi="宋体" w:cs="宋体"/>
          <w:highlight w:val="none"/>
        </w:rPr>
      </w:pPr>
      <w:r>
        <w:rPr>
          <w:rFonts w:hint="eastAsia" w:ascii="宋体" w:hAnsi="宋体" w:cs="宋体"/>
          <w:highlight w:val="none"/>
        </w:rPr>
        <w:t>3、综合得分。</w:t>
      </w:r>
    </w:p>
    <w:p>
      <w:pPr>
        <w:spacing w:line="360" w:lineRule="auto"/>
        <w:ind w:left="960" w:leftChars="200" w:hanging="480" w:hangingChars="200"/>
        <w:rPr>
          <w:rFonts w:ascii="宋体" w:hAnsi="宋体" w:cs="宋体"/>
          <w:highlight w:val="none"/>
        </w:rPr>
      </w:pPr>
      <w:r>
        <w:rPr>
          <w:rFonts w:hint="eastAsia" w:ascii="宋体" w:hAnsi="宋体" w:cs="宋体"/>
          <w:highlight w:val="none"/>
        </w:rPr>
        <w:t>（三）推荐中标候选人名单</w:t>
      </w:r>
    </w:p>
    <w:p>
      <w:pPr>
        <w:spacing w:line="360" w:lineRule="auto"/>
        <w:ind w:left="996" w:leftChars="170" w:hanging="588" w:hangingChars="244"/>
        <w:rPr>
          <w:rFonts w:ascii="宋体" w:hAnsi="宋体" w:cs="宋体"/>
          <w:b/>
          <w:highlight w:val="none"/>
        </w:rPr>
      </w:pPr>
      <w:r>
        <w:rPr>
          <w:rFonts w:hint="eastAsia" w:ascii="宋体" w:hAnsi="宋体" w:cs="宋体"/>
          <w:b/>
          <w:highlight w:val="none"/>
        </w:rPr>
        <w:t>十、采购代理服务费</w:t>
      </w:r>
    </w:p>
    <w:p>
      <w:pPr>
        <w:spacing w:line="360" w:lineRule="auto"/>
        <w:ind w:left="962" w:leftChars="200" w:hanging="482" w:hangingChars="200"/>
        <w:rPr>
          <w:rFonts w:ascii="宋体" w:hAnsi="宋体" w:cs="宋体"/>
          <w:b/>
          <w:bCs/>
          <w:highlight w:val="none"/>
        </w:rPr>
      </w:pPr>
      <w:r>
        <w:rPr>
          <w:rFonts w:hint="eastAsia" w:ascii="宋体" w:hAnsi="宋体" w:cs="宋体"/>
          <w:b/>
          <w:bCs/>
          <w:highlight w:val="none"/>
        </w:rPr>
        <w:t>32．采购代理服务费</w:t>
      </w:r>
    </w:p>
    <w:p>
      <w:pPr>
        <w:spacing w:line="360" w:lineRule="auto"/>
        <w:ind w:left="960" w:leftChars="200" w:hanging="480" w:hangingChars="200"/>
        <w:rPr>
          <w:rFonts w:ascii="宋体" w:hAnsi="宋体" w:cs="宋体"/>
          <w:highlight w:val="none"/>
        </w:rPr>
      </w:pPr>
      <w:r>
        <w:rPr>
          <w:rFonts w:hint="eastAsia" w:ascii="宋体" w:hAnsi="宋体" w:cs="宋体"/>
          <w:highlight w:val="none"/>
        </w:rPr>
        <w:t>32.1 中标人必须在领取中标通知书时，按如下标准和规定向采购代理机构直接缴交采购代理服务费。</w:t>
      </w:r>
    </w:p>
    <w:p>
      <w:pPr>
        <w:spacing w:line="360" w:lineRule="auto"/>
        <w:ind w:left="960" w:leftChars="200" w:hanging="480" w:hangingChars="200"/>
        <w:rPr>
          <w:rFonts w:ascii="宋体" w:hAnsi="宋体" w:cs="宋体"/>
          <w:highlight w:val="none"/>
        </w:rPr>
      </w:pPr>
      <w:r>
        <w:rPr>
          <w:rFonts w:hint="eastAsia" w:ascii="宋体" w:hAnsi="宋体" w:cs="宋体"/>
          <w:highlight w:val="none"/>
        </w:rPr>
        <w:t>32.2 约定本项目委托代理服务费为人民币</w:t>
      </w:r>
      <w:r>
        <w:rPr>
          <w:rFonts w:hint="eastAsia" w:ascii="宋体" w:hAnsi="宋体" w:cs="宋体"/>
          <w:highlight w:val="none"/>
          <w:lang w:eastAsia="zh-CN"/>
        </w:rPr>
        <w:t>肆万玖仟元</w:t>
      </w:r>
      <w:r>
        <w:rPr>
          <w:rFonts w:hint="eastAsia" w:ascii="宋体" w:hAnsi="宋体" w:cs="宋体"/>
          <w:highlight w:val="none"/>
        </w:rPr>
        <w:t>整（￥</w:t>
      </w:r>
      <w:r>
        <w:rPr>
          <w:rFonts w:hint="eastAsia" w:ascii="宋体" w:hAnsi="宋体" w:cs="宋体"/>
          <w:highlight w:val="none"/>
          <w:lang w:eastAsia="zh-CN"/>
        </w:rPr>
        <w:t>49,000.00</w:t>
      </w:r>
      <w:r>
        <w:rPr>
          <w:rFonts w:hint="eastAsia" w:ascii="宋体" w:hAnsi="宋体" w:cs="宋体"/>
          <w:highlight w:val="none"/>
        </w:rPr>
        <w:t>元）</w:t>
      </w:r>
    </w:p>
    <w:p>
      <w:pPr>
        <w:spacing w:line="360" w:lineRule="auto"/>
        <w:ind w:left="960" w:leftChars="200" w:hanging="480" w:hangingChars="200"/>
        <w:rPr>
          <w:rFonts w:ascii="宋体" w:hAnsi="宋体" w:cs="宋体"/>
          <w:highlight w:val="none"/>
        </w:rPr>
      </w:pPr>
      <w:r>
        <w:rPr>
          <w:rFonts w:hint="eastAsia" w:ascii="宋体" w:hAnsi="宋体" w:cs="宋体"/>
          <w:highlight w:val="none"/>
        </w:rPr>
        <w:t>32.3 采购代理服务费币种与中标通知书中标价的币种相同。</w:t>
      </w:r>
    </w:p>
    <w:p>
      <w:pPr>
        <w:widowControl w:val="0"/>
        <w:spacing w:line="360" w:lineRule="auto"/>
        <w:ind w:left="996" w:leftChars="170" w:hanging="588" w:hangingChars="244"/>
        <w:rPr>
          <w:rFonts w:ascii="宋体" w:hAnsi="宋体" w:cs="宋体"/>
          <w:b/>
          <w:highlight w:val="none"/>
        </w:rPr>
      </w:pPr>
      <w:r>
        <w:rPr>
          <w:rFonts w:hint="eastAsia" w:ascii="宋体" w:hAnsi="宋体" w:cs="宋体"/>
          <w:b/>
          <w:highlight w:val="none"/>
        </w:rPr>
        <w:t>十一、质疑、答复与投诉事项</w:t>
      </w:r>
    </w:p>
    <w:p>
      <w:pPr>
        <w:spacing w:line="360" w:lineRule="auto"/>
        <w:ind w:left="962" w:leftChars="200" w:hanging="482" w:hangingChars="200"/>
        <w:rPr>
          <w:rFonts w:ascii="宋体" w:hAnsi="宋体" w:cs="宋体"/>
          <w:b/>
          <w:bCs/>
          <w:highlight w:val="none"/>
          <w:lang w:val="zh-CN"/>
        </w:rPr>
      </w:pPr>
      <w:r>
        <w:rPr>
          <w:rFonts w:hint="eastAsia" w:ascii="宋体" w:hAnsi="宋体" w:cs="宋体"/>
          <w:b/>
          <w:bCs/>
          <w:highlight w:val="none"/>
          <w:lang w:val="zh-CN"/>
        </w:rPr>
        <w:t>3</w:t>
      </w:r>
      <w:r>
        <w:rPr>
          <w:rFonts w:hint="eastAsia" w:ascii="宋体" w:hAnsi="宋体" w:cs="宋体"/>
          <w:b/>
          <w:bCs/>
          <w:highlight w:val="none"/>
        </w:rPr>
        <w:t>3．</w:t>
      </w:r>
      <w:r>
        <w:rPr>
          <w:rFonts w:hint="eastAsia" w:ascii="宋体" w:hAnsi="宋体" w:cs="宋体"/>
          <w:b/>
          <w:bCs/>
          <w:highlight w:val="none"/>
          <w:lang w:val="zh-CN"/>
        </w:rPr>
        <w:t>提出质疑</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w:t>
      </w:r>
      <w:r>
        <w:rPr>
          <w:rFonts w:hint="eastAsia" w:ascii="宋体" w:hAnsi="宋体" w:cs="宋体"/>
          <w:highlight w:val="none"/>
        </w:rPr>
        <w:t>3.1 供应商认为本项目招标文件、采购过程、中标或者成交结果使自己的权益受到损害的，可以在知道或者已知其权益受到损害之日起7个工作日内，以书面形式向采购人、采购代理机构提出质疑。</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w:t>
      </w:r>
      <w:r>
        <w:rPr>
          <w:rFonts w:hint="eastAsia" w:ascii="宋体" w:hAnsi="宋体" w:cs="宋体"/>
          <w:highlight w:val="none"/>
        </w:rPr>
        <w:t>3.2 提出质疑的供应商（以下简称质疑供应商）应当是参与所质疑项目采购活动的投标人。潜在投标人已依法获取其可质疑的招标文件的，可以对该文件提出质疑。对招标文件提出质疑的，应当在获取招标文件或者招标文件公告期限届满之日起7个工作日内提出。</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w:t>
      </w:r>
      <w:r>
        <w:rPr>
          <w:rFonts w:hint="eastAsia" w:ascii="宋体" w:hAnsi="宋体" w:cs="宋体"/>
          <w:highlight w:val="none"/>
        </w:rPr>
        <w:t>3.3 供应商在上述法定质疑期内应一次性提出针对同一采购程序环节的质疑。对于供应商反复多次针对同一采购程序环节进行质疑，采购人、采购代理机构有理由认为该供应商存在恶意扰乱本项目招投标活动的行为并依法向财政部门提起投诉。</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33</w:t>
      </w:r>
      <w:r>
        <w:rPr>
          <w:rFonts w:hint="eastAsia" w:ascii="宋体" w:hAnsi="宋体" w:cs="宋体"/>
          <w:highlight w:val="none"/>
        </w:rPr>
        <w:t>.4 供应商提出质疑应当提交质疑函和必要的证明材料。质疑函应当包括下列内容：</w:t>
      </w:r>
    </w:p>
    <w:p>
      <w:pPr>
        <w:spacing w:line="360" w:lineRule="auto"/>
        <w:ind w:left="960" w:leftChars="200" w:hanging="480" w:hangingChars="200"/>
        <w:rPr>
          <w:rFonts w:ascii="宋体" w:hAnsi="宋体" w:cs="宋体"/>
          <w:highlight w:val="none"/>
        </w:rPr>
      </w:pPr>
      <w:r>
        <w:rPr>
          <w:rFonts w:hint="eastAsia" w:ascii="宋体" w:hAnsi="宋体" w:cs="宋体"/>
          <w:highlight w:val="none"/>
        </w:rPr>
        <w:t>（1）供应商的姓名或者名称、地址、邮编、联系人及联系电话；</w:t>
      </w:r>
    </w:p>
    <w:p>
      <w:pPr>
        <w:spacing w:line="360" w:lineRule="auto"/>
        <w:ind w:left="960" w:leftChars="200" w:hanging="480" w:hangingChars="200"/>
        <w:rPr>
          <w:rFonts w:ascii="宋体" w:hAnsi="宋体" w:cs="宋体"/>
          <w:highlight w:val="none"/>
        </w:rPr>
      </w:pPr>
      <w:r>
        <w:rPr>
          <w:rFonts w:hint="eastAsia" w:ascii="宋体" w:hAnsi="宋体" w:cs="宋体"/>
          <w:highlight w:val="none"/>
        </w:rPr>
        <w:t>（2）质疑项目的名称、编号；</w:t>
      </w:r>
    </w:p>
    <w:p>
      <w:pPr>
        <w:spacing w:line="360" w:lineRule="auto"/>
        <w:ind w:left="960" w:leftChars="200" w:hanging="480" w:hangingChars="200"/>
        <w:rPr>
          <w:rFonts w:ascii="宋体" w:hAnsi="宋体" w:cs="宋体"/>
          <w:highlight w:val="none"/>
        </w:rPr>
      </w:pPr>
      <w:r>
        <w:rPr>
          <w:rFonts w:hint="eastAsia" w:ascii="宋体" w:hAnsi="宋体" w:cs="宋体"/>
          <w:highlight w:val="none"/>
        </w:rPr>
        <w:t>（3）具体、明确的质疑事项和与质疑事项相关的请求；</w:t>
      </w:r>
    </w:p>
    <w:p>
      <w:pPr>
        <w:spacing w:line="360" w:lineRule="auto"/>
        <w:ind w:left="960" w:leftChars="200" w:hanging="480" w:hangingChars="200"/>
        <w:rPr>
          <w:rFonts w:ascii="宋体" w:hAnsi="宋体" w:cs="宋体"/>
          <w:highlight w:val="none"/>
        </w:rPr>
      </w:pPr>
      <w:r>
        <w:rPr>
          <w:rFonts w:hint="eastAsia" w:ascii="宋体" w:hAnsi="宋体" w:cs="宋体"/>
          <w:highlight w:val="none"/>
        </w:rPr>
        <w:t>（4）事实依据；</w:t>
      </w:r>
    </w:p>
    <w:p>
      <w:pPr>
        <w:spacing w:line="360" w:lineRule="auto"/>
        <w:ind w:left="960" w:leftChars="200" w:hanging="480" w:hangingChars="200"/>
        <w:rPr>
          <w:rFonts w:ascii="宋体" w:hAnsi="宋体" w:cs="宋体"/>
          <w:highlight w:val="none"/>
        </w:rPr>
      </w:pPr>
      <w:r>
        <w:rPr>
          <w:rFonts w:hint="eastAsia" w:ascii="宋体" w:hAnsi="宋体" w:cs="宋体"/>
          <w:highlight w:val="none"/>
        </w:rPr>
        <w:t>（5）必要的法律依据；</w:t>
      </w:r>
    </w:p>
    <w:p>
      <w:pPr>
        <w:spacing w:line="360" w:lineRule="auto"/>
        <w:ind w:left="960" w:leftChars="200" w:hanging="480" w:hangingChars="200"/>
        <w:rPr>
          <w:rFonts w:ascii="宋体" w:hAnsi="宋体" w:cs="宋体"/>
          <w:highlight w:val="none"/>
        </w:rPr>
      </w:pPr>
      <w:r>
        <w:rPr>
          <w:rFonts w:hint="eastAsia" w:ascii="宋体" w:hAnsi="宋体" w:cs="宋体"/>
          <w:highlight w:val="none"/>
        </w:rPr>
        <w:t>（6）提出质疑的日期。</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33</w:t>
      </w:r>
      <w:r>
        <w:rPr>
          <w:rFonts w:hint="eastAsia" w:ascii="宋体" w:hAnsi="宋体" w:cs="宋体"/>
          <w:highlight w:val="none"/>
        </w:rPr>
        <w:t>.5 供应商为自然人的，应当由本人签字；供应商为法人或者其他组织的，应当由法定代表人（或负责人）、主要负责人，或者其授权代表签字或者盖章，并加盖公章。</w:t>
      </w:r>
    </w:p>
    <w:p>
      <w:pPr>
        <w:widowControl w:val="0"/>
        <w:spacing w:line="360" w:lineRule="auto"/>
        <w:ind w:left="996" w:leftChars="170" w:hanging="588" w:hangingChars="244"/>
        <w:rPr>
          <w:rFonts w:ascii="宋体" w:hAnsi="宋体" w:cs="宋体"/>
          <w:b/>
          <w:bCs/>
          <w:szCs w:val="21"/>
          <w:highlight w:val="none"/>
          <w:lang w:val="zh-CN"/>
        </w:rPr>
      </w:pPr>
      <w:r>
        <w:rPr>
          <w:rFonts w:hint="eastAsia" w:ascii="宋体" w:hAnsi="宋体" w:cs="宋体"/>
          <w:b/>
          <w:bCs/>
          <w:szCs w:val="21"/>
          <w:highlight w:val="none"/>
          <w:lang w:val="zh-CN"/>
        </w:rPr>
        <w:t>34</w:t>
      </w:r>
      <w:r>
        <w:rPr>
          <w:rFonts w:hint="eastAsia" w:ascii="宋体" w:hAnsi="宋体" w:cs="宋体"/>
          <w:b/>
          <w:bCs/>
          <w:highlight w:val="none"/>
        </w:rPr>
        <w:t>．</w:t>
      </w:r>
      <w:r>
        <w:rPr>
          <w:rFonts w:hint="eastAsia" w:ascii="宋体" w:hAnsi="宋体" w:cs="宋体"/>
          <w:b/>
          <w:bCs/>
          <w:szCs w:val="21"/>
          <w:highlight w:val="none"/>
          <w:lang w:val="zh-CN"/>
        </w:rPr>
        <w:t>质疑</w:t>
      </w:r>
      <w:r>
        <w:rPr>
          <w:rFonts w:hint="eastAsia" w:ascii="宋体" w:hAnsi="宋体" w:cs="宋体"/>
          <w:b/>
          <w:bCs/>
          <w:highlight w:val="none"/>
        </w:rPr>
        <w:t>答复</w:t>
      </w:r>
    </w:p>
    <w:p>
      <w:pPr>
        <w:widowControl w:val="0"/>
        <w:spacing w:line="360" w:lineRule="auto"/>
        <w:ind w:left="993" w:leftChars="170" w:hanging="585" w:hangingChars="244"/>
        <w:rPr>
          <w:rFonts w:ascii="宋体" w:hAnsi="宋体" w:cs="宋体"/>
          <w:highlight w:val="none"/>
        </w:rPr>
      </w:pPr>
      <w:r>
        <w:rPr>
          <w:rFonts w:hint="eastAsia" w:ascii="宋体" w:hAnsi="宋体" w:cs="宋体"/>
          <w:szCs w:val="21"/>
          <w:highlight w:val="none"/>
          <w:lang w:val="zh-CN"/>
        </w:rPr>
        <w:t>34</w:t>
      </w:r>
      <w:r>
        <w:rPr>
          <w:rFonts w:hint="eastAsia" w:ascii="宋体" w:hAnsi="宋体" w:cs="宋体"/>
          <w:szCs w:val="21"/>
          <w:highlight w:val="none"/>
        </w:rPr>
        <w:t>.1 采购人、采购代理机构将在收到质疑函后的7个工作日内作出答复，答复涉及对项目</w:t>
      </w:r>
      <w:r>
        <w:rPr>
          <w:rFonts w:hint="eastAsia" w:ascii="宋体" w:hAnsi="宋体" w:cs="宋体"/>
          <w:highlight w:val="none"/>
        </w:rPr>
        <w:t>招标内容进行修改的会以书面形式通知质疑供应商和其他有关供应商。</w:t>
      </w:r>
    </w:p>
    <w:p>
      <w:pPr>
        <w:widowControl w:val="0"/>
        <w:spacing w:line="360" w:lineRule="auto"/>
        <w:ind w:left="993" w:leftChars="170" w:hanging="585" w:hangingChars="244"/>
        <w:rPr>
          <w:rFonts w:ascii="宋体" w:hAnsi="宋体" w:cs="宋体"/>
          <w:szCs w:val="21"/>
          <w:highlight w:val="none"/>
        </w:rPr>
      </w:pPr>
      <w:r>
        <w:rPr>
          <w:rFonts w:hint="eastAsia" w:ascii="宋体" w:hAnsi="宋体" w:cs="宋体"/>
          <w:szCs w:val="21"/>
          <w:highlight w:val="none"/>
          <w:lang w:val="zh-CN"/>
        </w:rPr>
        <w:t>34</w:t>
      </w:r>
      <w:r>
        <w:rPr>
          <w:rFonts w:hint="eastAsia" w:ascii="宋体" w:hAnsi="宋体" w:cs="宋体"/>
          <w:highlight w:val="none"/>
        </w:rPr>
        <w:t>.2 采购人、</w:t>
      </w:r>
      <w:r>
        <w:rPr>
          <w:rFonts w:hint="eastAsia" w:ascii="宋体" w:hAnsi="宋体" w:cs="宋体"/>
          <w:szCs w:val="21"/>
          <w:highlight w:val="none"/>
        </w:rPr>
        <w:t>采购代理机构认为供应商质疑不成立，或者成立但未对中标、成交结果构成影响的，将仅对质疑供应商进行答复，并继续开展采购活动。</w:t>
      </w:r>
    </w:p>
    <w:p>
      <w:pPr>
        <w:widowControl w:val="0"/>
        <w:spacing w:line="360" w:lineRule="auto"/>
        <w:ind w:left="993" w:leftChars="170" w:hanging="585" w:hangingChars="244"/>
        <w:rPr>
          <w:rFonts w:ascii="宋体" w:hAnsi="宋体" w:cs="宋体"/>
          <w:szCs w:val="21"/>
          <w:highlight w:val="none"/>
        </w:rPr>
      </w:pPr>
      <w:r>
        <w:rPr>
          <w:rFonts w:hint="eastAsia" w:ascii="宋体" w:hAnsi="宋体" w:cs="宋体"/>
          <w:szCs w:val="21"/>
          <w:highlight w:val="none"/>
          <w:lang w:val="zh-CN"/>
        </w:rPr>
        <w:t>34</w:t>
      </w:r>
      <w:r>
        <w:rPr>
          <w:rFonts w:hint="eastAsia" w:ascii="宋体" w:hAnsi="宋体" w:cs="宋体"/>
          <w:szCs w:val="21"/>
          <w:highlight w:val="none"/>
        </w:rPr>
        <w:t>.3 对于质疑内容涉及商业秘密的，采购人、采购代理机构可以拒绝对该内容作出答复。</w:t>
      </w:r>
    </w:p>
    <w:p>
      <w:pPr>
        <w:spacing w:line="360" w:lineRule="auto"/>
        <w:ind w:left="962" w:leftChars="200" w:hanging="482" w:hangingChars="200"/>
        <w:rPr>
          <w:rFonts w:ascii="宋体" w:hAnsi="宋体" w:cs="宋体"/>
          <w:b/>
          <w:bCs/>
          <w:highlight w:val="none"/>
          <w:lang w:val="zh-CN"/>
        </w:rPr>
      </w:pPr>
      <w:r>
        <w:rPr>
          <w:rFonts w:hint="eastAsia" w:ascii="宋体" w:hAnsi="宋体" w:cs="宋体"/>
          <w:b/>
          <w:bCs/>
          <w:highlight w:val="none"/>
          <w:lang w:val="zh-CN"/>
        </w:rPr>
        <w:t>35</w:t>
      </w:r>
      <w:r>
        <w:rPr>
          <w:rFonts w:hint="eastAsia" w:ascii="宋体" w:hAnsi="宋体" w:cs="宋体"/>
          <w:b/>
          <w:bCs/>
          <w:highlight w:val="none"/>
        </w:rPr>
        <w:t>．</w:t>
      </w:r>
      <w:r>
        <w:rPr>
          <w:rFonts w:hint="eastAsia" w:ascii="宋体" w:hAnsi="宋体" w:cs="宋体"/>
          <w:b/>
          <w:bCs/>
          <w:highlight w:val="none"/>
          <w:lang w:val="zh-CN"/>
        </w:rPr>
        <w:t>投诉提起</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35</w:t>
      </w:r>
      <w:r>
        <w:rPr>
          <w:rFonts w:hint="eastAsia" w:ascii="宋体" w:hAnsi="宋体" w:cs="宋体"/>
          <w:highlight w:val="none"/>
        </w:rPr>
        <w:t>.1 质疑供应商对采购人、采购代理机构的答复不满意，或者采购人、采购代理机构未在规定时间内作出答复的，可以在答复期满后15个工作日内向财政部门提起投诉。</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35</w:t>
      </w:r>
      <w:r>
        <w:rPr>
          <w:rFonts w:hint="eastAsia" w:ascii="宋体" w:hAnsi="宋体" w:cs="宋体"/>
          <w:highlight w:val="none"/>
        </w:rPr>
        <w:t>.2 投诉人投诉时，应当提交投诉书和必要的证明材料，并按照被投诉的采购人或采购代理机构（以下简称被投诉人）和与投诉事项有关的供应商数量提供投诉书的副本。投诉书应当包括下列内容：</w:t>
      </w:r>
    </w:p>
    <w:p>
      <w:pPr>
        <w:spacing w:line="360" w:lineRule="auto"/>
        <w:ind w:left="960" w:leftChars="200" w:hanging="480" w:hangingChars="200"/>
        <w:rPr>
          <w:rFonts w:ascii="宋体" w:hAnsi="宋体" w:cs="宋体"/>
          <w:highlight w:val="none"/>
        </w:rPr>
      </w:pPr>
      <w:r>
        <w:rPr>
          <w:rFonts w:hint="eastAsia" w:ascii="宋体" w:hAnsi="宋体" w:cs="宋体"/>
          <w:highlight w:val="none"/>
        </w:rPr>
        <w:t>（1）投诉人和被投诉人的姓名或者名称、通讯地址、邮编、联系人及联系电话；</w:t>
      </w:r>
    </w:p>
    <w:p>
      <w:pPr>
        <w:spacing w:line="360" w:lineRule="auto"/>
        <w:ind w:left="960" w:leftChars="200" w:hanging="480" w:hangingChars="200"/>
        <w:rPr>
          <w:rFonts w:ascii="宋体" w:hAnsi="宋体" w:cs="宋体"/>
          <w:highlight w:val="none"/>
        </w:rPr>
      </w:pPr>
      <w:r>
        <w:rPr>
          <w:rFonts w:hint="eastAsia" w:ascii="宋体" w:hAnsi="宋体" w:cs="宋体"/>
          <w:highlight w:val="none"/>
        </w:rPr>
        <w:t>（2）质疑和质疑答复情况说明及相关证明材料；</w:t>
      </w:r>
    </w:p>
    <w:p>
      <w:pPr>
        <w:spacing w:line="360" w:lineRule="auto"/>
        <w:ind w:left="960" w:leftChars="200" w:hanging="480" w:hangingChars="200"/>
        <w:rPr>
          <w:rFonts w:ascii="宋体" w:hAnsi="宋体" w:cs="宋体"/>
          <w:highlight w:val="none"/>
        </w:rPr>
      </w:pPr>
      <w:r>
        <w:rPr>
          <w:rFonts w:hint="eastAsia" w:ascii="宋体" w:hAnsi="宋体" w:cs="宋体"/>
          <w:highlight w:val="none"/>
        </w:rPr>
        <w:t>（3）具体、明确的投诉事项和与投诉事项相关的投诉请求；</w:t>
      </w:r>
    </w:p>
    <w:p>
      <w:pPr>
        <w:spacing w:line="360" w:lineRule="auto"/>
        <w:ind w:left="960" w:leftChars="200" w:hanging="480" w:hangingChars="200"/>
        <w:rPr>
          <w:rFonts w:ascii="宋体" w:hAnsi="宋体" w:cs="宋体"/>
          <w:highlight w:val="none"/>
        </w:rPr>
      </w:pPr>
      <w:r>
        <w:rPr>
          <w:rFonts w:hint="eastAsia" w:ascii="宋体" w:hAnsi="宋体" w:cs="宋体"/>
          <w:highlight w:val="none"/>
        </w:rPr>
        <w:t>（4）事实依据；</w:t>
      </w:r>
    </w:p>
    <w:p>
      <w:pPr>
        <w:spacing w:line="360" w:lineRule="auto"/>
        <w:ind w:left="960" w:leftChars="200" w:hanging="480" w:hangingChars="200"/>
        <w:rPr>
          <w:rFonts w:ascii="宋体" w:hAnsi="宋体" w:cs="宋体"/>
          <w:highlight w:val="none"/>
        </w:rPr>
      </w:pPr>
      <w:r>
        <w:rPr>
          <w:rFonts w:hint="eastAsia" w:ascii="宋体" w:hAnsi="宋体" w:cs="宋体"/>
          <w:highlight w:val="none"/>
        </w:rPr>
        <w:t>（5）法律依据；</w:t>
      </w:r>
    </w:p>
    <w:p>
      <w:pPr>
        <w:spacing w:line="360" w:lineRule="auto"/>
        <w:ind w:left="960" w:leftChars="200" w:hanging="480" w:hangingChars="200"/>
        <w:rPr>
          <w:rFonts w:ascii="宋体" w:hAnsi="宋体" w:cs="宋体"/>
          <w:highlight w:val="none"/>
        </w:rPr>
      </w:pPr>
      <w:r>
        <w:rPr>
          <w:rFonts w:hint="eastAsia" w:ascii="宋体" w:hAnsi="宋体" w:cs="宋体"/>
          <w:highlight w:val="none"/>
        </w:rPr>
        <w:t>（6）提起投诉的日期。</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35</w:t>
      </w:r>
      <w:r>
        <w:rPr>
          <w:rFonts w:hint="eastAsia" w:ascii="宋体" w:hAnsi="宋体" w:cs="宋体"/>
          <w:highlight w:val="none"/>
        </w:rPr>
        <w:t>.3 投诉人为自然人的，应当由本人签字；投诉人为法人或者其他组织的，应当由法定代表人（或负责人）、主要负责人，或者其授权代表签字或者盖章，并加盖公章。</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35</w:t>
      </w:r>
      <w:r>
        <w:rPr>
          <w:rFonts w:hint="eastAsia" w:ascii="宋体" w:hAnsi="宋体" w:cs="宋体"/>
          <w:highlight w:val="none"/>
        </w:rPr>
        <w:t>.4 投诉人提起投诉应当符合下列条件：</w:t>
      </w:r>
    </w:p>
    <w:p>
      <w:pPr>
        <w:spacing w:line="360" w:lineRule="auto"/>
        <w:ind w:left="960" w:leftChars="200" w:hanging="480" w:hangingChars="200"/>
        <w:rPr>
          <w:rFonts w:ascii="宋体" w:hAnsi="宋体" w:cs="宋体"/>
          <w:highlight w:val="none"/>
        </w:rPr>
      </w:pPr>
      <w:r>
        <w:rPr>
          <w:rFonts w:hint="eastAsia" w:ascii="宋体" w:hAnsi="宋体" w:cs="宋体"/>
          <w:highlight w:val="none"/>
        </w:rPr>
        <w:t>（1）提起投诉前已依法进行质疑；</w:t>
      </w:r>
    </w:p>
    <w:p>
      <w:pPr>
        <w:spacing w:line="360" w:lineRule="auto"/>
        <w:ind w:left="960" w:leftChars="200" w:hanging="480" w:hangingChars="200"/>
        <w:rPr>
          <w:rFonts w:ascii="宋体" w:hAnsi="宋体" w:cs="宋体"/>
          <w:highlight w:val="none"/>
        </w:rPr>
      </w:pPr>
      <w:r>
        <w:rPr>
          <w:rFonts w:hint="eastAsia" w:ascii="宋体" w:hAnsi="宋体" w:cs="宋体"/>
          <w:highlight w:val="none"/>
        </w:rPr>
        <w:t>（2）投诉书内容符合本须知第35.2条的规定；</w:t>
      </w:r>
    </w:p>
    <w:p>
      <w:pPr>
        <w:spacing w:line="360" w:lineRule="auto"/>
        <w:ind w:left="960" w:leftChars="200" w:hanging="480" w:hangingChars="200"/>
        <w:rPr>
          <w:rFonts w:ascii="宋体" w:hAnsi="宋体" w:cs="宋体"/>
          <w:highlight w:val="none"/>
        </w:rPr>
      </w:pPr>
      <w:r>
        <w:rPr>
          <w:rFonts w:hint="eastAsia" w:ascii="宋体" w:hAnsi="宋体" w:cs="宋体"/>
          <w:highlight w:val="none"/>
        </w:rPr>
        <w:t>（3）在投诉有效期限内提起投诉；</w:t>
      </w:r>
    </w:p>
    <w:p>
      <w:pPr>
        <w:spacing w:line="360" w:lineRule="auto"/>
        <w:ind w:left="960" w:leftChars="200" w:hanging="480" w:hangingChars="200"/>
        <w:rPr>
          <w:rFonts w:ascii="宋体" w:hAnsi="宋体" w:cs="宋体"/>
          <w:highlight w:val="none"/>
        </w:rPr>
      </w:pPr>
      <w:r>
        <w:rPr>
          <w:rFonts w:hint="eastAsia" w:ascii="宋体" w:hAnsi="宋体" w:cs="宋体"/>
          <w:highlight w:val="none"/>
        </w:rPr>
        <w:t>（4）同一投诉事项未经财政部门投诉处理；</w:t>
      </w:r>
    </w:p>
    <w:p>
      <w:pPr>
        <w:spacing w:line="360" w:lineRule="auto"/>
        <w:ind w:left="960" w:leftChars="200" w:hanging="480" w:hangingChars="200"/>
        <w:rPr>
          <w:rFonts w:ascii="宋体" w:hAnsi="宋体" w:cs="宋体"/>
          <w:highlight w:val="none"/>
        </w:rPr>
      </w:pPr>
      <w:r>
        <w:rPr>
          <w:rFonts w:hint="eastAsia" w:ascii="宋体" w:hAnsi="宋体" w:cs="宋体"/>
          <w:highlight w:val="none"/>
        </w:rPr>
        <w:t>（5）财政部规定的其他条件。</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35</w:t>
      </w:r>
      <w:r>
        <w:rPr>
          <w:rFonts w:hint="eastAsia" w:ascii="宋体" w:hAnsi="宋体" w:cs="宋体"/>
          <w:highlight w:val="none"/>
        </w:rPr>
        <w:t>.5 供应商投诉的事项不得超出已质疑事项的范围，但基于质疑答复内容提出的投诉事项除外。</w:t>
      </w:r>
    </w:p>
    <w:p>
      <w:pPr>
        <w:spacing w:line="360" w:lineRule="auto"/>
        <w:ind w:left="962" w:leftChars="200" w:hanging="482" w:hangingChars="200"/>
        <w:rPr>
          <w:rFonts w:ascii="宋体" w:hAnsi="宋体" w:cs="宋体"/>
          <w:b/>
          <w:bCs/>
          <w:highlight w:val="none"/>
          <w:lang w:val="zh-CN"/>
        </w:rPr>
      </w:pPr>
      <w:r>
        <w:rPr>
          <w:rFonts w:hint="eastAsia" w:ascii="宋体" w:hAnsi="宋体" w:cs="宋体"/>
          <w:b/>
          <w:bCs/>
          <w:highlight w:val="none"/>
          <w:lang w:val="zh-CN"/>
        </w:rPr>
        <w:t>36</w:t>
      </w:r>
      <w:r>
        <w:rPr>
          <w:rFonts w:hint="eastAsia" w:ascii="宋体" w:hAnsi="宋体" w:cs="宋体"/>
          <w:b/>
          <w:bCs/>
          <w:highlight w:val="none"/>
        </w:rPr>
        <w:t>．</w:t>
      </w:r>
      <w:r>
        <w:rPr>
          <w:rFonts w:hint="eastAsia" w:ascii="宋体" w:hAnsi="宋体" w:cs="宋体"/>
          <w:b/>
          <w:bCs/>
          <w:highlight w:val="none"/>
          <w:lang w:val="zh-CN"/>
        </w:rPr>
        <w:t>其他</w:t>
      </w:r>
      <w:r>
        <w:rPr>
          <w:rFonts w:hint="eastAsia" w:ascii="宋体" w:hAnsi="宋体" w:cs="宋体"/>
          <w:b/>
          <w:bCs/>
          <w:highlight w:val="none"/>
        </w:rPr>
        <w:t>事项</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36</w:t>
      </w:r>
      <w:r>
        <w:rPr>
          <w:rFonts w:hint="eastAsia" w:ascii="宋体" w:hAnsi="宋体" w:cs="宋体"/>
          <w:highlight w:val="none"/>
        </w:rPr>
        <w:t>.1 投诉人在全国范围12个月内三次以上投诉查无实据的，由财政部门列入不良行为记录名单。</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36</w:t>
      </w:r>
      <w:r>
        <w:rPr>
          <w:rFonts w:hint="eastAsia" w:ascii="宋体" w:hAnsi="宋体" w:cs="宋体"/>
          <w:highlight w:val="none"/>
        </w:rPr>
        <w:t>.2 投诉人有下列行为之一的，属于虚假、恶意投诉，由财政部门列入不良行为记录名单，禁止其1至3年内参加政府采购活动：</w:t>
      </w:r>
    </w:p>
    <w:p>
      <w:pPr>
        <w:spacing w:line="360" w:lineRule="auto"/>
        <w:ind w:left="960" w:leftChars="200" w:hanging="480" w:hangingChars="200"/>
        <w:rPr>
          <w:rFonts w:ascii="宋体" w:hAnsi="宋体" w:cs="宋体"/>
          <w:highlight w:val="none"/>
        </w:rPr>
      </w:pPr>
      <w:r>
        <w:rPr>
          <w:rFonts w:hint="eastAsia" w:ascii="宋体" w:hAnsi="宋体" w:cs="宋体"/>
          <w:highlight w:val="none"/>
        </w:rPr>
        <w:t>（1）捏造事实；</w:t>
      </w:r>
    </w:p>
    <w:p>
      <w:pPr>
        <w:spacing w:line="360" w:lineRule="auto"/>
        <w:ind w:left="960" w:leftChars="200" w:hanging="480" w:hangingChars="200"/>
        <w:rPr>
          <w:rFonts w:ascii="宋体" w:hAnsi="宋体" w:cs="宋体"/>
          <w:highlight w:val="none"/>
        </w:rPr>
      </w:pPr>
      <w:r>
        <w:rPr>
          <w:rFonts w:hint="eastAsia" w:ascii="宋体" w:hAnsi="宋体" w:cs="宋体"/>
          <w:highlight w:val="none"/>
        </w:rPr>
        <w:t>（2）提供虚假材料；</w:t>
      </w:r>
    </w:p>
    <w:p>
      <w:pPr>
        <w:spacing w:line="360" w:lineRule="auto"/>
        <w:ind w:left="960" w:leftChars="200" w:hanging="480" w:hangingChars="200"/>
        <w:rPr>
          <w:rFonts w:ascii="宋体" w:hAnsi="宋体" w:cs="宋体"/>
          <w:highlight w:val="none"/>
        </w:rPr>
      </w:pPr>
      <w:r>
        <w:rPr>
          <w:rFonts w:hint="eastAsia" w:ascii="宋体" w:hAnsi="宋体" w:cs="宋体"/>
          <w:highlight w:val="none"/>
        </w:rPr>
        <w:t>（3）以非法手段取得证明材料。证据来源的合法性存在明显疑问，投诉人无法证明其取得方式合法的，视为以非法手段取得证明材料。</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36</w:t>
      </w:r>
      <w:r>
        <w:rPr>
          <w:rFonts w:hint="eastAsia" w:ascii="宋体" w:hAnsi="宋体" w:cs="宋体"/>
          <w:highlight w:val="none"/>
        </w:rPr>
        <w:t>.3 质疑函和投诉书应当使用中文，提供外文书面材料或者外语视听资料的，应当附有中文译本，译本须由翻译机构盖章或者翻译人员签名。</w:t>
      </w:r>
    </w:p>
    <w:p>
      <w:pPr>
        <w:spacing w:line="360" w:lineRule="auto"/>
        <w:ind w:left="960" w:leftChars="200" w:hanging="480" w:hangingChars="200"/>
        <w:rPr>
          <w:rFonts w:ascii="宋体" w:hAnsi="宋体" w:cs="宋体"/>
          <w:highlight w:val="none"/>
        </w:rPr>
      </w:pPr>
      <w:r>
        <w:rPr>
          <w:rFonts w:hint="eastAsia" w:ascii="宋体" w:hAnsi="宋体" w:cs="宋体"/>
          <w:highlight w:val="none"/>
          <w:lang w:val="zh-CN"/>
        </w:rPr>
        <w:t>36</w:t>
      </w:r>
      <w:r>
        <w:rPr>
          <w:rFonts w:hint="eastAsia" w:ascii="宋体" w:hAnsi="宋体" w:cs="宋体"/>
          <w:highlight w:val="none"/>
        </w:rPr>
        <w:t>.4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12"/>
        <w:spacing w:line="360" w:lineRule="auto"/>
        <w:rPr>
          <w:rFonts w:cs="宋体"/>
          <w:b/>
          <w:bCs/>
          <w:sz w:val="32"/>
          <w:szCs w:val="32"/>
          <w:highlight w:val="none"/>
        </w:rPr>
      </w:pPr>
      <w:r>
        <w:rPr>
          <w:rFonts w:hint="eastAsia" w:cs="宋体"/>
          <w:highlight w:val="none"/>
          <w:lang w:val="zh-CN"/>
        </w:rPr>
        <w:br w:type="page"/>
      </w:r>
      <w:r>
        <w:rPr>
          <w:rFonts w:hint="eastAsia" w:cs="宋体"/>
          <w:b/>
          <w:bCs/>
          <w:sz w:val="32"/>
          <w:szCs w:val="32"/>
          <w:highlight w:val="none"/>
        </w:rPr>
        <w:t>附件：评标办法</w:t>
      </w:r>
    </w:p>
    <w:p>
      <w:pPr>
        <w:pStyle w:val="12"/>
        <w:spacing w:line="360" w:lineRule="auto"/>
        <w:rPr>
          <w:rFonts w:cs="宋体"/>
          <w:b/>
          <w:bCs/>
          <w:sz w:val="28"/>
          <w:highlight w:val="none"/>
        </w:rPr>
      </w:pPr>
      <w:r>
        <w:rPr>
          <w:rFonts w:hint="eastAsia" w:cs="宋体"/>
          <w:b/>
          <w:bCs/>
          <w:sz w:val="28"/>
          <w:highlight w:val="none"/>
        </w:rPr>
        <w:t>一、说明</w:t>
      </w:r>
    </w:p>
    <w:p>
      <w:pPr>
        <w:pStyle w:val="12"/>
        <w:spacing w:line="360" w:lineRule="auto"/>
        <w:rPr>
          <w:rFonts w:cs="宋体"/>
          <w:b/>
          <w:highlight w:val="none"/>
        </w:rPr>
      </w:pPr>
      <w:r>
        <w:rPr>
          <w:rFonts w:hint="eastAsia" w:cs="宋体"/>
          <w:b/>
          <w:highlight w:val="none"/>
        </w:rPr>
        <w:t>1. 概述</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参照《中华人民共和国政府采购法》、《政府采购评审专家管理办法》和国家及地方采购有关文件精神，在</w:t>
      </w:r>
      <w:r>
        <w:rPr>
          <w:rFonts w:hint="eastAsia" w:cs="宋体"/>
          <w:sz w:val="24"/>
          <w:highlight w:val="none"/>
          <w:lang w:eastAsia="zh-CN"/>
        </w:rPr>
        <w:t>国家税务总局广东潮州经济开发区税务局后勤综合服务项目</w:t>
      </w:r>
      <w:r>
        <w:rPr>
          <w:rFonts w:hint="eastAsia" w:cs="宋体"/>
          <w:sz w:val="24"/>
          <w:highlight w:val="none"/>
        </w:rPr>
        <w:t xml:space="preserve"> （以下简称项目）招标公开、公平、公正的基础上，结合项目的技术和商务需求，由采购代理机构制定本评标文件，评标委员会确认。内容包括本次评标的评审过程和方法。</w:t>
      </w:r>
    </w:p>
    <w:p>
      <w:pPr>
        <w:pStyle w:val="12"/>
        <w:spacing w:line="360" w:lineRule="auto"/>
        <w:rPr>
          <w:rFonts w:cs="宋体"/>
          <w:b/>
          <w:highlight w:val="none"/>
        </w:rPr>
      </w:pPr>
      <w:r>
        <w:rPr>
          <w:rFonts w:hint="eastAsia" w:cs="宋体"/>
          <w:b/>
          <w:highlight w:val="none"/>
        </w:rPr>
        <w:t>2. 定义</w:t>
      </w:r>
    </w:p>
    <w:p>
      <w:pPr>
        <w:pStyle w:val="13"/>
        <w:adjustRightInd w:val="0"/>
        <w:snapToGrid w:val="0"/>
        <w:spacing w:line="360" w:lineRule="auto"/>
        <w:ind w:firstLine="482" w:firstLineChars="200"/>
        <w:rPr>
          <w:rFonts w:cs="宋体"/>
          <w:sz w:val="24"/>
          <w:highlight w:val="none"/>
        </w:rPr>
      </w:pPr>
      <w:r>
        <w:rPr>
          <w:rFonts w:hint="eastAsia" w:cs="宋体"/>
          <w:b/>
          <w:bCs/>
          <w:sz w:val="24"/>
          <w:highlight w:val="none"/>
        </w:rPr>
        <w:t>采 购 人：</w:t>
      </w:r>
      <w:r>
        <w:rPr>
          <w:rFonts w:hint="eastAsia" w:cs="宋体"/>
          <w:sz w:val="24"/>
          <w:highlight w:val="none"/>
        </w:rPr>
        <w:t>系指用户单位，即</w:t>
      </w:r>
      <w:r>
        <w:rPr>
          <w:rFonts w:hint="eastAsia" w:cs="宋体"/>
          <w:sz w:val="24"/>
          <w:highlight w:val="none"/>
          <w:lang w:eastAsia="zh-CN"/>
        </w:rPr>
        <w:t>国家税务总局广东潮州经济开发区税务局</w:t>
      </w:r>
      <w:r>
        <w:rPr>
          <w:rFonts w:hint="eastAsia" w:cs="宋体"/>
          <w:sz w:val="24"/>
          <w:highlight w:val="none"/>
        </w:rPr>
        <w:t>。</w:t>
      </w:r>
    </w:p>
    <w:p>
      <w:pPr>
        <w:pStyle w:val="13"/>
        <w:adjustRightInd w:val="0"/>
        <w:snapToGrid w:val="0"/>
        <w:spacing w:line="360" w:lineRule="auto"/>
        <w:ind w:firstLine="482" w:firstLineChars="200"/>
        <w:rPr>
          <w:rFonts w:cs="宋体"/>
          <w:sz w:val="24"/>
          <w:highlight w:val="none"/>
        </w:rPr>
      </w:pPr>
      <w:r>
        <w:rPr>
          <w:rFonts w:hint="eastAsia" w:cs="宋体"/>
          <w:b/>
          <w:bCs/>
          <w:sz w:val="24"/>
          <w:highlight w:val="none"/>
        </w:rPr>
        <w:t>采购代理机构：</w:t>
      </w:r>
      <w:r>
        <w:rPr>
          <w:rFonts w:hint="eastAsia" w:cs="宋体"/>
          <w:sz w:val="24"/>
          <w:highlight w:val="none"/>
        </w:rPr>
        <w:t>指本招标文件规定之招标机构，即公诚管理咨询有限公司。</w:t>
      </w:r>
    </w:p>
    <w:p>
      <w:pPr>
        <w:pStyle w:val="12"/>
        <w:spacing w:line="360" w:lineRule="auto"/>
        <w:rPr>
          <w:rFonts w:cs="宋体"/>
          <w:b/>
          <w:highlight w:val="none"/>
        </w:rPr>
      </w:pPr>
      <w:r>
        <w:rPr>
          <w:rFonts w:hint="eastAsia" w:cs="宋体"/>
          <w:b/>
          <w:highlight w:val="none"/>
        </w:rPr>
        <w:t>3. 评标委员会组成</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本项目的评标由依法组建的评标委员会负责，其成员由采购人代表和有关技术、经济等方面的评审专家共5人组成。评审专家依法从广东省政府采购评审专家库中随机抽取产生，采购代理机构工作人员不作为评标委员会成员。</w:t>
      </w:r>
    </w:p>
    <w:p>
      <w:pPr>
        <w:pStyle w:val="12"/>
        <w:spacing w:line="360" w:lineRule="auto"/>
        <w:rPr>
          <w:rFonts w:cs="宋体"/>
          <w:b/>
          <w:bCs/>
          <w:sz w:val="28"/>
          <w:highlight w:val="none"/>
        </w:rPr>
      </w:pPr>
      <w:r>
        <w:rPr>
          <w:rFonts w:hint="eastAsia" w:cs="宋体"/>
          <w:b/>
          <w:bCs/>
          <w:sz w:val="28"/>
          <w:highlight w:val="none"/>
        </w:rPr>
        <w:t>二、评标须知</w:t>
      </w:r>
    </w:p>
    <w:p>
      <w:pPr>
        <w:pStyle w:val="12"/>
        <w:spacing w:line="360" w:lineRule="auto"/>
        <w:rPr>
          <w:rFonts w:cs="宋体"/>
          <w:b/>
          <w:highlight w:val="none"/>
        </w:rPr>
      </w:pPr>
      <w:r>
        <w:rPr>
          <w:rFonts w:hint="eastAsia" w:cs="宋体"/>
          <w:b/>
          <w:highlight w:val="none"/>
        </w:rPr>
        <w:t>1. 关于评标方案</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（1）评标委员会的每位成员（简称评委）应认真地阅读并确认已经正确理解了评标方案；</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（2）评委如对评标方案有异议，应在评标开始前提出。</w:t>
      </w:r>
    </w:p>
    <w:p>
      <w:pPr>
        <w:pStyle w:val="12"/>
        <w:spacing w:line="360" w:lineRule="auto"/>
        <w:rPr>
          <w:rFonts w:cs="宋体"/>
          <w:b/>
          <w:highlight w:val="none"/>
        </w:rPr>
      </w:pPr>
      <w:r>
        <w:rPr>
          <w:rFonts w:hint="eastAsia" w:cs="宋体"/>
          <w:b/>
          <w:highlight w:val="none"/>
        </w:rPr>
        <w:t>2. 关于评标纪律</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（1）评标委员会成员不得与任何投标人或者与招标结果有利害关系的人进行私下接触，不得收受投标人、中介人、其他利害关系人的财物或者其他好处；</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（2）评委应本着客观、公正的原则独立给出评价意见；</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（3）评委之间不得相互串通进行评分；</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（4）评委不得试图影响其他评委的评价意见。</w:t>
      </w:r>
    </w:p>
    <w:p>
      <w:pPr>
        <w:pStyle w:val="12"/>
        <w:spacing w:line="360" w:lineRule="auto"/>
        <w:rPr>
          <w:rFonts w:cs="宋体"/>
          <w:b/>
          <w:highlight w:val="none"/>
        </w:rPr>
      </w:pPr>
      <w:r>
        <w:rPr>
          <w:rFonts w:hint="eastAsia" w:cs="宋体"/>
          <w:b/>
          <w:highlight w:val="none"/>
        </w:rPr>
        <w:t>3. 关于评标责任</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（1）评委应在其书面评审意见上签字确认；</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（2）评委对其所提出的评审意见承担个人责任。</w:t>
      </w:r>
    </w:p>
    <w:p>
      <w:pPr>
        <w:pStyle w:val="12"/>
        <w:spacing w:line="360" w:lineRule="auto"/>
        <w:rPr>
          <w:rFonts w:cs="宋体"/>
          <w:b/>
          <w:highlight w:val="none"/>
        </w:rPr>
      </w:pPr>
      <w:r>
        <w:rPr>
          <w:rFonts w:hint="eastAsia" w:cs="宋体"/>
          <w:b/>
          <w:highlight w:val="none"/>
        </w:rPr>
        <w:t>4. 关于回避</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有下列情形之一的，不得担任评标委员会成员，如事先不知情的，应在宣读投标人名单及评标纪律后主动提出回避：</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（1）是投标人或者投标人主要负责人的近亲属；</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（2）是该投标人的项目主管部门或是该投标人的行政监督部门的人员；</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（3）与投标人有经济利益关系，可能影响对投标公正评审的；</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（4）曾因在招标、评标以及其他与招标投标有关活动中从事违法行为而受过行政处罚或刑事处罚的。</w:t>
      </w:r>
    </w:p>
    <w:p>
      <w:pPr>
        <w:pStyle w:val="12"/>
        <w:spacing w:line="360" w:lineRule="auto"/>
        <w:rPr>
          <w:rFonts w:cs="宋体"/>
          <w:b/>
          <w:highlight w:val="none"/>
        </w:rPr>
      </w:pPr>
      <w:r>
        <w:rPr>
          <w:rFonts w:hint="eastAsia" w:cs="宋体"/>
          <w:b/>
          <w:highlight w:val="none"/>
        </w:rPr>
        <w:t>5. 关于保密</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评标委员会成员和与评标活动有关的工作人员不得透露对投标文件的评审和比较、中标候选人的推荐情况以及评标有关的其他情况。</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前款所称与评标活动有关的工作人员，是指评标委员会成员以外的因参与评标监督工作或者事务性工作而知悉有关评标情况的所有人员。</w:t>
      </w:r>
    </w:p>
    <w:p>
      <w:pPr>
        <w:pStyle w:val="12"/>
        <w:spacing w:line="360" w:lineRule="auto"/>
        <w:rPr>
          <w:rFonts w:cs="宋体"/>
          <w:b/>
          <w:bCs/>
          <w:sz w:val="28"/>
          <w:highlight w:val="none"/>
        </w:rPr>
      </w:pPr>
      <w:r>
        <w:rPr>
          <w:rFonts w:hint="eastAsia" w:cs="宋体"/>
          <w:b/>
          <w:bCs/>
          <w:sz w:val="28"/>
          <w:highlight w:val="none"/>
        </w:rPr>
        <w:t>三、评标原则</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评标工作应参照《中华人民共和国政府采购法》以及《政府采购评审专家管理办法》和地方政府关于政府采购的有关规定，遵循“公平、公正、科学、择优”的原则。评标委员会将按照规定只对通过符合性审查的投标文件进行评价和比较。</w:t>
      </w:r>
    </w:p>
    <w:p>
      <w:pPr>
        <w:pStyle w:val="12"/>
        <w:spacing w:line="360" w:lineRule="auto"/>
        <w:rPr>
          <w:rFonts w:cs="宋体"/>
          <w:b/>
          <w:bCs/>
          <w:sz w:val="28"/>
          <w:highlight w:val="none"/>
        </w:rPr>
      </w:pPr>
      <w:r>
        <w:rPr>
          <w:rFonts w:hint="eastAsia" w:cs="宋体"/>
          <w:b/>
          <w:bCs/>
          <w:sz w:val="28"/>
          <w:highlight w:val="none"/>
        </w:rPr>
        <w:t>四、评标方法及流程</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本次招标的评标方法采用综合评分方法。具体方法及流程如下：</w:t>
      </w:r>
    </w:p>
    <w:p>
      <w:pPr>
        <w:pStyle w:val="12"/>
        <w:spacing w:line="360" w:lineRule="auto"/>
        <w:rPr>
          <w:rFonts w:cs="宋体"/>
          <w:b/>
          <w:highlight w:val="none"/>
        </w:rPr>
      </w:pPr>
      <w:r>
        <w:rPr>
          <w:rFonts w:hint="eastAsia" w:cs="宋体"/>
          <w:b/>
          <w:highlight w:val="none"/>
        </w:rPr>
        <w:t>1. 开标</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（1）采购代理机构按招标文件规定的时间和地点公开开标。</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（2）投标人必须派法定代表人（或负责人）或授权代表参加并签到。采购代理机构负责唱出每个投标单位、投标总价以及采购代理机构认为必要的、合适的其它内容。</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（3）采购代理机构负责做好有关记录，记录中唱出的结果由各投标人法定代表人（或负责人）或授权代表签字确认。</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（4）开标结束后，采购人或采购代理机构将依法对各投标人的资格进行审查。</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5）资格检查是指依据法律法规和招标文件的规定，对投标文件中要求达到的投标人资格条件等进行审查，以确定投标人是否具备投标资格。只有通过资格审查的投标人提交的投标文件才得以进入评标环节，未通过资格审查的投标人其投标文件将被拒绝。</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（6）当通过资格审查的合格投标人不足三家时，采购代理机构将按照《中华人民共和国政府采购法》重新组织招投标。</w:t>
      </w:r>
    </w:p>
    <w:p>
      <w:pPr>
        <w:pStyle w:val="12"/>
        <w:spacing w:line="360" w:lineRule="auto"/>
        <w:rPr>
          <w:rFonts w:cs="宋体"/>
          <w:b/>
          <w:highlight w:val="none"/>
        </w:rPr>
      </w:pPr>
      <w:r>
        <w:rPr>
          <w:rFonts w:hint="eastAsia" w:cs="宋体"/>
          <w:b/>
          <w:highlight w:val="none"/>
        </w:rPr>
        <w:t>2. 评标</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评标分两个阶段进行:①投标文件符合性审查；②投标文件详细评审。</w:t>
      </w:r>
    </w:p>
    <w:p>
      <w:pPr>
        <w:pStyle w:val="13"/>
        <w:adjustRightInd w:val="0"/>
        <w:snapToGrid w:val="0"/>
        <w:spacing w:line="360" w:lineRule="auto"/>
        <w:ind w:firstLine="482" w:firstLineChars="200"/>
        <w:rPr>
          <w:rFonts w:cs="宋体"/>
          <w:b/>
          <w:bCs/>
          <w:sz w:val="24"/>
          <w:highlight w:val="none"/>
        </w:rPr>
      </w:pPr>
      <w:r>
        <w:rPr>
          <w:rFonts w:hint="eastAsia" w:cs="宋体"/>
          <w:b/>
          <w:bCs/>
          <w:sz w:val="24"/>
          <w:highlight w:val="none"/>
        </w:rPr>
        <w:t>（1）投标文件符合性审查</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① 进入评标环节后，评标委员会首先对通过资格审查的投标人所提交的投标文件进行符合性审查。</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② 符合性审查是指依据招标文件的规定，从投标文件的有效性、完整性和对招标文件的响应程度进行审查，以确定是否对招标文件的实质性要求作出响应。对没有通过符合性审查的投标文件，评标委员会将对其做无效投标处理。</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③ 实质上没有响应招标文件要求的投标将被拒绝。投标人不得通过修正或撤消不合要求的偏离或保留从而使其投标成为实质上响应的投标。</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④ 通过符合性审查须满足以下条件：</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A. 投标文件关键页（含封面）均有按招标文件要求加盖公章或签字；</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B. 投标报价内容满足招标文件要求且没有超出限价范围；</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C. 投标函内容及有效期满足招标文件要求；</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D. 投标文件有提供投标人法定代表人（或负责人）身份证明书；</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E. 投标文件有提供投标人法定代表人（或负责人）授权委托书（非法定代表人（或负责人）投标时）；</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F. 投标内容无重大（实质性）偏离项目采购需求书的要求；</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G. 投标文件中没有出现明显对采购人不利的附加条件；</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H. 投标文件没有其它不符合本项目招标文件规定或违反相关法律的内容。</w:t>
      </w:r>
    </w:p>
    <w:p>
      <w:pPr>
        <w:pStyle w:val="13"/>
        <w:adjustRightInd w:val="0"/>
        <w:snapToGrid w:val="0"/>
        <w:spacing w:line="360" w:lineRule="auto"/>
        <w:ind w:firstLine="482" w:firstLineChars="200"/>
        <w:rPr>
          <w:rFonts w:cs="宋体"/>
          <w:b/>
          <w:bCs/>
          <w:sz w:val="24"/>
          <w:highlight w:val="none"/>
        </w:rPr>
      </w:pPr>
      <w:r>
        <w:rPr>
          <w:rFonts w:hint="eastAsia" w:cs="宋体"/>
          <w:b/>
          <w:bCs/>
          <w:sz w:val="24"/>
          <w:highlight w:val="none"/>
        </w:rPr>
        <w:t>⑤ 当投标文件通过符合性审查的</w:t>
      </w:r>
      <w:r>
        <w:rPr>
          <w:rFonts w:hint="eastAsia" w:cs="宋体"/>
          <w:b/>
          <w:bCs/>
          <w:sz w:val="24"/>
          <w:highlight w:val="none"/>
          <w:lang w:val="zh-CN"/>
        </w:rPr>
        <w:t>投标人不足三家时</w:t>
      </w:r>
      <w:r>
        <w:rPr>
          <w:rFonts w:hint="eastAsia" w:cs="宋体"/>
          <w:b/>
          <w:bCs/>
          <w:sz w:val="24"/>
          <w:highlight w:val="none"/>
        </w:rPr>
        <w:t>，采购代理机构将按照《中华人民共和国政府采购法》重新组织招投标。</w:t>
      </w:r>
    </w:p>
    <w:p>
      <w:pPr>
        <w:pStyle w:val="13"/>
        <w:adjustRightInd w:val="0"/>
        <w:snapToGrid w:val="0"/>
        <w:spacing w:line="360" w:lineRule="auto"/>
        <w:ind w:firstLine="482" w:firstLineChars="200"/>
        <w:rPr>
          <w:rFonts w:cs="宋体"/>
          <w:b/>
          <w:bCs/>
          <w:sz w:val="24"/>
          <w:highlight w:val="none"/>
        </w:rPr>
      </w:pPr>
      <w:r>
        <w:rPr>
          <w:rFonts w:hint="eastAsia" w:cs="宋体"/>
          <w:b/>
          <w:bCs/>
          <w:sz w:val="24"/>
          <w:highlight w:val="none"/>
        </w:rPr>
        <w:t>（2）投标文件详细评审</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当通过符合性审查的投标人多于或等于三家时，按照评标程序的规定和依据评分标准以及各项权重、资格性审查和符合性审查结果，各位评委单独就每个投标人的商务（或技术）状况进行评审和比较，评出其商务（或技术）评分。将商务得分、技术得分和价格得分相加得出总分，并按总分高低排出名次（出现并列得分时，价格低者排名在前）。评标委员会依据综合得分情况推荐两名中标候选人。当通过符合性审查的投标人少于三家时，评标委员会否决所有投标文件，提请依法重新招标。</w:t>
      </w:r>
    </w:p>
    <w:p>
      <w:pPr>
        <w:pStyle w:val="12"/>
        <w:spacing w:line="360" w:lineRule="auto"/>
        <w:rPr>
          <w:rFonts w:cs="宋体"/>
          <w:b/>
          <w:bCs/>
          <w:sz w:val="28"/>
          <w:highlight w:val="none"/>
        </w:rPr>
      </w:pPr>
      <w:r>
        <w:rPr>
          <w:rFonts w:hint="eastAsia" w:cs="宋体"/>
          <w:b/>
          <w:bCs/>
          <w:sz w:val="28"/>
          <w:highlight w:val="none"/>
        </w:rPr>
        <w:t>五、评分标准和权重</w:t>
      </w:r>
    </w:p>
    <w:p>
      <w:pPr>
        <w:pStyle w:val="12"/>
        <w:spacing w:line="360" w:lineRule="auto"/>
        <w:rPr>
          <w:rFonts w:cs="宋体"/>
          <w:b/>
          <w:highlight w:val="none"/>
        </w:rPr>
      </w:pPr>
      <w:r>
        <w:rPr>
          <w:rFonts w:hint="eastAsia" w:cs="宋体"/>
          <w:b/>
          <w:highlight w:val="none"/>
        </w:rPr>
        <w:t>1. 评分标准</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评委根据各通过资格性审查和符合性审查投标人的投标文件，并逐项列出投标文件的全部投标偏差。</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评委对投标文件的商务（或技术）响应情况进行评分，评分采用量化方法：</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（1）商务（或技术）得分＝各评委商务（或技术）评分总和÷评委人数</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（2）价格的开启、核准和评分：</w:t>
      </w:r>
    </w:p>
    <w:p>
      <w:pPr>
        <w:numPr>
          <w:ilvl w:val="0"/>
          <w:numId w:val="4"/>
        </w:numPr>
        <w:adjustRightInd w:val="0"/>
        <w:snapToGrid w:val="0"/>
        <w:spacing w:line="360" w:lineRule="auto"/>
        <w:ind w:left="0" w:firstLine="480" w:firstLineChars="200"/>
        <w:rPr>
          <w:rFonts w:ascii="宋体" w:hAnsi="宋体" w:cs="宋体"/>
          <w:highlight w:val="none"/>
        </w:rPr>
      </w:pPr>
      <w:r>
        <w:rPr>
          <w:rFonts w:hint="eastAsia" w:ascii="宋体" w:hAnsi="宋体" w:cs="宋体"/>
          <w:highlight w:val="none"/>
        </w:rPr>
        <w:t>评标委员会详细分析、核准价格表，检查其是否存在计算上或累加上的算术错误，修正错误的原则如下：</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①投标文件中的大写金额和小写金额不一致的，以大写金额为准；</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②总价金额与单价金额和数量乘积不一致的，以总价金额为准，但总价金额小数点有明显错误的除外；</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③对不同文字文本投标文件的解释发生异议的，以中文文本为准；</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④采购人需要的服务和附带备品、配件所需的费用，如果投标人是另外单独报价的话，评分时计入投标报价总价。</w:t>
      </w:r>
    </w:p>
    <w:p>
      <w:pPr>
        <w:numPr>
          <w:ilvl w:val="0"/>
          <w:numId w:val="4"/>
        </w:numPr>
        <w:adjustRightInd w:val="0"/>
        <w:snapToGrid w:val="0"/>
        <w:spacing w:line="360" w:lineRule="auto"/>
        <w:ind w:left="0" w:firstLine="480" w:firstLineChars="200"/>
        <w:rPr>
          <w:rFonts w:ascii="宋体" w:hAnsi="宋体" w:cs="宋体"/>
          <w:highlight w:val="none"/>
        </w:rPr>
      </w:pPr>
      <w:r>
        <w:rPr>
          <w:rFonts w:hint="eastAsia" w:ascii="宋体" w:hAnsi="宋体" w:cs="宋体"/>
          <w:highlight w:val="none"/>
        </w:rPr>
        <w:t>评标委员会将按照上述修正错误的方法调整投标文件中投标报价，调整后的价格对投标人具有约束力。如果投标人不接受修正后的投标价格，则其投标将被拒绝。</w:t>
      </w:r>
    </w:p>
    <w:p>
      <w:pPr>
        <w:numPr>
          <w:ilvl w:val="0"/>
          <w:numId w:val="4"/>
        </w:numPr>
        <w:adjustRightInd w:val="0"/>
        <w:snapToGrid w:val="0"/>
        <w:spacing w:line="360" w:lineRule="auto"/>
        <w:ind w:left="0" w:firstLine="480" w:firstLineChars="200"/>
        <w:rPr>
          <w:rFonts w:ascii="宋体" w:hAnsi="宋体" w:cs="宋体"/>
          <w:highlight w:val="none"/>
        </w:rPr>
      </w:pPr>
      <w:r>
        <w:rPr>
          <w:rFonts w:hint="eastAsia" w:ascii="宋体" w:hAnsi="宋体" w:cs="宋体"/>
          <w:highlight w:val="none"/>
        </w:rPr>
        <w:t>采购人以项目的最高限价作为招标最高控制价，高于最高控制价的投标文件做无效投标处理，如投标人有提供价格优惠的，以优惠后的价格作为投标报价。</w:t>
      </w:r>
    </w:p>
    <w:p>
      <w:pPr>
        <w:numPr>
          <w:ilvl w:val="0"/>
          <w:numId w:val="4"/>
        </w:numPr>
        <w:adjustRightInd w:val="0"/>
        <w:snapToGrid w:val="0"/>
        <w:spacing w:line="360" w:lineRule="auto"/>
        <w:ind w:left="0" w:firstLine="480" w:firstLineChars="200"/>
        <w:rPr>
          <w:rFonts w:ascii="宋体" w:hAnsi="宋体" w:cs="宋体"/>
          <w:highlight w:val="none"/>
        </w:rPr>
      </w:pPr>
      <w:r>
        <w:rPr>
          <w:rFonts w:hint="eastAsia" w:ascii="宋体" w:hAnsi="宋体" w:cs="宋体"/>
          <w:highlight w:val="none"/>
        </w:rPr>
        <w:t>政策价格扣除：节能产品、环境标志产品价格扣除</w:t>
      </w:r>
    </w:p>
    <w:p>
      <w:pPr>
        <w:spacing w:line="360" w:lineRule="auto"/>
        <w:ind w:firstLine="480" w:firstLineChars="200"/>
        <w:rPr>
          <w:rFonts w:ascii="宋体" w:hAnsi="宋体" w:cs="宋体"/>
          <w:highlight w:val="none"/>
        </w:rPr>
      </w:pPr>
      <w:r>
        <w:rPr>
          <w:rFonts w:hint="eastAsia" w:ascii="宋体" w:hAnsi="宋体" w:cs="宋体"/>
          <w:highlight w:val="none"/>
        </w:rPr>
        <w:t>a) 拟采购产品属于节能产品政府采购品目清单规定必须强制采购的，实行强制采购。</w:t>
      </w:r>
    </w:p>
    <w:p>
      <w:pPr>
        <w:spacing w:line="360" w:lineRule="auto"/>
        <w:ind w:firstLine="480" w:firstLineChars="200"/>
        <w:rPr>
          <w:rFonts w:ascii="宋体" w:hAnsi="宋体" w:cs="宋体"/>
          <w:highlight w:val="none"/>
        </w:rPr>
      </w:pPr>
      <w:r>
        <w:rPr>
          <w:rFonts w:hint="eastAsia" w:ascii="宋体" w:hAnsi="宋体" w:cs="宋体"/>
          <w:highlight w:val="none"/>
        </w:rPr>
        <w:t>b) 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1%的价格扣除。</w:t>
      </w:r>
    </w:p>
    <w:p>
      <w:pPr>
        <w:spacing w:line="360" w:lineRule="auto"/>
        <w:ind w:firstLine="480" w:firstLineChars="200"/>
        <w:rPr>
          <w:rFonts w:ascii="宋体" w:hAnsi="宋体" w:cs="宋体"/>
          <w:highlight w:val="none"/>
        </w:rPr>
      </w:pPr>
      <w:r>
        <w:rPr>
          <w:rFonts w:hint="eastAsia" w:ascii="宋体" w:hAnsi="宋体" w:cs="宋体"/>
          <w:highlight w:val="none"/>
        </w:rPr>
        <w:t>c) 属于品目清单范围内的节能或环境标志产品，应当提供国家确定的认证机构出具的、处于有效期之内的节能产品或环境标志产品认证证书复印件，并加盖投标人单位的公章。</w:t>
      </w:r>
    </w:p>
    <w:p>
      <w:pPr>
        <w:numPr>
          <w:ilvl w:val="0"/>
          <w:numId w:val="4"/>
        </w:numPr>
        <w:adjustRightInd w:val="0"/>
        <w:snapToGrid w:val="0"/>
        <w:spacing w:line="360" w:lineRule="auto"/>
        <w:ind w:left="0" w:firstLine="480" w:firstLineChars="200"/>
        <w:rPr>
          <w:rFonts w:ascii="宋体" w:hAnsi="宋体" w:cs="宋体"/>
          <w:highlight w:val="none"/>
        </w:rPr>
      </w:pPr>
      <w:r>
        <w:rPr>
          <w:rFonts w:hint="eastAsia" w:ascii="宋体" w:hAnsi="宋体" w:cs="宋体"/>
          <w:highlight w:val="none"/>
        </w:rPr>
        <w:t>价格分采用低价优先法计算，即满足招标文件要求且政策价格扣除后最低的投标报价为评标基准价，其价格分为满分。其他投标人的价格分统一按照下列公式计算：</w:t>
      </w:r>
    </w:p>
    <w:p>
      <w:pPr>
        <w:numPr>
          <w:ilvl w:val="0"/>
          <w:numId w:val="4"/>
        </w:numPr>
        <w:adjustRightInd w:val="0"/>
        <w:snapToGrid w:val="0"/>
        <w:spacing w:line="360" w:lineRule="auto"/>
        <w:ind w:left="0" w:firstLine="480" w:firstLineChars="200"/>
        <w:rPr>
          <w:rFonts w:ascii="宋体" w:hAnsi="宋体" w:cs="宋体"/>
          <w:highlight w:val="none"/>
        </w:rPr>
      </w:pPr>
      <w:r>
        <w:rPr>
          <w:rFonts w:hint="eastAsia" w:ascii="宋体" w:hAnsi="宋体" w:cs="宋体"/>
          <w:highlight w:val="none"/>
        </w:rPr>
        <w:t>投标报价得分＝（评标基准价/评标价格）×15</w:t>
      </w:r>
    </w:p>
    <w:p>
      <w:pPr>
        <w:spacing w:line="360" w:lineRule="auto"/>
        <w:rPr>
          <w:rFonts w:ascii="宋体" w:hAnsi="宋体" w:cs="宋体"/>
          <w:sz w:val="11"/>
          <w:szCs w:val="11"/>
          <w:highlight w:val="none"/>
        </w:rPr>
      </w:pPr>
    </w:p>
    <w:p>
      <w:pPr>
        <w:pStyle w:val="12"/>
        <w:spacing w:line="360" w:lineRule="auto"/>
        <w:rPr>
          <w:rFonts w:cs="宋体"/>
          <w:b/>
          <w:highlight w:val="none"/>
        </w:rPr>
      </w:pPr>
      <w:r>
        <w:rPr>
          <w:rFonts w:hint="eastAsia" w:cs="宋体"/>
          <w:b/>
          <w:highlight w:val="none"/>
        </w:rPr>
        <w:t>2. 权重分配</w:t>
      </w:r>
    </w:p>
    <w:p>
      <w:pPr>
        <w:adjustRightInd w:val="0"/>
        <w:snapToGrid w:val="0"/>
        <w:spacing w:line="360" w:lineRule="auto"/>
        <w:rPr>
          <w:rFonts w:ascii="宋体" w:hAnsi="宋体" w:cs="宋体"/>
          <w:b/>
          <w:sz w:val="13"/>
          <w:szCs w:val="13"/>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046"/>
        <w:gridCol w:w="2000"/>
        <w:gridCol w:w="1862"/>
        <w:gridCol w:w="17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highlight w:val="none"/>
              </w:rPr>
            </w:pPr>
            <w:r>
              <w:rPr>
                <w:rFonts w:hint="eastAsia" w:ascii="宋体" w:hAnsi="宋体"/>
                <w:bCs/>
                <w:szCs w:val="21"/>
                <w:highlight w:val="none"/>
              </w:rPr>
              <w:t>评分项目</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highlight w:val="none"/>
              </w:rPr>
            </w:pPr>
            <w:r>
              <w:rPr>
                <w:rFonts w:hint="eastAsia" w:ascii="宋体" w:hAnsi="宋体"/>
                <w:bCs/>
                <w:szCs w:val="21"/>
                <w:highlight w:val="none"/>
              </w:rPr>
              <w:t>商务评审</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highlight w:val="none"/>
              </w:rPr>
            </w:pPr>
            <w:r>
              <w:rPr>
                <w:rFonts w:hint="eastAsia" w:ascii="宋体" w:hAnsi="宋体"/>
                <w:bCs/>
                <w:szCs w:val="21"/>
                <w:highlight w:val="none"/>
              </w:rPr>
              <w:t>技术评审</w:t>
            </w:r>
          </w:p>
        </w:tc>
        <w:tc>
          <w:tcPr>
            <w:tcW w:w="18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highlight w:val="none"/>
              </w:rPr>
            </w:pPr>
            <w:r>
              <w:rPr>
                <w:rFonts w:hint="eastAsia" w:ascii="宋体" w:hAnsi="宋体"/>
                <w:bCs/>
                <w:szCs w:val="21"/>
                <w:highlight w:val="none"/>
              </w:rPr>
              <w:t>价格评审</w:t>
            </w: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highlight w:val="none"/>
              </w:rPr>
            </w:pPr>
            <w:r>
              <w:rPr>
                <w:rFonts w:hint="eastAsia" w:ascii="宋体" w:hAnsi="宋体"/>
                <w:bCs/>
                <w:szCs w:val="21"/>
                <w:highlight w:val="none"/>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highlight w:val="none"/>
              </w:rPr>
            </w:pPr>
            <w:r>
              <w:rPr>
                <w:rFonts w:hint="eastAsia" w:ascii="宋体" w:hAnsi="宋体"/>
                <w:bCs/>
                <w:szCs w:val="21"/>
                <w:highlight w:val="none"/>
              </w:rPr>
              <w:t>分值</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35</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50</w:t>
            </w:r>
          </w:p>
        </w:tc>
        <w:tc>
          <w:tcPr>
            <w:tcW w:w="18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15</w:t>
            </w: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highlight w:val="none"/>
              </w:rPr>
            </w:pPr>
            <w:r>
              <w:rPr>
                <w:rFonts w:hint="eastAsia" w:ascii="宋体" w:hAnsi="宋体"/>
                <w:bCs/>
                <w:szCs w:val="21"/>
                <w:highlight w:val="none"/>
              </w:rPr>
              <w:t>100</w:t>
            </w:r>
          </w:p>
        </w:tc>
      </w:tr>
    </w:tbl>
    <w:p>
      <w:pPr>
        <w:pStyle w:val="12"/>
        <w:rPr>
          <w:highlight w:val="none"/>
        </w:rPr>
      </w:pPr>
    </w:p>
    <w:p>
      <w:pPr>
        <w:pStyle w:val="12"/>
        <w:spacing w:line="360" w:lineRule="auto"/>
        <w:rPr>
          <w:rFonts w:cs="宋体"/>
          <w:b/>
          <w:highlight w:val="none"/>
        </w:rPr>
      </w:pPr>
      <w:r>
        <w:rPr>
          <w:rFonts w:hint="eastAsia" w:cs="宋体"/>
          <w:b/>
          <w:highlight w:val="none"/>
        </w:rPr>
        <w:t>3. 最终得分</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最终得分＝商务评审分+技术评审分+价格评审分</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评标委员会根据投标人最终得分高低排定名次。</w:t>
      </w:r>
    </w:p>
    <w:p>
      <w:pPr>
        <w:pStyle w:val="12"/>
        <w:spacing w:line="360" w:lineRule="auto"/>
        <w:rPr>
          <w:rFonts w:cs="宋体"/>
          <w:b/>
          <w:bCs/>
          <w:sz w:val="28"/>
          <w:highlight w:val="none"/>
        </w:rPr>
      </w:pPr>
      <w:r>
        <w:rPr>
          <w:rFonts w:hint="eastAsia" w:cs="宋体"/>
          <w:b/>
          <w:bCs/>
          <w:sz w:val="28"/>
          <w:highlight w:val="none"/>
        </w:rPr>
        <w:t>六、定标和授标</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本项目共推荐两名中标候选人，采购人依据评标委员会推荐的中标候选人确定1名中标人。</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综合得分排名第一的中标候选人放弃中标，中标资格将自动顺延至第二中标候选人，若第一、二中标候选人均放弃中标，采购人将重新组织招标。</w:t>
      </w:r>
    </w:p>
    <w:p>
      <w:pPr>
        <w:pStyle w:val="13"/>
        <w:adjustRightInd w:val="0"/>
        <w:snapToGrid w:val="0"/>
        <w:spacing w:line="360" w:lineRule="auto"/>
        <w:ind w:firstLine="480" w:firstLineChars="200"/>
        <w:rPr>
          <w:rFonts w:cs="宋体"/>
          <w:sz w:val="24"/>
          <w:highlight w:val="none"/>
        </w:rPr>
      </w:pPr>
      <w:r>
        <w:rPr>
          <w:rFonts w:hint="eastAsia" w:cs="宋体"/>
          <w:sz w:val="24"/>
          <w:highlight w:val="none"/>
        </w:rPr>
        <w:t>评标委员会提出评标书面报告和推荐中标意见报采购人确认，确认后由采购人、采购代理机构与预中标人进行最终澄清及对投标人的资格和履约能力进行再次审查，形成最终合同的基础文件。如在最终澄清过程中，发现预中标人存在重大问题造成其履约能力不能满足要求的，可以取消其中标资格。</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最终澄清完成后，由采购代理机构根据采购人确认的结果发出中标通知书。</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中标者应按招标文件规定向采购人提交相应文件，并在规定时间内与业主签订合同。</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在签订合同过程中，如发现中标人以他人名义投标或者以其他方式弄虚作假，骗取中标的，采购人有权取消其中标资格，并重新组织招标。</w:t>
      </w:r>
    </w:p>
    <w:p>
      <w:pPr>
        <w:pStyle w:val="12"/>
        <w:spacing w:line="360" w:lineRule="auto"/>
        <w:rPr>
          <w:rFonts w:cs="宋体"/>
          <w:b/>
          <w:bCs/>
          <w:sz w:val="28"/>
          <w:highlight w:val="none"/>
        </w:rPr>
      </w:pPr>
      <w:r>
        <w:rPr>
          <w:rFonts w:hint="eastAsia" w:cs="宋体"/>
          <w:b/>
          <w:bCs/>
          <w:sz w:val="28"/>
          <w:highlight w:val="none"/>
        </w:rPr>
        <w:t>七、附件</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附表1：资格性审查表</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附表2：符合性审查表</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附表3：商务评审表</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附表4：技术评审表</w:t>
      </w:r>
    </w:p>
    <w:p>
      <w:pPr>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附表5：价格评审表</w:t>
      </w:r>
    </w:p>
    <w:p>
      <w:pPr>
        <w:pStyle w:val="39"/>
        <w:ind w:left="0" w:firstLine="0" w:firstLineChars="0"/>
        <w:rPr>
          <w:rFonts w:cs="宋体"/>
          <w:highlight w:val="none"/>
        </w:rPr>
      </w:pPr>
      <w:r>
        <w:rPr>
          <w:rFonts w:cs="宋体"/>
          <w:highlight w:val="none"/>
        </w:rPr>
        <w:br w:type="page"/>
      </w:r>
    </w:p>
    <w:p>
      <w:pPr>
        <w:spacing w:line="360" w:lineRule="auto"/>
        <w:jc w:val="center"/>
        <w:rPr>
          <w:rFonts w:ascii="宋体" w:hAnsi="宋体" w:cs="宋体"/>
          <w:b/>
          <w:szCs w:val="21"/>
          <w:highlight w:val="none"/>
        </w:rPr>
      </w:pPr>
      <w:bookmarkStart w:id="47" w:name="_Hlk49089543"/>
      <w:bookmarkStart w:id="48" w:name="_Hlk33088306"/>
      <w:r>
        <w:rPr>
          <w:rFonts w:hint="eastAsia" w:ascii="宋体" w:hAnsi="宋体" w:cs="宋体"/>
          <w:b/>
          <w:highlight w:val="none"/>
        </w:rPr>
        <w:t>附表</w:t>
      </w:r>
      <w:r>
        <w:rPr>
          <w:rFonts w:hint="eastAsia" w:ascii="宋体" w:hAnsi="宋体" w:cs="宋体"/>
          <w:b/>
          <w:szCs w:val="21"/>
          <w:highlight w:val="none"/>
        </w:rPr>
        <w:t>1.</w:t>
      </w:r>
      <w:bookmarkEnd w:id="47"/>
      <w:r>
        <w:rPr>
          <w:rFonts w:hint="eastAsia" w:ascii="宋体" w:hAnsi="宋体" w:cs="宋体"/>
          <w:b/>
          <w:szCs w:val="21"/>
          <w:highlight w:val="none"/>
        </w:rPr>
        <w:t>资格性审查表</w:t>
      </w:r>
    </w:p>
    <w:tbl>
      <w:tblPr>
        <w:tblStyle w:val="4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480"/>
        <w:gridCol w:w="556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03" w:type="pct"/>
            <w:vAlign w:val="center"/>
          </w:tcPr>
          <w:p>
            <w:pPr>
              <w:spacing w:line="312" w:lineRule="auto"/>
              <w:rPr>
                <w:rFonts w:ascii="宋体" w:hAnsi="宋体" w:cs="宋体"/>
                <w:szCs w:val="21"/>
                <w:highlight w:val="none"/>
              </w:rPr>
            </w:pPr>
            <w:r>
              <w:rPr>
                <w:rFonts w:hint="eastAsia" w:ascii="宋体" w:hAnsi="宋体" w:cs="宋体"/>
                <w:szCs w:val="21"/>
                <w:highlight w:val="none"/>
              </w:rPr>
              <w:t>序</w:t>
            </w:r>
            <w:bookmarkEnd w:id="48"/>
            <w:r>
              <w:rPr>
                <w:rFonts w:hint="eastAsia" w:ascii="宋体" w:hAnsi="宋体" w:cs="宋体"/>
                <w:szCs w:val="21"/>
                <w:highlight w:val="none"/>
              </w:rPr>
              <w:t>号</w:t>
            </w:r>
          </w:p>
        </w:tc>
        <w:tc>
          <w:tcPr>
            <w:tcW w:w="869"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审查内容</w:t>
            </w:r>
          </w:p>
        </w:tc>
        <w:tc>
          <w:tcPr>
            <w:tcW w:w="3267"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审查标准</w:t>
            </w:r>
          </w:p>
        </w:tc>
        <w:tc>
          <w:tcPr>
            <w:tcW w:w="459"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03"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1</w:t>
            </w:r>
          </w:p>
        </w:tc>
        <w:tc>
          <w:tcPr>
            <w:tcW w:w="869" w:type="pct"/>
            <w:vMerge w:val="restar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投标人具备《中华人民共和国政府采购法》第二十二条所规定的条件。</w:t>
            </w: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03"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2</w:t>
            </w:r>
          </w:p>
        </w:tc>
        <w:tc>
          <w:tcPr>
            <w:tcW w:w="869" w:type="pct"/>
            <w:vMerge w:val="continue"/>
            <w:vAlign w:val="center"/>
          </w:tcPr>
          <w:p>
            <w:pPr>
              <w:spacing w:line="312" w:lineRule="auto"/>
              <w:jc w:val="center"/>
              <w:rPr>
                <w:rFonts w:ascii="宋体" w:hAnsi="宋体" w:cs="宋体"/>
                <w:szCs w:val="21"/>
                <w:highlight w:val="none"/>
              </w:rPr>
            </w:pP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提供投标文件提交截止时间前 6 个月内至少一个月依法缴纳税收和社会保障资金的相关材料复印件；如依法免税或不需要缴纳社会保障资金的，须提供相应证明材料复印件。</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3"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3</w:t>
            </w:r>
          </w:p>
        </w:tc>
        <w:tc>
          <w:tcPr>
            <w:tcW w:w="869" w:type="pct"/>
            <w:vMerge w:val="continue"/>
            <w:vAlign w:val="center"/>
          </w:tcPr>
          <w:p>
            <w:pPr>
              <w:spacing w:line="312" w:lineRule="auto"/>
              <w:jc w:val="center"/>
              <w:rPr>
                <w:rFonts w:ascii="宋体" w:hAnsi="宋体" w:cs="宋体"/>
                <w:szCs w:val="21"/>
                <w:highlight w:val="none"/>
              </w:rPr>
            </w:pP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提供2020年度或2021年度财务状况报告(新成立不足一年的公司提供成立至今的月或季度财务报表复印件)或基本开户行出具的资信证明</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03"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4</w:t>
            </w:r>
          </w:p>
        </w:tc>
        <w:tc>
          <w:tcPr>
            <w:tcW w:w="869" w:type="pct"/>
            <w:vMerge w:val="continue"/>
            <w:vAlign w:val="center"/>
          </w:tcPr>
          <w:p>
            <w:pPr>
              <w:spacing w:line="312" w:lineRule="auto"/>
              <w:jc w:val="center"/>
              <w:rPr>
                <w:rFonts w:ascii="宋体" w:hAnsi="宋体" w:cs="宋体"/>
                <w:szCs w:val="21"/>
                <w:highlight w:val="none"/>
              </w:rPr>
            </w:pP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履行合同所必需的设备和专业技术能力：按投标文件格式填报设备及专业技术能力情况</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403"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5</w:t>
            </w:r>
          </w:p>
        </w:tc>
        <w:tc>
          <w:tcPr>
            <w:tcW w:w="869" w:type="pct"/>
            <w:vMerge w:val="continue"/>
            <w:vAlign w:val="center"/>
          </w:tcPr>
          <w:p>
            <w:pPr>
              <w:spacing w:line="312" w:lineRule="auto"/>
              <w:jc w:val="center"/>
              <w:rPr>
                <w:rFonts w:ascii="宋体" w:hAnsi="宋体" w:cs="宋体"/>
                <w:szCs w:val="21"/>
                <w:highlight w:val="none"/>
              </w:rPr>
            </w:pP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参加政府采购活动前3年内，在经营活动中没有重大违法记录：参照投标函相关承诺格式内容。重大违法记录，是指供应商因违法经营受到刑事处罚或者责令停产停业、吊销许可证或者执照、较大数额罚款等行政处罚。（</w:t>
            </w:r>
            <w:r>
              <w:rPr>
                <w:rFonts w:hint="eastAsia" w:ascii="宋体" w:hAnsi="宋体" w:cs="宋体"/>
                <w:szCs w:val="21"/>
                <w:highlight w:val="none"/>
                <w:lang w:eastAsia="zh-CN"/>
              </w:rPr>
              <w:t>根据财库〔2022〕3号文，“较大数额罚款”认定为200万元以上的罚款，法律、行政法规以及国务院有关部门明确规定相关领域“较大数额罚款”标准高于200万元的，从其规定</w:t>
            </w:r>
            <w:r>
              <w:rPr>
                <w:rFonts w:hint="eastAsia" w:ascii="宋体" w:hAnsi="宋体" w:cs="宋体"/>
                <w:szCs w:val="21"/>
                <w:highlight w:val="none"/>
              </w:rPr>
              <w:t>）</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03"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6</w:t>
            </w:r>
          </w:p>
        </w:tc>
        <w:tc>
          <w:tcPr>
            <w:tcW w:w="869"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落实政府采购政策需满足的资格要求</w:t>
            </w: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本项目专门面向中小企业，所属行业为</w:t>
            </w:r>
            <w:r>
              <w:rPr>
                <w:rFonts w:hint="eastAsia" w:ascii="宋体" w:hAnsi="宋体" w:cs="宋体"/>
                <w:szCs w:val="21"/>
                <w:highlight w:val="none"/>
                <w:lang w:eastAsia="zh-CN"/>
              </w:rPr>
              <w:t>物业管理行业</w:t>
            </w:r>
            <w:r>
              <w:rPr>
                <w:rFonts w:hint="eastAsia" w:ascii="宋体" w:hAnsi="宋体" w:cs="宋体"/>
                <w:szCs w:val="21"/>
                <w:highlight w:val="none"/>
              </w:rPr>
              <w:t>。供应商须提供符合本项目采购标的对应行业的政策划分标准。监狱企业、残疾人福利单位视同小型、微型企业。（注：中小企业以供应商填写的《中小企业声明函》（见投标文件格式）为判定标准，残疾人福利性单位以供应商填写的《残疾人福利性单位声明函》（见投标文件格式）为判定标准，监狱企业须供应商提供由省级以上监狱管理局、戒毒管理局（含新疆生产建设兵团）出具的属于监狱企业的证明文件，否则不予认定。）</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03"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7</w:t>
            </w:r>
          </w:p>
        </w:tc>
        <w:tc>
          <w:tcPr>
            <w:tcW w:w="869" w:type="pct"/>
            <w:vMerge w:val="restar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符合《中华人民共和国政府采购法实施条例》第十八条的规定</w:t>
            </w: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单位负责人为同一人或者存在直接控股、管理关系的不同供应商，不得参加同一合同项下的政府采购活动；</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03"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8</w:t>
            </w:r>
          </w:p>
        </w:tc>
        <w:tc>
          <w:tcPr>
            <w:tcW w:w="869" w:type="pct"/>
            <w:vMerge w:val="continue"/>
            <w:vAlign w:val="center"/>
          </w:tcPr>
          <w:p>
            <w:pPr>
              <w:spacing w:line="312" w:lineRule="auto"/>
              <w:jc w:val="center"/>
              <w:rPr>
                <w:rFonts w:ascii="宋体" w:hAnsi="宋体" w:cs="宋体"/>
                <w:szCs w:val="21"/>
                <w:highlight w:val="none"/>
              </w:rPr>
            </w:pP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除单一来源采购项目外，为采购项目提供整体设计、规范编制或者项目管理、监理、检测等服务的供应商，不得再参加该采购项目的其他采购活动；</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403" w:type="pct"/>
            <w:vAlign w:val="center"/>
          </w:tcPr>
          <w:p>
            <w:pPr>
              <w:spacing w:line="312"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869"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信用记录</w:t>
            </w: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供应商未被列入“信用中国”网站(www.creditchina.gov.cn)</w:t>
            </w:r>
            <w:r>
              <w:rPr>
                <w:rFonts w:hint="eastAsia" w:ascii="宋体" w:hAnsi="宋体" w:cs="宋体"/>
                <w:szCs w:val="21"/>
                <w:highlight w:val="none"/>
                <w:lang w:eastAsia="zh-CN"/>
              </w:rPr>
              <w:t>“记录失信被执行人或税收违法黑名单”</w:t>
            </w:r>
            <w:r>
              <w:rPr>
                <w:rFonts w:hint="eastAsia" w:ascii="宋体" w:hAnsi="宋体" w:cs="宋体"/>
                <w:szCs w:val="21"/>
                <w:highlight w:val="none"/>
              </w:rPr>
              <w:t>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03" w:type="pct"/>
            <w:vAlign w:val="center"/>
          </w:tcPr>
          <w:p>
            <w:pPr>
              <w:spacing w:line="312"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0</w:t>
            </w:r>
          </w:p>
        </w:tc>
        <w:tc>
          <w:tcPr>
            <w:tcW w:w="869" w:type="pct"/>
            <w:vAlign w:val="center"/>
          </w:tcPr>
          <w:p>
            <w:pPr>
              <w:spacing w:line="312" w:lineRule="auto"/>
              <w:jc w:val="center"/>
              <w:rPr>
                <w:rFonts w:ascii="宋体" w:hAnsi="宋体" w:cs="宋体"/>
                <w:szCs w:val="21"/>
                <w:highlight w:val="none"/>
              </w:rPr>
            </w:pPr>
            <w:r>
              <w:rPr>
                <w:rFonts w:hint="eastAsia" w:ascii="宋体" w:hAnsi="宋体" w:cs="宋体"/>
                <w:szCs w:val="21"/>
                <w:highlight w:val="none"/>
              </w:rPr>
              <w:t>联合体</w:t>
            </w:r>
          </w:p>
        </w:tc>
        <w:tc>
          <w:tcPr>
            <w:tcW w:w="3267" w:type="pct"/>
            <w:vAlign w:val="center"/>
          </w:tcPr>
          <w:p>
            <w:pPr>
              <w:spacing w:line="312" w:lineRule="auto"/>
              <w:rPr>
                <w:rFonts w:ascii="宋体" w:hAnsi="宋体" w:cs="宋体"/>
                <w:szCs w:val="21"/>
                <w:highlight w:val="none"/>
              </w:rPr>
            </w:pPr>
            <w:r>
              <w:rPr>
                <w:rFonts w:hint="eastAsia" w:ascii="宋体" w:hAnsi="宋体" w:cs="宋体"/>
                <w:szCs w:val="21"/>
                <w:highlight w:val="none"/>
              </w:rPr>
              <w:t>本项目不允许联合体。</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03" w:type="pct"/>
            <w:vAlign w:val="center"/>
          </w:tcPr>
          <w:p>
            <w:pPr>
              <w:spacing w:line="312"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w:t>
            </w:r>
          </w:p>
        </w:tc>
        <w:tc>
          <w:tcPr>
            <w:tcW w:w="869" w:type="pct"/>
            <w:vAlign w:val="center"/>
          </w:tcPr>
          <w:p>
            <w:pPr>
              <w:spacing w:line="312"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招标文件获取</w:t>
            </w:r>
          </w:p>
        </w:tc>
        <w:tc>
          <w:tcPr>
            <w:tcW w:w="3267" w:type="pct"/>
            <w:vAlign w:val="center"/>
          </w:tcPr>
          <w:p>
            <w:pPr>
              <w:spacing w:line="312"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已在采购代理机构处获取招标文件</w:t>
            </w:r>
          </w:p>
        </w:tc>
        <w:tc>
          <w:tcPr>
            <w:tcW w:w="459" w:type="pct"/>
            <w:vAlign w:val="center"/>
          </w:tcPr>
          <w:p>
            <w:pPr>
              <w:spacing w:line="312"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0" w:type="pct"/>
            <w:gridSpan w:val="3"/>
            <w:vAlign w:val="center"/>
          </w:tcPr>
          <w:p>
            <w:pPr>
              <w:spacing w:line="312" w:lineRule="auto"/>
              <w:jc w:val="center"/>
              <w:rPr>
                <w:rFonts w:ascii="宋体" w:hAnsi="宋体" w:cs="宋体"/>
                <w:szCs w:val="21"/>
                <w:highlight w:val="none"/>
              </w:rPr>
            </w:pPr>
            <w:r>
              <w:rPr>
                <w:rFonts w:hint="eastAsia" w:ascii="宋体" w:hAnsi="宋体" w:cs="宋体"/>
                <w:szCs w:val="21"/>
                <w:highlight w:val="none"/>
              </w:rPr>
              <w:t>结论</w:t>
            </w:r>
          </w:p>
        </w:tc>
        <w:tc>
          <w:tcPr>
            <w:tcW w:w="459" w:type="pct"/>
            <w:vAlign w:val="center"/>
          </w:tcPr>
          <w:p>
            <w:pPr>
              <w:spacing w:line="312" w:lineRule="auto"/>
              <w:jc w:val="center"/>
              <w:rPr>
                <w:rFonts w:ascii="宋体" w:hAnsi="宋体" w:cs="宋体"/>
                <w:szCs w:val="21"/>
                <w:highlight w:val="none"/>
              </w:rPr>
            </w:pPr>
          </w:p>
        </w:tc>
      </w:tr>
    </w:tbl>
    <w:p>
      <w:pPr>
        <w:jc w:val="center"/>
        <w:rPr>
          <w:rFonts w:ascii="宋体" w:hAnsi="宋体" w:cs="宋体"/>
          <w:b/>
          <w:sz w:val="28"/>
          <w:highlight w:val="none"/>
        </w:rPr>
      </w:pPr>
    </w:p>
    <w:p>
      <w:pPr>
        <w:spacing w:line="360" w:lineRule="auto"/>
        <w:rPr>
          <w:rFonts w:ascii="宋体" w:hAnsi="宋体" w:cs="宋体"/>
          <w:highlight w:val="none"/>
        </w:rPr>
      </w:pPr>
      <w:r>
        <w:rPr>
          <w:rFonts w:hint="eastAsia" w:ascii="宋体" w:hAnsi="宋体" w:cs="宋体"/>
          <w:highlight w:val="none"/>
        </w:rPr>
        <w:t>①表中只需填写“○/符合”或“×/不符合”；</w:t>
      </w:r>
    </w:p>
    <w:p>
      <w:pPr>
        <w:spacing w:line="360" w:lineRule="auto"/>
        <w:rPr>
          <w:rFonts w:ascii="宋体" w:hAnsi="宋体" w:cs="宋体"/>
          <w:highlight w:val="none"/>
        </w:rPr>
      </w:pPr>
      <w:r>
        <w:rPr>
          <w:rFonts w:hint="eastAsia" w:ascii="宋体" w:hAnsi="宋体" w:cs="宋体"/>
          <w:highlight w:val="none"/>
        </w:rPr>
        <w:t>②在结论栏中按“一票否决”填写“通过”或“不通过”，任何一项出现“×/不符合”的，结论为不通过；不通过的为无效投标文件；</w:t>
      </w:r>
    </w:p>
    <w:p>
      <w:pPr>
        <w:spacing w:line="360" w:lineRule="auto"/>
        <w:rPr>
          <w:rFonts w:hint="eastAsia" w:ascii="宋体" w:hAnsi="宋体" w:cs="宋体"/>
          <w:highlight w:val="none"/>
        </w:rPr>
      </w:pPr>
      <w:r>
        <w:rPr>
          <w:rFonts w:hint="eastAsia" w:ascii="宋体" w:hAnsi="宋体" w:cs="宋体"/>
          <w:highlight w:val="none"/>
        </w:rPr>
        <w:t>③不能通过资格性审查的供应商，无需进行符合性审查及技术商务、价格评审。</w:t>
      </w:r>
    </w:p>
    <w:p>
      <w:pPr>
        <w:spacing w:line="360" w:lineRule="auto"/>
        <w:rPr>
          <w:rFonts w:hint="eastAsia" w:ascii="宋体" w:hAnsi="宋体" w:cs="宋体"/>
          <w:highlight w:val="none"/>
        </w:rPr>
      </w:pPr>
    </w:p>
    <w:p>
      <w:pPr>
        <w:spacing w:line="360" w:lineRule="auto"/>
        <w:rPr>
          <w:rFonts w:hint="eastAsia" w:ascii="宋体" w:hAnsi="宋体" w:cs="宋体"/>
          <w:highlight w:val="none"/>
        </w:rPr>
        <w:sectPr>
          <w:pgSz w:w="11906" w:h="16838"/>
          <w:pgMar w:top="1440" w:right="1800" w:bottom="1440" w:left="1800" w:header="850" w:footer="992" w:gutter="0"/>
          <w:pgNumType w:fmt="decimal"/>
          <w:cols w:space="720" w:num="1"/>
          <w:docGrid w:linePitch="312" w:charSpace="0"/>
        </w:sectPr>
      </w:pPr>
    </w:p>
    <w:p>
      <w:pPr>
        <w:spacing w:line="360" w:lineRule="auto"/>
        <w:jc w:val="center"/>
        <w:rPr>
          <w:rFonts w:ascii="宋体" w:hAnsi="宋体" w:cs="宋体"/>
          <w:b/>
          <w:highlight w:val="none"/>
        </w:rPr>
      </w:pPr>
      <w:r>
        <w:rPr>
          <w:rFonts w:hint="eastAsia" w:ascii="宋体" w:hAnsi="宋体" w:cs="宋体"/>
          <w:b/>
          <w:highlight w:val="none"/>
        </w:rPr>
        <w:t>附表2.符合性审查表</w:t>
      </w:r>
    </w:p>
    <w:tbl>
      <w:tblPr>
        <w:tblStyle w:val="40"/>
        <w:tblW w:w="4994" w:type="pct"/>
        <w:tblInd w:w="0" w:type="dxa"/>
        <w:tblLayout w:type="autofit"/>
        <w:tblCellMar>
          <w:top w:w="0" w:type="dxa"/>
          <w:left w:w="108" w:type="dxa"/>
          <w:bottom w:w="0" w:type="dxa"/>
          <w:right w:w="108" w:type="dxa"/>
        </w:tblCellMar>
      </w:tblPr>
      <w:tblGrid>
        <w:gridCol w:w="777"/>
        <w:gridCol w:w="2127"/>
        <w:gridCol w:w="4644"/>
        <w:gridCol w:w="964"/>
      </w:tblGrid>
      <w:tr>
        <w:tblPrEx>
          <w:tblCellMar>
            <w:top w:w="0" w:type="dxa"/>
            <w:left w:w="108" w:type="dxa"/>
            <w:bottom w:w="0" w:type="dxa"/>
            <w:right w:w="108" w:type="dxa"/>
          </w:tblCellMar>
        </w:tblPrEx>
        <w:trPr>
          <w:trHeight w:val="794" w:hRule="atLeast"/>
        </w:trPr>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序号</w:t>
            </w:r>
          </w:p>
        </w:tc>
        <w:tc>
          <w:tcPr>
            <w:tcW w:w="1249" w:type="pct"/>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审查内容</w:t>
            </w:r>
          </w:p>
        </w:tc>
        <w:tc>
          <w:tcPr>
            <w:tcW w:w="2726" w:type="pct"/>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审查标准</w:t>
            </w:r>
          </w:p>
        </w:tc>
        <w:tc>
          <w:tcPr>
            <w:tcW w:w="566" w:type="pct"/>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投标人</w:t>
            </w:r>
          </w:p>
        </w:tc>
      </w:tr>
      <w:tr>
        <w:tblPrEx>
          <w:tblCellMar>
            <w:top w:w="0" w:type="dxa"/>
            <w:left w:w="108" w:type="dxa"/>
            <w:bottom w:w="0" w:type="dxa"/>
            <w:right w:w="108" w:type="dxa"/>
          </w:tblCellMar>
        </w:tblPrEx>
        <w:trPr>
          <w:trHeight w:val="794" w:hRule="atLeast"/>
        </w:trPr>
        <w:tc>
          <w:tcPr>
            <w:tcW w:w="457"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1</w:t>
            </w:r>
          </w:p>
        </w:tc>
        <w:tc>
          <w:tcPr>
            <w:tcW w:w="1249"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投标函</w:t>
            </w:r>
          </w:p>
        </w:tc>
        <w:tc>
          <w:tcPr>
            <w:tcW w:w="2726" w:type="pct"/>
            <w:tcBorders>
              <w:top w:val="nil"/>
              <w:left w:val="nil"/>
              <w:bottom w:val="single" w:color="auto" w:sz="4" w:space="0"/>
              <w:right w:val="single" w:color="auto" w:sz="4" w:space="0"/>
            </w:tcBorders>
            <w:vAlign w:val="center"/>
          </w:tcPr>
          <w:p>
            <w:pPr>
              <w:rPr>
                <w:rFonts w:hint="default" w:ascii="宋体" w:hAnsi="宋体" w:eastAsia="宋体" w:cs="宋体"/>
                <w:highlight w:val="none"/>
                <w:lang w:val="en-US" w:eastAsia="zh-CN"/>
              </w:rPr>
            </w:pPr>
            <w:r>
              <w:rPr>
                <w:rFonts w:hint="eastAsia" w:ascii="宋体" w:hAnsi="宋体" w:cs="宋体"/>
                <w:highlight w:val="none"/>
              </w:rPr>
              <w:t>按对应格式文件填写、签署、盖章</w:t>
            </w:r>
            <w:r>
              <w:rPr>
                <w:rFonts w:hint="eastAsia" w:ascii="宋体" w:hAnsi="宋体" w:cs="宋体"/>
                <w:highlight w:val="none"/>
                <w:lang w:eastAsia="zh-CN"/>
              </w:rPr>
              <w:t>（</w:t>
            </w:r>
            <w:r>
              <w:rPr>
                <w:rFonts w:hint="eastAsia" w:ascii="宋体" w:hAnsi="宋体" w:cs="宋体"/>
                <w:highlight w:val="none"/>
                <w:lang w:val="en-US" w:eastAsia="zh-CN"/>
              </w:rPr>
              <w:t>原件）</w:t>
            </w:r>
          </w:p>
        </w:tc>
        <w:tc>
          <w:tcPr>
            <w:tcW w:w="566" w:type="pct"/>
            <w:tcBorders>
              <w:top w:val="nil"/>
              <w:left w:val="nil"/>
              <w:bottom w:val="single" w:color="auto" w:sz="4" w:space="0"/>
              <w:right w:val="single" w:color="auto" w:sz="4" w:space="0"/>
            </w:tcBorders>
            <w:vAlign w:val="center"/>
          </w:tcPr>
          <w:p>
            <w:pPr>
              <w:jc w:val="center"/>
              <w:rPr>
                <w:rFonts w:ascii="宋体" w:hAnsi="宋体" w:cs="宋体"/>
                <w:highlight w:val="none"/>
              </w:rPr>
            </w:pPr>
          </w:p>
        </w:tc>
      </w:tr>
      <w:tr>
        <w:tblPrEx>
          <w:tblCellMar>
            <w:top w:w="0" w:type="dxa"/>
            <w:left w:w="108" w:type="dxa"/>
            <w:bottom w:w="0" w:type="dxa"/>
            <w:right w:w="108" w:type="dxa"/>
          </w:tblCellMar>
        </w:tblPrEx>
        <w:trPr>
          <w:trHeight w:val="971" w:hRule="atLeast"/>
        </w:trPr>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2</w:t>
            </w:r>
          </w:p>
        </w:tc>
        <w:tc>
          <w:tcPr>
            <w:tcW w:w="12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lang w:eastAsia="zh-CN"/>
              </w:rPr>
              <w:t>法定代表人（或负责人）证明书及授权委托书</w:t>
            </w:r>
          </w:p>
        </w:tc>
        <w:tc>
          <w:tcPr>
            <w:tcW w:w="2726"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highlight w:val="none"/>
                <w:lang w:val="en-US" w:eastAsia="zh-CN"/>
              </w:rPr>
            </w:pPr>
            <w:r>
              <w:rPr>
                <w:rFonts w:hint="eastAsia" w:ascii="宋体" w:hAnsi="宋体" w:cs="宋体"/>
                <w:highlight w:val="none"/>
              </w:rPr>
              <w:t>按对应格式文件填写、签署、盖章</w:t>
            </w:r>
            <w:r>
              <w:rPr>
                <w:rFonts w:hint="eastAsia" w:ascii="宋体" w:hAnsi="宋体" w:cs="宋体"/>
                <w:highlight w:val="none"/>
                <w:lang w:eastAsia="zh-CN"/>
              </w:rPr>
              <w:t>（</w:t>
            </w:r>
            <w:r>
              <w:rPr>
                <w:rFonts w:hint="eastAsia" w:ascii="宋体" w:hAnsi="宋体" w:cs="宋体"/>
                <w:highlight w:val="none"/>
                <w:lang w:val="en-US" w:eastAsia="zh-CN"/>
              </w:rPr>
              <w:t>原件）</w:t>
            </w:r>
          </w:p>
        </w:tc>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r>
      <w:tr>
        <w:tblPrEx>
          <w:tblCellMar>
            <w:top w:w="0" w:type="dxa"/>
            <w:left w:w="108" w:type="dxa"/>
            <w:bottom w:w="0" w:type="dxa"/>
            <w:right w:w="108" w:type="dxa"/>
          </w:tblCellMar>
        </w:tblPrEx>
        <w:trPr>
          <w:trHeight w:val="1254" w:hRule="atLeast"/>
        </w:trPr>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3</w:t>
            </w:r>
          </w:p>
        </w:tc>
        <w:tc>
          <w:tcPr>
            <w:tcW w:w="1249" w:type="pct"/>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报价要求</w:t>
            </w:r>
          </w:p>
        </w:tc>
        <w:tc>
          <w:tcPr>
            <w:tcW w:w="2726" w:type="pct"/>
            <w:tcBorders>
              <w:top w:val="single" w:color="auto" w:sz="4" w:space="0"/>
              <w:left w:val="nil"/>
              <w:bottom w:val="single" w:color="auto" w:sz="4" w:space="0"/>
              <w:right w:val="single" w:color="auto" w:sz="4" w:space="0"/>
            </w:tcBorders>
            <w:vAlign w:val="center"/>
          </w:tcPr>
          <w:p>
            <w:pPr>
              <w:pStyle w:val="119"/>
              <w:rPr>
                <w:rFonts w:ascii="宋体" w:hAnsi="宋体" w:eastAsia="宋体" w:cs="宋体"/>
                <w:color w:val="auto"/>
                <w:highlight w:val="none"/>
              </w:rPr>
            </w:pPr>
            <w:r>
              <w:rPr>
                <w:rFonts w:hint="eastAsia" w:ascii="宋体" w:hAnsi="宋体" w:eastAsia="宋体" w:cs="宋体"/>
                <w:color w:val="auto"/>
                <w:highlight w:val="none"/>
              </w:rPr>
              <w:t>1）报价未超过本项目最高限价规定；</w:t>
            </w:r>
          </w:p>
          <w:p>
            <w:pPr>
              <w:pStyle w:val="119"/>
              <w:rPr>
                <w:rFonts w:ascii="宋体" w:hAnsi="宋体" w:eastAsia="宋体" w:cs="宋体"/>
                <w:color w:val="auto"/>
                <w:highlight w:val="none"/>
              </w:rPr>
            </w:pPr>
            <w:r>
              <w:rPr>
                <w:rFonts w:hint="eastAsia" w:ascii="宋体" w:hAnsi="宋体" w:eastAsia="宋体" w:cs="宋体"/>
                <w:color w:val="auto"/>
                <w:highlight w:val="none"/>
              </w:rPr>
              <w:t>2）对本项目内全部内容进行报价；</w:t>
            </w:r>
          </w:p>
          <w:p>
            <w:pPr>
              <w:pStyle w:val="119"/>
              <w:rPr>
                <w:rFonts w:ascii="宋体" w:hAnsi="宋体" w:eastAsia="宋体" w:cs="宋体"/>
                <w:color w:val="auto"/>
                <w:highlight w:val="none"/>
              </w:rPr>
            </w:pPr>
            <w:r>
              <w:rPr>
                <w:rFonts w:hint="eastAsia" w:ascii="宋体" w:hAnsi="宋体" w:eastAsia="宋体" w:cs="宋体"/>
                <w:color w:val="auto"/>
                <w:highlight w:val="none"/>
              </w:rPr>
              <w:t>3）报价不低于成本价,且是唯一确定的；</w:t>
            </w:r>
          </w:p>
        </w:tc>
        <w:tc>
          <w:tcPr>
            <w:tcW w:w="566" w:type="pct"/>
            <w:tcBorders>
              <w:top w:val="single" w:color="auto" w:sz="4" w:space="0"/>
              <w:left w:val="nil"/>
              <w:bottom w:val="single" w:color="auto" w:sz="4" w:space="0"/>
              <w:right w:val="single" w:color="auto" w:sz="4" w:space="0"/>
            </w:tcBorders>
            <w:vAlign w:val="center"/>
          </w:tcPr>
          <w:p>
            <w:pPr>
              <w:pStyle w:val="119"/>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94" w:hRule="atLeast"/>
        </w:trPr>
        <w:tc>
          <w:tcPr>
            <w:tcW w:w="457"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4</w:t>
            </w:r>
          </w:p>
        </w:tc>
        <w:tc>
          <w:tcPr>
            <w:tcW w:w="1249"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有效期</w:t>
            </w:r>
          </w:p>
        </w:tc>
        <w:tc>
          <w:tcPr>
            <w:tcW w:w="2726" w:type="pct"/>
            <w:tcBorders>
              <w:top w:val="nil"/>
              <w:left w:val="nil"/>
              <w:bottom w:val="single" w:color="auto" w:sz="4" w:space="0"/>
              <w:right w:val="single" w:color="auto" w:sz="4" w:space="0"/>
            </w:tcBorders>
            <w:vAlign w:val="center"/>
          </w:tcPr>
          <w:p>
            <w:pPr>
              <w:pStyle w:val="119"/>
              <w:rPr>
                <w:rFonts w:ascii="宋体" w:hAnsi="宋体" w:eastAsia="宋体" w:cs="宋体"/>
                <w:color w:val="auto"/>
                <w:highlight w:val="none"/>
              </w:rPr>
            </w:pPr>
            <w:r>
              <w:rPr>
                <w:rFonts w:hint="eastAsia" w:ascii="宋体" w:hAnsi="宋体" w:eastAsia="宋体" w:cs="宋体"/>
                <w:color w:val="auto"/>
                <w:highlight w:val="none"/>
              </w:rPr>
              <w:t>递交投标文件截止日起90天</w:t>
            </w:r>
          </w:p>
        </w:tc>
        <w:tc>
          <w:tcPr>
            <w:tcW w:w="566" w:type="pct"/>
            <w:tcBorders>
              <w:top w:val="nil"/>
              <w:left w:val="nil"/>
              <w:bottom w:val="single" w:color="auto" w:sz="4" w:space="0"/>
              <w:right w:val="single" w:color="auto" w:sz="4" w:space="0"/>
            </w:tcBorders>
            <w:vAlign w:val="center"/>
          </w:tcPr>
          <w:p>
            <w:pPr>
              <w:pStyle w:val="119"/>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94" w:hRule="atLeast"/>
        </w:trPr>
        <w:tc>
          <w:tcPr>
            <w:tcW w:w="457"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5</w:t>
            </w:r>
          </w:p>
        </w:tc>
        <w:tc>
          <w:tcPr>
            <w:tcW w:w="1249"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投标文件</w:t>
            </w:r>
          </w:p>
        </w:tc>
        <w:tc>
          <w:tcPr>
            <w:tcW w:w="2726" w:type="pct"/>
            <w:tcBorders>
              <w:top w:val="nil"/>
              <w:left w:val="nil"/>
              <w:bottom w:val="single" w:color="auto" w:sz="4" w:space="0"/>
              <w:right w:val="single" w:color="auto" w:sz="4" w:space="0"/>
            </w:tcBorders>
            <w:vAlign w:val="center"/>
          </w:tcPr>
          <w:p>
            <w:pPr>
              <w:pStyle w:val="119"/>
              <w:rPr>
                <w:rFonts w:ascii="宋体" w:hAnsi="宋体" w:eastAsia="宋体" w:cs="宋体"/>
                <w:color w:val="auto"/>
                <w:highlight w:val="none"/>
              </w:rPr>
            </w:pPr>
            <w:r>
              <w:rPr>
                <w:rFonts w:hint="eastAsia" w:ascii="宋体" w:hAnsi="宋体" w:eastAsia="宋体" w:cs="宋体"/>
                <w:color w:val="auto"/>
                <w:highlight w:val="none"/>
              </w:rPr>
              <w:t>投标文件完整，无重大错漏，按照招标文件规定要求签署、盖章</w:t>
            </w:r>
          </w:p>
        </w:tc>
        <w:tc>
          <w:tcPr>
            <w:tcW w:w="566" w:type="pct"/>
            <w:tcBorders>
              <w:top w:val="nil"/>
              <w:left w:val="nil"/>
              <w:bottom w:val="single" w:color="auto" w:sz="4" w:space="0"/>
              <w:right w:val="single" w:color="auto" w:sz="4" w:space="0"/>
            </w:tcBorders>
            <w:vAlign w:val="center"/>
          </w:tcPr>
          <w:p>
            <w:pPr>
              <w:pStyle w:val="119"/>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94" w:hRule="atLeast"/>
        </w:trPr>
        <w:tc>
          <w:tcPr>
            <w:tcW w:w="457"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6</w:t>
            </w:r>
          </w:p>
        </w:tc>
        <w:tc>
          <w:tcPr>
            <w:tcW w:w="1249"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实质响应</w:t>
            </w:r>
          </w:p>
        </w:tc>
        <w:tc>
          <w:tcPr>
            <w:tcW w:w="2726" w:type="pct"/>
            <w:tcBorders>
              <w:top w:val="nil"/>
              <w:left w:val="nil"/>
              <w:bottom w:val="single" w:color="auto" w:sz="4" w:space="0"/>
              <w:right w:val="single" w:color="auto" w:sz="4" w:space="0"/>
            </w:tcBorders>
            <w:vAlign w:val="center"/>
          </w:tcPr>
          <w:p>
            <w:pPr>
              <w:pStyle w:val="119"/>
              <w:rPr>
                <w:rFonts w:ascii="宋体" w:hAnsi="宋体" w:eastAsia="宋体" w:cs="宋体"/>
                <w:color w:val="auto"/>
                <w:highlight w:val="none"/>
              </w:rPr>
            </w:pPr>
            <w:r>
              <w:rPr>
                <w:rFonts w:hint="eastAsia" w:ascii="宋体" w:hAnsi="宋体" w:eastAsia="宋体" w:cs="宋体"/>
                <w:bCs/>
                <w:color w:val="auto"/>
                <w:highlight w:val="none"/>
              </w:rPr>
              <w:t>投标文件对招标文件中标注★号条款</w:t>
            </w:r>
            <w:r>
              <w:rPr>
                <w:rFonts w:hint="eastAsia" w:ascii="宋体" w:hAnsi="宋体" w:eastAsia="宋体" w:cs="宋体"/>
                <w:color w:val="auto"/>
                <w:highlight w:val="none"/>
              </w:rPr>
              <w:t>实质性响应</w:t>
            </w:r>
          </w:p>
        </w:tc>
        <w:tc>
          <w:tcPr>
            <w:tcW w:w="566" w:type="pct"/>
            <w:tcBorders>
              <w:top w:val="nil"/>
              <w:left w:val="nil"/>
              <w:bottom w:val="single" w:color="auto" w:sz="4" w:space="0"/>
              <w:right w:val="single" w:color="auto" w:sz="4" w:space="0"/>
            </w:tcBorders>
            <w:vAlign w:val="center"/>
          </w:tcPr>
          <w:p>
            <w:pPr>
              <w:pStyle w:val="119"/>
              <w:jc w:val="center"/>
              <w:rPr>
                <w:rFonts w:ascii="宋体" w:hAnsi="宋体" w:eastAsia="宋体" w:cs="宋体"/>
                <w:bCs/>
                <w:color w:val="auto"/>
                <w:highlight w:val="none"/>
              </w:rPr>
            </w:pPr>
          </w:p>
        </w:tc>
      </w:tr>
      <w:tr>
        <w:tblPrEx>
          <w:tblCellMar>
            <w:top w:w="0" w:type="dxa"/>
            <w:left w:w="108" w:type="dxa"/>
            <w:bottom w:w="0" w:type="dxa"/>
            <w:right w:w="108" w:type="dxa"/>
          </w:tblCellMar>
        </w:tblPrEx>
        <w:trPr>
          <w:trHeight w:val="1341" w:hRule="atLeast"/>
        </w:trPr>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7</w:t>
            </w:r>
          </w:p>
        </w:tc>
        <w:tc>
          <w:tcPr>
            <w:tcW w:w="12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其他</w:t>
            </w:r>
          </w:p>
        </w:tc>
        <w:tc>
          <w:tcPr>
            <w:tcW w:w="272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1）投标文件中没有采购人不能接受的附加条件；</w:t>
            </w:r>
          </w:p>
          <w:p>
            <w:pPr>
              <w:rPr>
                <w:highlight w:val="none"/>
              </w:rPr>
            </w:pPr>
            <w:r>
              <w:rPr>
                <w:rFonts w:hint="eastAsia" w:ascii="宋体" w:hAnsi="宋体" w:cs="宋体"/>
                <w:highlight w:val="none"/>
              </w:rPr>
              <w:t>2）投标人不存在法律、法规和招标文件规定的其他无效情形；</w:t>
            </w:r>
          </w:p>
        </w:tc>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r>
      <w:tr>
        <w:tblPrEx>
          <w:tblCellMar>
            <w:top w:w="0" w:type="dxa"/>
            <w:left w:w="108" w:type="dxa"/>
            <w:bottom w:w="0" w:type="dxa"/>
            <w:right w:w="108" w:type="dxa"/>
          </w:tblCellMar>
        </w:tblPrEx>
        <w:trPr>
          <w:trHeight w:val="727" w:hRule="atLeast"/>
        </w:trPr>
        <w:tc>
          <w:tcPr>
            <w:tcW w:w="443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结论</w:t>
            </w:r>
          </w:p>
        </w:tc>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r>
    </w:tbl>
    <w:p>
      <w:pPr>
        <w:spacing w:line="360" w:lineRule="auto"/>
        <w:ind w:firstLine="720" w:firstLineChars="300"/>
        <w:rPr>
          <w:rFonts w:ascii="宋体" w:hAnsi="宋体" w:cs="宋体"/>
          <w:highlight w:val="none"/>
        </w:rPr>
      </w:pPr>
    </w:p>
    <w:p>
      <w:pPr>
        <w:spacing w:line="360" w:lineRule="auto"/>
        <w:ind w:firstLine="720" w:firstLineChars="300"/>
        <w:rPr>
          <w:rFonts w:ascii="宋体" w:hAnsi="宋体" w:cs="宋体"/>
          <w:highlight w:val="none"/>
        </w:rPr>
      </w:pPr>
      <w:r>
        <w:rPr>
          <w:rFonts w:hint="eastAsia" w:ascii="宋体" w:hAnsi="宋体" w:cs="宋体"/>
          <w:highlight w:val="none"/>
        </w:rPr>
        <w:t>①表中只需填写“○/符合”或“×/不符合”；</w:t>
      </w:r>
    </w:p>
    <w:p>
      <w:pPr>
        <w:spacing w:line="360" w:lineRule="auto"/>
        <w:ind w:firstLine="720" w:firstLineChars="300"/>
        <w:rPr>
          <w:rFonts w:ascii="宋体" w:hAnsi="宋体" w:cs="宋体"/>
          <w:highlight w:val="none"/>
        </w:rPr>
      </w:pPr>
      <w:r>
        <w:rPr>
          <w:rFonts w:hint="eastAsia" w:ascii="宋体" w:hAnsi="宋体" w:cs="宋体"/>
          <w:highlight w:val="none"/>
        </w:rPr>
        <w:t>②在结论栏中按“一票否决”填写“通过”或“不通过”，任何一项出现“×/不符合”的，结论为不通过；不通过的为无效投标文件；</w:t>
      </w:r>
    </w:p>
    <w:p>
      <w:pPr>
        <w:spacing w:line="360" w:lineRule="auto"/>
        <w:ind w:firstLine="720" w:firstLineChars="300"/>
        <w:rPr>
          <w:rFonts w:ascii="宋体" w:hAnsi="宋体" w:cs="宋体"/>
          <w:highlight w:val="none"/>
        </w:rPr>
      </w:pPr>
      <w:r>
        <w:rPr>
          <w:rFonts w:hint="eastAsia" w:ascii="宋体" w:hAnsi="宋体" w:cs="宋体"/>
          <w:highlight w:val="none"/>
        </w:rPr>
        <w:t>③不能通过符合性审查的供应商，无需进行技术商务、价格评审。</w:t>
      </w:r>
    </w:p>
    <w:p>
      <w:pPr>
        <w:pStyle w:val="3"/>
        <w:rPr>
          <w:rFonts w:ascii="宋体" w:hAnsi="宋体" w:cs="宋体"/>
          <w:highlight w:val="none"/>
        </w:rPr>
        <w:sectPr>
          <w:pgSz w:w="11906" w:h="16838"/>
          <w:pgMar w:top="1440" w:right="1800" w:bottom="1440" w:left="1800" w:header="850" w:footer="992" w:gutter="0"/>
          <w:pgNumType w:fmt="decimal"/>
          <w:cols w:space="720" w:num="1"/>
          <w:docGrid w:linePitch="312" w:charSpace="0"/>
        </w:sectPr>
      </w:pPr>
    </w:p>
    <w:p>
      <w:pPr>
        <w:spacing w:line="360" w:lineRule="auto"/>
        <w:jc w:val="center"/>
        <w:rPr>
          <w:rFonts w:hint="eastAsia" w:ascii="宋体" w:hAnsi="宋体" w:cs="宋体"/>
          <w:b/>
          <w:highlight w:val="none"/>
        </w:rPr>
      </w:pPr>
      <w:r>
        <w:rPr>
          <w:rFonts w:hint="eastAsia" w:ascii="宋体" w:hAnsi="宋体" w:cs="宋体"/>
          <w:b/>
          <w:highlight w:val="none"/>
        </w:rPr>
        <w:t>附表3.</w:t>
      </w:r>
      <w:r>
        <w:rPr>
          <w:rFonts w:hint="eastAsia"/>
          <w:highlight w:val="none"/>
        </w:rPr>
        <w:t xml:space="preserve"> </w:t>
      </w:r>
      <w:r>
        <w:rPr>
          <w:rFonts w:hint="eastAsia" w:ascii="宋体" w:hAnsi="宋体" w:cs="宋体"/>
          <w:b/>
          <w:highlight w:val="none"/>
        </w:rPr>
        <w:t>商务评审表</w:t>
      </w:r>
    </w:p>
    <w:tbl>
      <w:tblPr>
        <w:tblStyle w:val="40"/>
        <w:tblW w:w="5000" w:type="pct"/>
        <w:tblInd w:w="0" w:type="dxa"/>
        <w:tblLayout w:type="autofit"/>
        <w:tblCellMar>
          <w:top w:w="15" w:type="dxa"/>
          <w:left w:w="108" w:type="dxa"/>
          <w:bottom w:w="15" w:type="dxa"/>
          <w:right w:w="108" w:type="dxa"/>
        </w:tblCellMar>
      </w:tblPr>
      <w:tblGrid>
        <w:gridCol w:w="592"/>
        <w:gridCol w:w="1325"/>
        <w:gridCol w:w="5928"/>
        <w:gridCol w:w="677"/>
      </w:tblGrid>
      <w:tr>
        <w:tblPrEx>
          <w:tblCellMar>
            <w:top w:w="15" w:type="dxa"/>
            <w:left w:w="108" w:type="dxa"/>
            <w:bottom w:w="15" w:type="dxa"/>
            <w:right w:w="108" w:type="dxa"/>
          </w:tblCellMar>
        </w:tblPrEx>
        <w:trPr>
          <w:trHeight w:val="510" w:hRule="atLeast"/>
        </w:trPr>
        <w:tc>
          <w:tcPr>
            <w:tcW w:w="34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b/>
                <w:bCs/>
                <w:color w:val="auto"/>
                <w:szCs w:val="21"/>
                <w:highlight w:val="none"/>
              </w:rPr>
            </w:pPr>
            <w:r>
              <w:rPr>
                <w:rFonts w:hint="eastAsia" w:ascii="宋体" w:hAnsi="宋体" w:cs="Arial"/>
                <w:b/>
                <w:bCs/>
                <w:color w:val="auto"/>
                <w:szCs w:val="21"/>
                <w:highlight w:val="none"/>
              </w:rPr>
              <w:t>序号</w:t>
            </w:r>
          </w:p>
        </w:tc>
        <w:tc>
          <w:tcPr>
            <w:tcW w:w="777"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b/>
                <w:bCs/>
                <w:color w:val="auto"/>
                <w:szCs w:val="21"/>
                <w:highlight w:val="none"/>
              </w:rPr>
            </w:pPr>
            <w:r>
              <w:rPr>
                <w:rFonts w:hint="eastAsia" w:ascii="宋体" w:hAnsi="宋体" w:cs="Arial"/>
                <w:b/>
                <w:bCs/>
                <w:color w:val="auto"/>
                <w:szCs w:val="21"/>
                <w:highlight w:val="none"/>
              </w:rPr>
              <w:t>评审内容</w:t>
            </w:r>
          </w:p>
        </w:tc>
        <w:tc>
          <w:tcPr>
            <w:tcW w:w="3476"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b/>
                <w:bCs/>
                <w:color w:val="auto"/>
                <w:szCs w:val="21"/>
                <w:highlight w:val="none"/>
              </w:rPr>
            </w:pPr>
            <w:r>
              <w:rPr>
                <w:rFonts w:hint="eastAsia" w:ascii="宋体" w:hAnsi="宋体" w:cs="Arial"/>
                <w:b/>
                <w:bCs/>
                <w:color w:val="auto"/>
                <w:szCs w:val="21"/>
                <w:highlight w:val="none"/>
              </w:rPr>
              <w:t>评分细则</w:t>
            </w: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b/>
                <w:bCs/>
                <w:color w:val="auto"/>
                <w:szCs w:val="21"/>
                <w:highlight w:val="none"/>
              </w:rPr>
            </w:pPr>
            <w:r>
              <w:rPr>
                <w:rFonts w:hint="eastAsia" w:ascii="宋体" w:hAnsi="宋体" w:cs="Arial"/>
                <w:b/>
                <w:bCs/>
                <w:color w:val="auto"/>
                <w:szCs w:val="21"/>
                <w:highlight w:val="none"/>
              </w:rPr>
              <w:t>分值</w:t>
            </w:r>
          </w:p>
        </w:tc>
      </w:tr>
      <w:tr>
        <w:tblPrEx>
          <w:tblCellMar>
            <w:top w:w="15" w:type="dxa"/>
            <w:left w:w="108" w:type="dxa"/>
            <w:bottom w:w="15" w:type="dxa"/>
            <w:right w:w="108" w:type="dxa"/>
          </w:tblCellMar>
        </w:tblPrEx>
        <w:trPr>
          <w:trHeight w:val="1139" w:hRule="atLeast"/>
        </w:trPr>
        <w:tc>
          <w:tcPr>
            <w:tcW w:w="34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hint="eastAsia" w:ascii="宋体" w:hAnsi="宋体" w:eastAsia="宋体" w:cs="Arial"/>
                <w:color w:val="auto"/>
                <w:sz w:val="24"/>
                <w:szCs w:val="24"/>
                <w:highlight w:val="none"/>
                <w:lang w:val="en-US" w:eastAsia="zh-CN" w:bidi="ar-SA"/>
              </w:rPr>
            </w:pPr>
            <w:r>
              <w:rPr>
                <w:rFonts w:hint="eastAsia" w:ascii="宋体" w:hAnsi="宋体" w:cs="Arial"/>
                <w:color w:val="auto"/>
                <w:sz w:val="24"/>
                <w:highlight w:val="none"/>
                <w:lang w:val="en-US" w:eastAsia="zh-CN"/>
              </w:rPr>
              <w:t>1</w:t>
            </w:r>
          </w:p>
        </w:tc>
        <w:tc>
          <w:tcPr>
            <w:tcW w:w="7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bCs/>
                <w:sz w:val="24"/>
                <w:szCs w:val="21"/>
                <w:highlight w:val="none"/>
                <w:lang w:val="en-US" w:eastAsia="zh-CN" w:bidi="ar-SA"/>
              </w:rPr>
            </w:pPr>
            <w:r>
              <w:rPr>
                <w:rFonts w:hint="eastAsia" w:ascii="宋体" w:hAnsi="宋体" w:eastAsia="宋体" w:cs="宋体"/>
                <w:bCs/>
                <w:sz w:val="24"/>
                <w:szCs w:val="21"/>
                <w:highlight w:val="none"/>
                <w:lang w:val="en-US" w:eastAsia="zh-CN" w:bidi="ar-SA"/>
              </w:rPr>
              <w:t>用户需求响应程度</w:t>
            </w:r>
          </w:p>
        </w:tc>
        <w:tc>
          <w:tcPr>
            <w:tcW w:w="347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宋体" w:hAnsi="宋体" w:eastAsia="宋体" w:cs="宋体"/>
                <w:bCs/>
                <w:sz w:val="24"/>
                <w:szCs w:val="21"/>
                <w:highlight w:val="yellow"/>
                <w:lang w:val="en-US" w:eastAsia="zh-CN" w:bidi="ar-SA"/>
              </w:rPr>
            </w:pPr>
            <w:r>
              <w:rPr>
                <w:rFonts w:hint="eastAsia" w:ascii="宋体" w:hAnsi="宋体" w:eastAsia="宋体" w:cs="宋体"/>
                <w:bCs/>
                <w:sz w:val="24"/>
                <w:szCs w:val="21"/>
                <w:highlight w:val="yellow"/>
                <w:lang w:val="en-US" w:eastAsia="zh-CN" w:bidi="ar-SA"/>
              </w:rPr>
              <w:t>投标人对用户需求书中要求的条款完全响应得</w:t>
            </w:r>
            <w:r>
              <w:rPr>
                <w:rFonts w:hint="eastAsia" w:ascii="宋体" w:hAnsi="宋体" w:cs="宋体"/>
                <w:bCs/>
                <w:sz w:val="24"/>
                <w:szCs w:val="21"/>
                <w:highlight w:val="yellow"/>
                <w:lang w:val="en-US" w:eastAsia="zh-CN" w:bidi="ar-SA"/>
              </w:rPr>
              <w:t>8</w:t>
            </w:r>
            <w:r>
              <w:rPr>
                <w:rFonts w:hint="eastAsia" w:ascii="宋体" w:hAnsi="宋体" w:eastAsia="宋体" w:cs="宋体"/>
                <w:bCs/>
                <w:sz w:val="24"/>
                <w:szCs w:val="21"/>
                <w:highlight w:val="yellow"/>
                <w:lang w:val="en-US" w:eastAsia="zh-CN" w:bidi="ar-SA"/>
              </w:rPr>
              <w:t>分</w:t>
            </w:r>
            <w:r>
              <w:rPr>
                <w:rFonts w:hint="eastAsia" w:ascii="宋体" w:hAnsi="宋体" w:cs="宋体"/>
                <w:bCs/>
                <w:sz w:val="24"/>
                <w:szCs w:val="21"/>
                <w:highlight w:val="yellow"/>
                <w:lang w:val="en-US" w:eastAsia="zh-CN" w:bidi="ar-SA"/>
              </w:rPr>
              <w:t>；</w:t>
            </w:r>
            <w:r>
              <w:rPr>
                <w:rFonts w:hint="eastAsia" w:ascii="宋体" w:hAnsi="宋体" w:eastAsia="宋体" w:cs="宋体"/>
                <w:bCs/>
                <w:sz w:val="24"/>
                <w:szCs w:val="21"/>
                <w:highlight w:val="yellow"/>
                <w:lang w:val="en-US" w:eastAsia="zh-CN" w:bidi="ar-SA"/>
              </w:rPr>
              <w:t>有任何一项</w:t>
            </w:r>
            <w:r>
              <w:rPr>
                <w:rFonts w:hint="eastAsia" w:ascii="宋体" w:hAnsi="宋体"/>
                <w:sz w:val="24"/>
                <w:szCs w:val="24"/>
                <w:highlight w:val="yellow"/>
                <w:lang w:val="en-US" w:eastAsia="zh-CN"/>
              </w:rPr>
              <w:t>▲条款</w:t>
            </w:r>
            <w:r>
              <w:rPr>
                <w:rFonts w:hint="eastAsia" w:ascii="宋体" w:hAnsi="宋体" w:eastAsia="宋体" w:cs="宋体"/>
                <w:bCs/>
                <w:sz w:val="24"/>
                <w:szCs w:val="21"/>
                <w:highlight w:val="yellow"/>
                <w:lang w:val="en-US" w:eastAsia="zh-CN" w:bidi="ar-SA"/>
              </w:rPr>
              <w:t>负偏离</w:t>
            </w:r>
            <w:r>
              <w:rPr>
                <w:rFonts w:hint="eastAsia" w:ascii="宋体" w:hAnsi="宋体" w:cs="宋体"/>
                <w:bCs/>
                <w:sz w:val="24"/>
                <w:szCs w:val="21"/>
                <w:highlight w:val="yellow"/>
                <w:lang w:val="en-US" w:eastAsia="zh-CN" w:bidi="ar-SA"/>
              </w:rPr>
              <w:t>的，每项扣1分</w:t>
            </w:r>
            <w:r>
              <w:rPr>
                <w:rFonts w:hint="eastAsia" w:ascii="宋体" w:hAnsi="宋体" w:eastAsia="宋体" w:cs="宋体"/>
                <w:bCs/>
                <w:sz w:val="24"/>
                <w:szCs w:val="21"/>
                <w:highlight w:val="yellow"/>
                <w:lang w:val="en-US" w:eastAsia="zh-CN" w:bidi="ar-SA"/>
              </w:rPr>
              <w:t>。</w:t>
            </w:r>
          </w:p>
        </w:tc>
        <w:tc>
          <w:tcPr>
            <w:tcW w:w="3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cs="Times New Roman"/>
                <w:highlight w:val="yellow"/>
                <w:lang w:val="en-US" w:eastAsia="zh-CN"/>
              </w:rPr>
            </w:pPr>
            <w:r>
              <w:rPr>
                <w:rFonts w:hint="eastAsia" w:ascii="宋体" w:hAnsi="宋体" w:cs="Times New Roman"/>
                <w:highlight w:val="yellow"/>
                <w:lang w:val="en-US" w:eastAsia="zh-CN"/>
              </w:rPr>
              <w:t>8</w:t>
            </w:r>
          </w:p>
        </w:tc>
      </w:tr>
      <w:tr>
        <w:tblPrEx>
          <w:tblCellMar>
            <w:top w:w="15" w:type="dxa"/>
            <w:left w:w="108" w:type="dxa"/>
            <w:bottom w:w="15" w:type="dxa"/>
            <w:right w:w="108" w:type="dxa"/>
          </w:tblCellMar>
        </w:tblPrEx>
        <w:trPr>
          <w:trHeight w:val="3666" w:hRule="atLeast"/>
        </w:trPr>
        <w:tc>
          <w:tcPr>
            <w:tcW w:w="34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hint="default" w:ascii="宋体" w:hAnsi="宋体" w:eastAsia="宋体" w:cs="Arial"/>
                <w:color w:val="auto"/>
                <w:sz w:val="24"/>
                <w:szCs w:val="24"/>
                <w:highlight w:val="none"/>
                <w:lang w:val="en-US" w:eastAsia="zh-CN" w:bidi="ar-SA"/>
              </w:rPr>
            </w:pPr>
            <w:r>
              <w:rPr>
                <w:rFonts w:hint="eastAsia" w:ascii="宋体" w:hAnsi="宋体" w:cs="Arial"/>
                <w:color w:val="auto"/>
                <w:sz w:val="24"/>
                <w:highlight w:val="none"/>
                <w:lang w:val="en-US" w:eastAsia="zh-CN"/>
              </w:rPr>
              <w:t>2</w:t>
            </w:r>
          </w:p>
        </w:tc>
        <w:tc>
          <w:tcPr>
            <w:tcW w:w="7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人员资质</w:t>
            </w:r>
          </w:p>
        </w:tc>
        <w:tc>
          <w:tcPr>
            <w:tcW w:w="3476" w:type="pct"/>
            <w:tcBorders>
              <w:top w:val="single" w:color="000000" w:sz="4" w:space="0"/>
              <w:left w:val="single" w:color="000000" w:sz="4" w:space="0"/>
              <w:bottom w:val="single" w:color="000000" w:sz="4" w:space="0"/>
              <w:right w:val="single" w:color="000000" w:sz="4" w:space="0"/>
            </w:tcBorders>
            <w:vAlign w:val="center"/>
          </w:tcPr>
          <w:p>
            <w:pPr>
              <w:rPr>
                <w:rFonts w:hint="eastAsia"/>
                <w:highlight w:val="none"/>
              </w:rPr>
            </w:pPr>
            <w:r>
              <w:rPr>
                <w:rFonts w:hint="eastAsia"/>
                <w:highlight w:val="none"/>
                <w:lang w:val="en-US" w:eastAsia="zh-CN"/>
              </w:rPr>
              <w:t>1、</w:t>
            </w:r>
            <w:r>
              <w:rPr>
                <w:rFonts w:hint="eastAsia"/>
                <w:highlight w:val="none"/>
              </w:rPr>
              <w:t>投标人具有人力资源管理师，能科学规范处理劳动纠纷，每提供1名人力资源管理师资格证得1分，本项目最高得3分；</w:t>
            </w:r>
          </w:p>
          <w:p>
            <w:pPr>
              <w:rPr>
                <w:rFonts w:hint="eastAsia"/>
                <w:highlight w:val="none"/>
              </w:rPr>
            </w:pPr>
            <w:r>
              <w:rPr>
                <w:rFonts w:hint="eastAsia"/>
                <w:highlight w:val="none"/>
                <w:lang w:val="en-US" w:eastAsia="zh-CN"/>
              </w:rPr>
              <w:t>2、</w:t>
            </w:r>
            <w:r>
              <w:rPr>
                <w:rFonts w:hint="eastAsia"/>
                <w:highlight w:val="none"/>
              </w:rPr>
              <w:t>投标人拟投入的会务员具备大专以上学历证书，每提供一份证书得1分，最高得2分；无提供不得分；</w:t>
            </w:r>
          </w:p>
          <w:p>
            <w:pPr>
              <w:rPr>
                <w:rFonts w:hint="eastAsia"/>
                <w:highlight w:val="none"/>
              </w:rPr>
            </w:pPr>
            <w:r>
              <w:rPr>
                <w:rFonts w:hint="eastAsia"/>
                <w:highlight w:val="none"/>
                <w:lang w:val="en-US" w:eastAsia="zh-CN"/>
              </w:rPr>
              <w:t>3、</w:t>
            </w:r>
            <w:r>
              <w:rPr>
                <w:rFonts w:hint="eastAsia"/>
                <w:highlight w:val="none"/>
              </w:rPr>
              <w:t>投标人拟投入的人员具备保安员证书，每提供一人得0.5分，本项最高得5分；</w:t>
            </w:r>
          </w:p>
          <w:p>
            <w:pPr>
              <w:rPr>
                <w:rFonts w:hint="eastAsia"/>
                <w:highlight w:val="none"/>
              </w:rPr>
            </w:pPr>
            <w:r>
              <w:rPr>
                <w:rFonts w:hint="eastAsia"/>
                <w:highlight w:val="none"/>
                <w:lang w:val="en-US" w:eastAsia="zh-CN"/>
              </w:rPr>
              <w:t>4、</w:t>
            </w:r>
            <w:r>
              <w:rPr>
                <w:rFonts w:hint="eastAsia"/>
                <w:highlight w:val="none"/>
              </w:rPr>
              <w:t>投标人拟投入的人员具备中式烹调师证书，每提供一人得1分，本项最高得3分；</w:t>
            </w:r>
          </w:p>
          <w:p>
            <w:pPr>
              <w:rPr>
                <w:highlight w:val="none"/>
              </w:rPr>
            </w:pPr>
            <w:r>
              <w:rPr>
                <w:rFonts w:hint="eastAsia"/>
                <w:highlight w:val="none"/>
                <w:lang w:val="en-US" w:eastAsia="zh-CN"/>
              </w:rPr>
              <w:t>5</w:t>
            </w:r>
            <w:r>
              <w:rPr>
                <w:rFonts w:hint="eastAsia"/>
                <w:highlight w:val="none"/>
              </w:rPr>
              <w:t>、投标人拟投入的人员具备电工证书，每提供一人得1分，本项最高得2分；</w:t>
            </w:r>
          </w:p>
        </w:tc>
        <w:tc>
          <w:tcPr>
            <w:tcW w:w="3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宋体" w:hAnsi="宋体" w:cs="Times New Roman"/>
                <w:highlight w:val="none"/>
                <w:lang w:val="en-US" w:eastAsia="zh-CN"/>
              </w:rPr>
            </w:pPr>
            <w:r>
              <w:rPr>
                <w:rFonts w:hint="eastAsia" w:ascii="宋体" w:hAnsi="宋体" w:cs="Times New Roman"/>
                <w:highlight w:val="none"/>
                <w:lang w:val="en-US" w:eastAsia="zh-CN"/>
              </w:rPr>
              <w:t>15</w:t>
            </w:r>
          </w:p>
        </w:tc>
      </w:tr>
      <w:tr>
        <w:tblPrEx>
          <w:tblCellMar>
            <w:top w:w="15" w:type="dxa"/>
            <w:left w:w="108" w:type="dxa"/>
            <w:bottom w:w="15" w:type="dxa"/>
            <w:right w:w="108" w:type="dxa"/>
          </w:tblCellMar>
        </w:tblPrEx>
        <w:trPr>
          <w:trHeight w:val="1582" w:hRule="atLeast"/>
        </w:trPr>
        <w:tc>
          <w:tcPr>
            <w:tcW w:w="34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hint="eastAsia" w:ascii="宋体" w:hAnsi="宋体" w:eastAsia="宋体" w:cs="Arial"/>
                <w:color w:val="auto"/>
                <w:sz w:val="24"/>
                <w:szCs w:val="24"/>
                <w:highlight w:val="none"/>
                <w:lang w:val="en-US" w:eastAsia="zh-CN" w:bidi="ar-SA"/>
              </w:rPr>
            </w:pPr>
            <w:r>
              <w:rPr>
                <w:rFonts w:hint="eastAsia" w:ascii="宋体" w:hAnsi="宋体" w:cs="Arial"/>
                <w:color w:val="auto"/>
                <w:sz w:val="24"/>
                <w:highlight w:val="none"/>
                <w:lang w:val="en-US" w:eastAsia="zh-CN"/>
              </w:rPr>
              <w:t>3</w:t>
            </w:r>
          </w:p>
        </w:tc>
        <w:tc>
          <w:tcPr>
            <w:tcW w:w="7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Cs/>
                <w:szCs w:val="21"/>
                <w:highlight w:val="none"/>
              </w:rPr>
            </w:pPr>
            <w:r>
              <w:rPr>
                <w:rFonts w:hint="eastAsia" w:ascii="宋体" w:hAnsi="宋体" w:cs="宋体"/>
                <w:bCs/>
                <w:szCs w:val="21"/>
                <w:highlight w:val="none"/>
              </w:rPr>
              <w:t>经营业绩</w:t>
            </w:r>
          </w:p>
        </w:tc>
        <w:tc>
          <w:tcPr>
            <w:tcW w:w="3476" w:type="pct"/>
            <w:tcBorders>
              <w:top w:val="single" w:color="000000" w:sz="4" w:space="0"/>
              <w:left w:val="single" w:color="000000" w:sz="4" w:space="0"/>
              <w:bottom w:val="single" w:color="000000" w:sz="4" w:space="0"/>
              <w:right w:val="single" w:color="000000" w:sz="4" w:space="0"/>
            </w:tcBorders>
            <w:vAlign w:val="center"/>
          </w:tcPr>
          <w:p>
            <w:pPr>
              <w:rPr>
                <w:rFonts w:hint="eastAsia"/>
                <w:highlight w:val="none"/>
              </w:rPr>
            </w:pPr>
            <w:r>
              <w:rPr>
                <w:rFonts w:hint="eastAsia"/>
                <w:highlight w:val="none"/>
              </w:rPr>
              <w:t>根据投标供应商2019年以来签订（以签订合同时间为准）的物业管理类项目经营业绩（依据合同复印件，原件备查）情况进行评分：每份合同得2分，最高得</w:t>
            </w:r>
            <w:r>
              <w:rPr>
                <w:rFonts w:hint="eastAsia"/>
                <w:highlight w:val="none"/>
                <w:lang w:val="en-US" w:eastAsia="zh-CN"/>
              </w:rPr>
              <w:t>12</w:t>
            </w:r>
            <w:r>
              <w:rPr>
                <w:rFonts w:hint="eastAsia"/>
                <w:highlight w:val="none"/>
              </w:rPr>
              <w:t>分。</w:t>
            </w:r>
          </w:p>
          <w:p>
            <w:pPr>
              <w:rPr>
                <w:highlight w:val="none"/>
              </w:rPr>
            </w:pPr>
            <w:r>
              <w:rPr>
                <w:rFonts w:hint="eastAsia"/>
                <w:highlight w:val="none"/>
              </w:rPr>
              <w:t>须提供上述合同关键页复印件并加盖投标人公章。</w:t>
            </w:r>
          </w:p>
        </w:tc>
        <w:tc>
          <w:tcPr>
            <w:tcW w:w="3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宋体" w:hAnsi="宋体" w:eastAsia="宋体"/>
                <w:highlight w:val="none"/>
                <w:lang w:val="en-US" w:eastAsia="zh-CN"/>
              </w:rPr>
            </w:pPr>
            <w:r>
              <w:rPr>
                <w:rFonts w:hint="eastAsia" w:ascii="宋体" w:hAnsi="宋体"/>
                <w:highlight w:val="none"/>
                <w:lang w:val="en-US" w:eastAsia="zh-CN"/>
              </w:rPr>
              <w:t>12</w:t>
            </w:r>
          </w:p>
        </w:tc>
      </w:tr>
      <w:tr>
        <w:tblPrEx>
          <w:tblCellMar>
            <w:top w:w="15" w:type="dxa"/>
            <w:left w:w="108" w:type="dxa"/>
            <w:bottom w:w="15" w:type="dxa"/>
            <w:right w:w="108" w:type="dxa"/>
          </w:tblCellMar>
        </w:tblPrEx>
        <w:trPr>
          <w:trHeight w:val="510" w:hRule="atLeast"/>
        </w:trPr>
        <w:tc>
          <w:tcPr>
            <w:tcW w:w="4602" w:type="pct"/>
            <w:gridSpan w:val="3"/>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color w:val="auto"/>
                <w:szCs w:val="21"/>
                <w:highlight w:val="none"/>
              </w:rPr>
            </w:pPr>
            <w:r>
              <w:rPr>
                <w:rFonts w:hint="eastAsia" w:ascii="宋体" w:hAnsi="宋体" w:cs="Arial"/>
                <w:color w:val="auto"/>
                <w:sz w:val="24"/>
                <w:highlight w:val="none"/>
              </w:rPr>
              <w:t>合计</w:t>
            </w: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35</w:t>
            </w:r>
          </w:p>
        </w:tc>
      </w:tr>
    </w:tbl>
    <w:p>
      <w:pPr>
        <w:rPr>
          <w:rFonts w:cs="宋体"/>
          <w:b/>
          <w:szCs w:val="28"/>
          <w:highlight w:val="none"/>
        </w:rPr>
      </w:pPr>
      <w:r>
        <w:rPr>
          <w:rFonts w:ascii="宋体" w:hAnsi="宋体" w:cs="宋体"/>
          <w:b/>
          <w:szCs w:val="21"/>
          <w:highlight w:val="none"/>
        </w:rPr>
        <w:t>备注：</w:t>
      </w:r>
      <w:r>
        <w:rPr>
          <w:rFonts w:hint="eastAsia" w:ascii="宋体" w:hAnsi="宋体"/>
          <w:b/>
          <w:bCs/>
          <w:szCs w:val="21"/>
          <w:highlight w:val="none"/>
        </w:rPr>
        <w:t>投标人应提交</w:t>
      </w:r>
      <w:r>
        <w:rPr>
          <w:rFonts w:ascii="宋体" w:hAnsi="宋体"/>
          <w:b/>
          <w:bCs/>
          <w:szCs w:val="21"/>
          <w:highlight w:val="none"/>
        </w:rPr>
        <w:t>与</w:t>
      </w:r>
      <w:r>
        <w:rPr>
          <w:rFonts w:hint="eastAsia" w:ascii="宋体" w:hAnsi="宋体"/>
          <w:b/>
          <w:bCs/>
          <w:szCs w:val="21"/>
          <w:highlight w:val="none"/>
        </w:rPr>
        <w:t>评分细则</w:t>
      </w:r>
      <w:r>
        <w:rPr>
          <w:rFonts w:ascii="宋体" w:hAnsi="宋体"/>
          <w:b/>
          <w:bCs/>
          <w:szCs w:val="21"/>
          <w:highlight w:val="none"/>
        </w:rPr>
        <w:t>相关的各类有效资料。</w:t>
      </w:r>
    </w:p>
    <w:p>
      <w:pPr>
        <w:spacing w:line="360" w:lineRule="auto"/>
        <w:jc w:val="center"/>
        <w:rPr>
          <w:rFonts w:hint="eastAsia" w:ascii="宋体" w:hAnsi="宋体" w:cs="宋体"/>
          <w:b/>
          <w:highlight w:val="none"/>
        </w:rPr>
      </w:pPr>
    </w:p>
    <w:p>
      <w:pPr>
        <w:spacing w:line="360" w:lineRule="auto"/>
        <w:jc w:val="center"/>
        <w:rPr>
          <w:rFonts w:hint="eastAsia" w:ascii="宋体" w:hAnsi="宋体" w:cs="宋体"/>
          <w:b/>
          <w:highlight w:val="none"/>
        </w:rPr>
        <w:sectPr>
          <w:pgSz w:w="11906" w:h="16838"/>
          <w:pgMar w:top="1440" w:right="1800" w:bottom="1440" w:left="1800" w:header="850" w:footer="992" w:gutter="0"/>
          <w:pgNumType w:fmt="decimal"/>
          <w:cols w:space="720" w:num="1"/>
          <w:docGrid w:linePitch="312" w:charSpace="0"/>
        </w:sectPr>
      </w:pPr>
    </w:p>
    <w:p>
      <w:pPr>
        <w:spacing w:line="360" w:lineRule="auto"/>
        <w:jc w:val="center"/>
        <w:rPr>
          <w:rFonts w:hint="eastAsia" w:ascii="宋体" w:hAnsi="宋体" w:cs="宋体"/>
          <w:b/>
          <w:highlight w:val="none"/>
        </w:rPr>
      </w:pPr>
      <w:r>
        <w:rPr>
          <w:rFonts w:hint="eastAsia" w:ascii="宋体" w:hAnsi="宋体" w:cs="宋体"/>
          <w:b/>
          <w:highlight w:val="none"/>
        </w:rPr>
        <w:t>附表4：技术评审表</w:t>
      </w:r>
    </w:p>
    <w:tbl>
      <w:tblPr>
        <w:tblStyle w:val="40"/>
        <w:tblW w:w="5000" w:type="pct"/>
        <w:tblInd w:w="0" w:type="dxa"/>
        <w:tblLayout w:type="autofit"/>
        <w:tblCellMar>
          <w:top w:w="15" w:type="dxa"/>
          <w:left w:w="108" w:type="dxa"/>
          <w:bottom w:w="15" w:type="dxa"/>
          <w:right w:w="108" w:type="dxa"/>
        </w:tblCellMar>
      </w:tblPr>
      <w:tblGrid>
        <w:gridCol w:w="610"/>
        <w:gridCol w:w="1318"/>
        <w:gridCol w:w="5905"/>
        <w:gridCol w:w="689"/>
      </w:tblGrid>
      <w:tr>
        <w:tblPrEx>
          <w:tblCellMar>
            <w:top w:w="15" w:type="dxa"/>
            <w:left w:w="108" w:type="dxa"/>
            <w:bottom w:w="15" w:type="dxa"/>
            <w:right w:w="108" w:type="dxa"/>
          </w:tblCellMar>
        </w:tblPrEx>
        <w:trPr>
          <w:trHeight w:val="510" w:hRule="atLeast"/>
        </w:trPr>
        <w:tc>
          <w:tcPr>
            <w:tcW w:w="35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b/>
                <w:bCs/>
                <w:color w:val="auto"/>
                <w:szCs w:val="21"/>
                <w:highlight w:val="none"/>
              </w:rPr>
            </w:pPr>
            <w:r>
              <w:rPr>
                <w:rFonts w:hint="eastAsia" w:ascii="宋体" w:hAnsi="宋体" w:cs="Arial"/>
                <w:b/>
                <w:bCs/>
                <w:color w:val="auto"/>
                <w:szCs w:val="21"/>
                <w:highlight w:val="none"/>
              </w:rPr>
              <w:t>序号</w:t>
            </w:r>
          </w:p>
        </w:tc>
        <w:tc>
          <w:tcPr>
            <w:tcW w:w="773"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b/>
                <w:bCs/>
                <w:color w:val="auto"/>
                <w:szCs w:val="21"/>
                <w:highlight w:val="none"/>
              </w:rPr>
            </w:pPr>
            <w:r>
              <w:rPr>
                <w:rFonts w:hint="eastAsia" w:ascii="宋体" w:hAnsi="宋体" w:cs="Arial"/>
                <w:b/>
                <w:bCs/>
                <w:color w:val="auto"/>
                <w:szCs w:val="21"/>
                <w:highlight w:val="none"/>
              </w:rPr>
              <w:t>评审内容</w:t>
            </w:r>
          </w:p>
        </w:tc>
        <w:tc>
          <w:tcPr>
            <w:tcW w:w="3463"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b/>
                <w:bCs/>
                <w:color w:val="auto"/>
                <w:szCs w:val="21"/>
                <w:highlight w:val="none"/>
              </w:rPr>
            </w:pPr>
            <w:r>
              <w:rPr>
                <w:rFonts w:hint="eastAsia" w:ascii="宋体" w:hAnsi="宋体" w:cs="Arial"/>
                <w:b/>
                <w:bCs/>
                <w:color w:val="auto"/>
                <w:szCs w:val="21"/>
                <w:highlight w:val="none"/>
              </w:rPr>
              <w:t>评分细则</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b/>
                <w:bCs/>
                <w:color w:val="auto"/>
                <w:szCs w:val="21"/>
                <w:highlight w:val="none"/>
              </w:rPr>
            </w:pPr>
            <w:r>
              <w:rPr>
                <w:rFonts w:hint="eastAsia" w:ascii="宋体" w:hAnsi="宋体" w:cs="Arial"/>
                <w:b/>
                <w:bCs/>
                <w:color w:val="auto"/>
                <w:szCs w:val="21"/>
                <w:highlight w:val="none"/>
              </w:rPr>
              <w:t>分值</w:t>
            </w:r>
          </w:p>
        </w:tc>
      </w:tr>
      <w:tr>
        <w:tblPrEx>
          <w:tblCellMar>
            <w:top w:w="15" w:type="dxa"/>
            <w:left w:w="108" w:type="dxa"/>
            <w:bottom w:w="15" w:type="dxa"/>
            <w:right w:w="108" w:type="dxa"/>
          </w:tblCellMar>
        </w:tblPrEx>
        <w:trPr>
          <w:trHeight w:val="1371" w:hRule="atLeast"/>
        </w:trPr>
        <w:tc>
          <w:tcPr>
            <w:tcW w:w="35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color w:val="auto"/>
                <w:sz w:val="24"/>
                <w:highlight w:val="none"/>
              </w:rPr>
            </w:pPr>
            <w:r>
              <w:rPr>
                <w:rFonts w:hint="eastAsia" w:ascii="宋体" w:hAnsi="宋体" w:cs="Arial"/>
                <w:color w:val="auto"/>
                <w:sz w:val="24"/>
                <w:highlight w:val="none"/>
              </w:rPr>
              <w:t>1</w:t>
            </w:r>
          </w:p>
        </w:tc>
        <w:tc>
          <w:tcPr>
            <w:tcW w:w="773" w:type="pct"/>
            <w:vMerge w:val="restart"/>
            <w:tcBorders>
              <w:top w:val="single" w:color="000000" w:sz="4" w:space="0"/>
              <w:left w:val="single" w:color="000000" w:sz="4" w:space="0"/>
              <w:right w:val="single" w:color="000000" w:sz="4" w:space="0"/>
            </w:tcBorders>
            <w:vAlign w:val="center"/>
          </w:tcPr>
          <w:p>
            <w:pPr>
              <w:jc w:val="center"/>
              <w:rPr>
                <w:rFonts w:ascii="宋体" w:hAnsi="宋体" w:cs="宋体"/>
                <w:highlight w:val="none"/>
              </w:rPr>
            </w:pPr>
            <w:r>
              <w:rPr>
                <w:rFonts w:hint="eastAsia" w:ascii="宋体" w:hAnsi="宋体" w:cs="宋体"/>
                <w:color w:val="000000"/>
                <w:highlight w:val="none"/>
                <w:lang w:val="en-US" w:eastAsia="zh-CN"/>
              </w:rPr>
              <w:t>实施方案</w:t>
            </w:r>
          </w:p>
        </w:tc>
        <w:tc>
          <w:tcPr>
            <w:tcW w:w="3463"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bCs/>
                <w:szCs w:val="21"/>
                <w:highlight w:val="none"/>
              </w:rPr>
            </w:pPr>
            <w:r>
              <w:rPr>
                <w:rFonts w:hint="eastAsia" w:ascii="宋体" w:hAnsi="宋体" w:cs="宋体"/>
                <w:bCs/>
                <w:szCs w:val="21"/>
                <w:highlight w:val="none"/>
              </w:rPr>
              <w:t>以投标供应商提供的管理组织机构设置情况作为评审依据</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包含但不限于：机构设立、运作流程、管理计划</w:t>
            </w:r>
            <w:r>
              <w:rPr>
                <w:rFonts w:hint="eastAsia" w:ascii="宋体" w:hAnsi="宋体" w:cs="宋体"/>
                <w:bCs/>
                <w:szCs w:val="21"/>
                <w:highlight w:val="none"/>
              </w:rPr>
              <w:t>。</w:t>
            </w:r>
          </w:p>
          <w:p>
            <w:pPr>
              <w:jc w:val="both"/>
              <w:rPr>
                <w:rFonts w:hint="eastAsia" w:ascii="宋体" w:hAnsi="宋体" w:cs="宋体"/>
                <w:bCs/>
                <w:szCs w:val="21"/>
                <w:highlight w:val="none"/>
              </w:rPr>
            </w:pPr>
            <w:r>
              <w:rPr>
                <w:rFonts w:hint="eastAsia" w:ascii="宋体" w:hAnsi="宋体" w:cs="宋体"/>
                <w:bCs/>
                <w:szCs w:val="21"/>
                <w:highlight w:val="none"/>
              </w:rPr>
              <w:t>A.管理组织机构设置合理、</w:t>
            </w:r>
            <w:r>
              <w:rPr>
                <w:rFonts w:hint="eastAsia" w:ascii="宋体" w:hAnsi="宋体" w:cs="宋体"/>
                <w:bCs/>
                <w:szCs w:val="21"/>
                <w:highlight w:val="none"/>
                <w:lang w:val="en-US" w:eastAsia="zh-CN"/>
              </w:rPr>
              <w:t>内容完整</w:t>
            </w:r>
            <w:r>
              <w:rPr>
                <w:rFonts w:hint="eastAsia" w:ascii="宋体" w:hAnsi="宋体" w:cs="宋体"/>
                <w:bCs/>
                <w:szCs w:val="21"/>
                <w:highlight w:val="none"/>
              </w:rPr>
              <w:t>，管理</w:t>
            </w:r>
            <w:r>
              <w:rPr>
                <w:rFonts w:hint="eastAsia" w:ascii="宋体" w:hAnsi="宋体" w:cs="宋体"/>
                <w:bCs/>
                <w:szCs w:val="21"/>
                <w:highlight w:val="none"/>
                <w:lang w:val="en-US" w:eastAsia="zh-CN"/>
              </w:rPr>
              <w:t>计划</w:t>
            </w:r>
            <w:r>
              <w:rPr>
                <w:rFonts w:hint="eastAsia" w:ascii="宋体" w:hAnsi="宋体" w:cs="宋体"/>
                <w:bCs/>
                <w:szCs w:val="21"/>
                <w:highlight w:val="none"/>
              </w:rPr>
              <w:t>科学的得10分；</w:t>
            </w:r>
          </w:p>
          <w:p>
            <w:pPr>
              <w:jc w:val="both"/>
              <w:rPr>
                <w:rFonts w:hint="eastAsia" w:ascii="宋体" w:hAnsi="宋体" w:cs="宋体"/>
                <w:bCs/>
                <w:szCs w:val="21"/>
                <w:highlight w:val="none"/>
              </w:rPr>
            </w:pPr>
            <w:r>
              <w:rPr>
                <w:rFonts w:hint="eastAsia" w:ascii="宋体" w:hAnsi="宋体" w:cs="宋体"/>
                <w:bCs/>
                <w:szCs w:val="21"/>
                <w:highlight w:val="none"/>
              </w:rPr>
              <w:t>B.管理组织机构设置基本合理、运作基本流畅的得</w:t>
            </w:r>
            <w:r>
              <w:rPr>
                <w:rFonts w:hint="eastAsia" w:ascii="宋体" w:hAnsi="宋体" w:cs="宋体"/>
                <w:bCs/>
                <w:szCs w:val="21"/>
                <w:highlight w:val="none"/>
                <w:lang w:eastAsia="zh-CN"/>
              </w:rPr>
              <w:t>7</w:t>
            </w:r>
            <w:r>
              <w:rPr>
                <w:rFonts w:hint="eastAsia" w:ascii="宋体" w:hAnsi="宋体" w:cs="宋体"/>
                <w:bCs/>
                <w:szCs w:val="21"/>
                <w:highlight w:val="none"/>
              </w:rPr>
              <w:t>分；</w:t>
            </w:r>
          </w:p>
          <w:p>
            <w:pPr>
              <w:jc w:val="both"/>
              <w:rPr>
                <w:rFonts w:hint="eastAsia" w:ascii="宋体" w:hAnsi="宋体" w:cs="宋体"/>
                <w:bCs/>
                <w:szCs w:val="21"/>
                <w:highlight w:val="none"/>
              </w:rPr>
            </w:pPr>
            <w:r>
              <w:rPr>
                <w:rFonts w:hint="eastAsia" w:ascii="宋体" w:hAnsi="宋体" w:cs="宋体"/>
                <w:bCs/>
                <w:szCs w:val="21"/>
                <w:highlight w:val="none"/>
              </w:rPr>
              <w:t>C.管理组织机构设置大部分不合理的得4分；</w:t>
            </w:r>
          </w:p>
          <w:p>
            <w:pPr>
              <w:jc w:val="both"/>
              <w:rPr>
                <w:rFonts w:ascii="宋体" w:hAnsi="宋体" w:cs="宋体"/>
                <w:bCs/>
                <w:szCs w:val="21"/>
                <w:highlight w:val="none"/>
              </w:rPr>
            </w:pPr>
            <w:r>
              <w:rPr>
                <w:rFonts w:hint="eastAsia" w:ascii="宋体" w:hAnsi="宋体" w:cs="宋体"/>
                <w:bCs/>
                <w:szCs w:val="21"/>
                <w:highlight w:val="none"/>
              </w:rPr>
              <w:t>D.没有提供管理组织机构设置的不得分。</w:t>
            </w:r>
          </w:p>
        </w:tc>
        <w:tc>
          <w:tcPr>
            <w:tcW w:w="4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w:t>
            </w:r>
          </w:p>
        </w:tc>
      </w:tr>
      <w:tr>
        <w:tblPrEx>
          <w:tblCellMar>
            <w:top w:w="15" w:type="dxa"/>
            <w:left w:w="108" w:type="dxa"/>
            <w:bottom w:w="15" w:type="dxa"/>
            <w:right w:w="108" w:type="dxa"/>
          </w:tblCellMar>
        </w:tblPrEx>
        <w:trPr>
          <w:trHeight w:val="2784" w:hRule="atLeast"/>
        </w:trPr>
        <w:tc>
          <w:tcPr>
            <w:tcW w:w="35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color w:val="auto"/>
                <w:sz w:val="24"/>
                <w:highlight w:val="none"/>
              </w:rPr>
            </w:pPr>
            <w:r>
              <w:rPr>
                <w:rFonts w:hint="eastAsia" w:ascii="宋体" w:hAnsi="宋体" w:cs="Arial"/>
                <w:color w:val="auto"/>
                <w:sz w:val="24"/>
                <w:highlight w:val="none"/>
              </w:rPr>
              <w:t>2</w:t>
            </w:r>
          </w:p>
        </w:tc>
        <w:tc>
          <w:tcPr>
            <w:tcW w:w="773" w:type="pct"/>
            <w:vMerge w:val="continue"/>
            <w:tcBorders>
              <w:left w:val="single" w:color="000000" w:sz="4" w:space="0"/>
              <w:right w:val="single" w:color="000000" w:sz="4" w:space="0"/>
            </w:tcBorders>
            <w:vAlign w:val="center"/>
          </w:tcPr>
          <w:p>
            <w:pPr>
              <w:jc w:val="center"/>
              <w:rPr>
                <w:rFonts w:hint="eastAsia" w:ascii="宋体" w:hAnsi="宋体" w:eastAsia="宋体" w:cs="宋体"/>
                <w:bCs/>
                <w:szCs w:val="21"/>
                <w:highlight w:val="none"/>
                <w:lang w:val="en-US" w:eastAsia="zh-CN"/>
              </w:rPr>
            </w:pPr>
          </w:p>
        </w:tc>
        <w:tc>
          <w:tcPr>
            <w:tcW w:w="3463" w:type="pct"/>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cs="宋体"/>
                <w:bCs/>
                <w:szCs w:val="21"/>
                <w:highlight w:val="none"/>
                <w:lang w:val="en-US" w:eastAsia="zh-CN"/>
              </w:rPr>
            </w:pPr>
            <w:r>
              <w:rPr>
                <w:rFonts w:hint="eastAsia" w:ascii="宋体" w:hAnsi="宋体" w:cs="宋体"/>
                <w:bCs/>
                <w:szCs w:val="21"/>
                <w:highlight w:val="none"/>
              </w:rPr>
              <w:t>以投标供应商提供的管理</w:t>
            </w:r>
            <w:r>
              <w:rPr>
                <w:rFonts w:hint="eastAsia" w:ascii="宋体" w:hAnsi="宋体" w:cs="宋体"/>
                <w:bCs/>
                <w:szCs w:val="21"/>
                <w:highlight w:val="none"/>
                <w:lang w:val="en-US" w:eastAsia="zh-CN"/>
              </w:rPr>
              <w:t>服务方案</w:t>
            </w:r>
            <w:r>
              <w:rPr>
                <w:rFonts w:hint="eastAsia" w:ascii="宋体" w:hAnsi="宋体" w:cs="宋体"/>
                <w:bCs/>
                <w:szCs w:val="21"/>
                <w:highlight w:val="none"/>
              </w:rPr>
              <w:t>作为评审依据</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包含但不限于：服务内容、考核制度、服务工作目标、服务管理措施</w:t>
            </w:r>
          </w:p>
          <w:p>
            <w:pPr>
              <w:jc w:val="both"/>
              <w:rPr>
                <w:rFonts w:hint="eastAsia" w:ascii="宋体" w:hAnsi="宋体" w:cs="宋体"/>
                <w:bCs/>
                <w:szCs w:val="21"/>
                <w:highlight w:val="none"/>
              </w:rPr>
            </w:pPr>
            <w:r>
              <w:rPr>
                <w:rFonts w:hint="eastAsia" w:ascii="宋体" w:hAnsi="宋体" w:cs="宋体"/>
                <w:bCs/>
                <w:szCs w:val="21"/>
                <w:highlight w:val="none"/>
                <w:lang w:val="en-US" w:eastAsia="zh-CN"/>
              </w:rPr>
              <w:t>A</w:t>
            </w:r>
            <w:r>
              <w:rPr>
                <w:rFonts w:hint="eastAsia" w:ascii="宋体" w:hAnsi="宋体" w:cs="宋体"/>
                <w:bCs/>
                <w:szCs w:val="21"/>
                <w:highlight w:val="none"/>
              </w:rPr>
              <w:t>.管理服务方案中包含需求的所有服务内容，且具体、详细，有对本项目服务特点的相关重点难点分析，同时有可行的应对措施及相关的合理化建议的得10分。</w:t>
            </w:r>
          </w:p>
          <w:p>
            <w:pPr>
              <w:jc w:val="both"/>
              <w:rPr>
                <w:rFonts w:hint="eastAsia" w:ascii="宋体" w:hAnsi="宋体" w:cs="宋体"/>
                <w:bCs/>
                <w:szCs w:val="21"/>
                <w:highlight w:val="none"/>
              </w:rPr>
            </w:pPr>
            <w:r>
              <w:rPr>
                <w:rFonts w:hint="eastAsia" w:ascii="宋体" w:hAnsi="宋体" w:cs="宋体"/>
                <w:bCs/>
                <w:szCs w:val="21"/>
                <w:highlight w:val="none"/>
                <w:lang w:val="en-US" w:eastAsia="zh-CN"/>
              </w:rPr>
              <w:t>B</w:t>
            </w:r>
            <w:r>
              <w:rPr>
                <w:rFonts w:hint="eastAsia" w:ascii="宋体" w:hAnsi="宋体" w:cs="宋体"/>
                <w:bCs/>
                <w:szCs w:val="21"/>
                <w:highlight w:val="none"/>
              </w:rPr>
              <w:t>.管理服务方案中包含需求的所有服务内容，相对具体、详细的得</w:t>
            </w:r>
            <w:r>
              <w:rPr>
                <w:rFonts w:hint="eastAsia" w:ascii="宋体" w:hAnsi="宋体" w:cs="宋体"/>
                <w:bCs/>
                <w:szCs w:val="21"/>
                <w:highlight w:val="none"/>
                <w:lang w:eastAsia="zh-CN"/>
              </w:rPr>
              <w:t>7</w:t>
            </w:r>
            <w:r>
              <w:rPr>
                <w:rFonts w:hint="eastAsia" w:ascii="宋体" w:hAnsi="宋体" w:cs="宋体"/>
                <w:bCs/>
                <w:szCs w:val="21"/>
                <w:highlight w:val="none"/>
              </w:rPr>
              <w:t>分。</w:t>
            </w:r>
          </w:p>
          <w:p>
            <w:pPr>
              <w:jc w:val="both"/>
              <w:rPr>
                <w:rFonts w:hint="eastAsia" w:ascii="宋体" w:hAnsi="宋体" w:cs="宋体"/>
                <w:bCs/>
                <w:szCs w:val="21"/>
                <w:highlight w:val="none"/>
              </w:rPr>
            </w:pPr>
            <w:r>
              <w:rPr>
                <w:rFonts w:hint="eastAsia" w:ascii="宋体" w:hAnsi="宋体" w:cs="宋体"/>
                <w:bCs/>
                <w:szCs w:val="21"/>
                <w:highlight w:val="none"/>
                <w:lang w:val="en-US" w:eastAsia="zh-CN"/>
              </w:rPr>
              <w:t>C</w:t>
            </w:r>
            <w:r>
              <w:rPr>
                <w:rFonts w:hint="eastAsia" w:ascii="宋体" w:hAnsi="宋体" w:cs="宋体"/>
                <w:bCs/>
                <w:szCs w:val="21"/>
                <w:highlight w:val="none"/>
              </w:rPr>
              <w:t>.管理服务方案中有需求的所有服务内容，但不详细不具体得4分。</w:t>
            </w:r>
          </w:p>
          <w:p>
            <w:pPr>
              <w:jc w:val="both"/>
              <w:rPr>
                <w:rFonts w:ascii="宋体" w:hAnsi="宋体" w:cs="宋体"/>
                <w:bCs/>
                <w:szCs w:val="21"/>
                <w:highlight w:val="none"/>
              </w:rPr>
            </w:pPr>
            <w:r>
              <w:rPr>
                <w:rFonts w:hint="eastAsia" w:ascii="宋体" w:hAnsi="宋体" w:cs="宋体"/>
                <w:bCs/>
                <w:szCs w:val="21"/>
                <w:highlight w:val="none"/>
                <w:lang w:val="en-US" w:eastAsia="zh-CN"/>
              </w:rPr>
              <w:t>D</w:t>
            </w:r>
            <w:r>
              <w:rPr>
                <w:rFonts w:hint="eastAsia" w:ascii="宋体" w:hAnsi="宋体" w:cs="宋体"/>
                <w:bCs/>
                <w:szCs w:val="21"/>
                <w:highlight w:val="none"/>
              </w:rPr>
              <w:t>.没有提供管理服务方案的得0分。</w:t>
            </w:r>
          </w:p>
        </w:tc>
        <w:tc>
          <w:tcPr>
            <w:tcW w:w="4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w:t>
            </w:r>
          </w:p>
        </w:tc>
      </w:tr>
      <w:tr>
        <w:tblPrEx>
          <w:tblCellMar>
            <w:top w:w="15" w:type="dxa"/>
            <w:left w:w="108" w:type="dxa"/>
            <w:bottom w:w="15" w:type="dxa"/>
            <w:right w:w="108" w:type="dxa"/>
          </w:tblCellMar>
        </w:tblPrEx>
        <w:trPr>
          <w:trHeight w:val="3574" w:hRule="atLeast"/>
        </w:trPr>
        <w:tc>
          <w:tcPr>
            <w:tcW w:w="35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color w:val="auto"/>
                <w:sz w:val="24"/>
                <w:highlight w:val="none"/>
              </w:rPr>
            </w:pPr>
            <w:r>
              <w:rPr>
                <w:rFonts w:hint="eastAsia" w:ascii="宋体" w:hAnsi="宋体" w:cs="Arial"/>
                <w:color w:val="auto"/>
                <w:sz w:val="24"/>
                <w:highlight w:val="none"/>
              </w:rPr>
              <w:t>3</w:t>
            </w:r>
          </w:p>
        </w:tc>
        <w:tc>
          <w:tcPr>
            <w:tcW w:w="773" w:type="pct"/>
            <w:vMerge w:val="continue"/>
            <w:tcBorders>
              <w:left w:val="single" w:color="000000" w:sz="4" w:space="0"/>
              <w:bottom w:val="single" w:color="000000" w:sz="4" w:space="0"/>
              <w:right w:val="single" w:color="000000" w:sz="4" w:space="0"/>
            </w:tcBorders>
            <w:vAlign w:val="center"/>
          </w:tcPr>
          <w:p>
            <w:pPr>
              <w:jc w:val="center"/>
              <w:rPr>
                <w:rFonts w:ascii="宋体" w:hAnsi="宋体" w:cs="宋体"/>
                <w:highlight w:val="none"/>
              </w:rPr>
            </w:pPr>
          </w:p>
        </w:tc>
        <w:tc>
          <w:tcPr>
            <w:tcW w:w="3463"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highlight w:val="none"/>
              </w:rPr>
            </w:pPr>
            <w:r>
              <w:rPr>
                <w:rFonts w:hint="eastAsia"/>
                <w:highlight w:val="none"/>
              </w:rPr>
              <w:t>以投标供应商提供的突发事件应急保障措施及配合方案情况作为评审依据</w:t>
            </w:r>
            <w:r>
              <w:rPr>
                <w:rFonts w:hint="eastAsia"/>
                <w:highlight w:val="none"/>
                <w:lang w:eastAsia="zh-CN"/>
              </w:rPr>
              <w:t>，</w:t>
            </w:r>
            <w:r>
              <w:rPr>
                <w:rFonts w:hint="eastAsia"/>
                <w:highlight w:val="none"/>
                <w:lang w:val="en-US" w:eastAsia="zh-CN"/>
              </w:rPr>
              <w:t>包含但不限于：应急预案、应急处理措施、疫情防控方案</w:t>
            </w:r>
            <w:r>
              <w:rPr>
                <w:rFonts w:hint="eastAsia"/>
                <w:highlight w:val="none"/>
              </w:rPr>
              <w:t>。</w:t>
            </w:r>
          </w:p>
          <w:p>
            <w:pPr>
              <w:jc w:val="both"/>
              <w:rPr>
                <w:rFonts w:hint="eastAsia"/>
                <w:highlight w:val="none"/>
              </w:rPr>
            </w:pPr>
            <w:r>
              <w:rPr>
                <w:rFonts w:hint="eastAsia"/>
                <w:highlight w:val="none"/>
              </w:rPr>
              <w:t>A.突发事件应急保障措施及配合方案详细、清晰、合理的得10分；</w:t>
            </w:r>
          </w:p>
          <w:p>
            <w:pPr>
              <w:jc w:val="both"/>
              <w:rPr>
                <w:rFonts w:hint="eastAsia"/>
                <w:highlight w:val="none"/>
              </w:rPr>
            </w:pPr>
            <w:r>
              <w:rPr>
                <w:rFonts w:hint="eastAsia"/>
                <w:highlight w:val="none"/>
              </w:rPr>
              <w:t>B.突发事件应急保障措施及配合方案基本完善、合理的得</w:t>
            </w:r>
            <w:r>
              <w:rPr>
                <w:rFonts w:hint="eastAsia"/>
                <w:highlight w:val="none"/>
                <w:lang w:eastAsia="zh-CN"/>
              </w:rPr>
              <w:t>7</w:t>
            </w:r>
            <w:r>
              <w:rPr>
                <w:rFonts w:hint="eastAsia"/>
                <w:highlight w:val="none"/>
              </w:rPr>
              <w:t>分；</w:t>
            </w:r>
          </w:p>
          <w:p>
            <w:pPr>
              <w:jc w:val="both"/>
              <w:rPr>
                <w:rFonts w:hint="eastAsia"/>
                <w:highlight w:val="none"/>
              </w:rPr>
            </w:pPr>
            <w:r>
              <w:rPr>
                <w:rFonts w:hint="eastAsia"/>
                <w:highlight w:val="none"/>
              </w:rPr>
              <w:t>C.突发事件应急保障措施及配合方案大部分不合理的得4分；</w:t>
            </w:r>
          </w:p>
          <w:p>
            <w:pPr>
              <w:jc w:val="both"/>
              <w:rPr>
                <w:highlight w:val="none"/>
              </w:rPr>
            </w:pPr>
            <w:r>
              <w:rPr>
                <w:rFonts w:hint="eastAsia"/>
                <w:highlight w:val="none"/>
              </w:rPr>
              <w:t>D.没有提供突发事件应急保障措施及配合方案的得0分。</w:t>
            </w:r>
          </w:p>
        </w:tc>
        <w:tc>
          <w:tcPr>
            <w:tcW w:w="4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w:t>
            </w:r>
          </w:p>
        </w:tc>
      </w:tr>
      <w:tr>
        <w:tblPrEx>
          <w:tblCellMar>
            <w:top w:w="15" w:type="dxa"/>
            <w:left w:w="108" w:type="dxa"/>
            <w:bottom w:w="15" w:type="dxa"/>
            <w:right w:w="108" w:type="dxa"/>
          </w:tblCellMar>
        </w:tblPrEx>
        <w:trPr>
          <w:trHeight w:val="2802" w:hRule="atLeast"/>
        </w:trPr>
        <w:tc>
          <w:tcPr>
            <w:tcW w:w="35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color w:val="auto"/>
                <w:sz w:val="24"/>
                <w:highlight w:val="none"/>
              </w:rPr>
            </w:pPr>
            <w:r>
              <w:rPr>
                <w:rFonts w:hint="eastAsia" w:ascii="宋体" w:hAnsi="宋体" w:cs="Arial"/>
                <w:color w:val="auto"/>
                <w:sz w:val="24"/>
                <w:highlight w:val="none"/>
              </w:rPr>
              <w:t>4</w:t>
            </w:r>
          </w:p>
        </w:tc>
        <w:tc>
          <w:tcPr>
            <w:tcW w:w="77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服务承诺</w:t>
            </w:r>
          </w:p>
        </w:tc>
        <w:tc>
          <w:tcPr>
            <w:tcW w:w="3463"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bCs/>
                <w:szCs w:val="21"/>
                <w:highlight w:val="none"/>
              </w:rPr>
            </w:pPr>
            <w:r>
              <w:rPr>
                <w:rFonts w:hint="eastAsia" w:ascii="宋体" w:hAnsi="宋体" w:cs="宋体"/>
                <w:bCs/>
                <w:szCs w:val="21"/>
                <w:highlight w:val="none"/>
              </w:rPr>
              <w:t>以投标供应商提供的服务承诺作为评审依据。</w:t>
            </w:r>
          </w:p>
          <w:p>
            <w:pPr>
              <w:jc w:val="both"/>
              <w:rPr>
                <w:rFonts w:hint="eastAsia" w:ascii="宋体" w:hAnsi="宋体" w:cs="宋体"/>
                <w:bCs/>
                <w:szCs w:val="21"/>
                <w:highlight w:val="none"/>
              </w:rPr>
            </w:pPr>
            <w:r>
              <w:rPr>
                <w:rFonts w:hint="eastAsia" w:ascii="宋体" w:hAnsi="宋体" w:cs="宋体"/>
                <w:bCs/>
                <w:szCs w:val="21"/>
                <w:highlight w:val="none"/>
              </w:rPr>
              <w:t>A.承诺的服务响应时间及时、可靠，服务让惠措施大的得10分；</w:t>
            </w:r>
          </w:p>
          <w:p>
            <w:pPr>
              <w:jc w:val="both"/>
              <w:rPr>
                <w:rFonts w:hint="eastAsia" w:ascii="宋体" w:hAnsi="宋体" w:cs="宋体"/>
                <w:bCs/>
                <w:szCs w:val="21"/>
                <w:highlight w:val="none"/>
              </w:rPr>
            </w:pPr>
            <w:r>
              <w:rPr>
                <w:rFonts w:hint="eastAsia" w:ascii="宋体" w:hAnsi="宋体" w:cs="宋体"/>
                <w:bCs/>
                <w:szCs w:val="21"/>
                <w:highlight w:val="none"/>
              </w:rPr>
              <w:t>B.承诺的服务响应时间及时、可靠，服务让惠措施一般的得</w:t>
            </w:r>
            <w:r>
              <w:rPr>
                <w:rFonts w:hint="eastAsia" w:ascii="宋体" w:hAnsi="宋体" w:cs="宋体"/>
                <w:bCs/>
                <w:szCs w:val="21"/>
                <w:highlight w:val="none"/>
                <w:lang w:eastAsia="zh-CN"/>
              </w:rPr>
              <w:t>7</w:t>
            </w:r>
            <w:r>
              <w:rPr>
                <w:rFonts w:hint="eastAsia" w:ascii="宋体" w:hAnsi="宋体" w:cs="宋体"/>
                <w:bCs/>
                <w:szCs w:val="21"/>
                <w:highlight w:val="none"/>
              </w:rPr>
              <w:t>分；</w:t>
            </w:r>
          </w:p>
          <w:p>
            <w:pPr>
              <w:jc w:val="both"/>
              <w:rPr>
                <w:rFonts w:hint="eastAsia" w:ascii="宋体" w:hAnsi="宋体" w:cs="宋体"/>
                <w:bCs/>
                <w:szCs w:val="21"/>
                <w:highlight w:val="none"/>
              </w:rPr>
            </w:pPr>
            <w:r>
              <w:rPr>
                <w:rFonts w:hint="eastAsia" w:ascii="宋体" w:hAnsi="宋体" w:cs="宋体"/>
                <w:bCs/>
                <w:szCs w:val="21"/>
                <w:highlight w:val="none"/>
              </w:rPr>
              <w:t>C.承诺的服务响应时间不及时，服务让惠措施一般的得4分；</w:t>
            </w:r>
          </w:p>
          <w:p>
            <w:pPr>
              <w:jc w:val="both"/>
              <w:rPr>
                <w:rFonts w:ascii="宋体" w:hAnsi="宋体" w:cs="宋体"/>
                <w:bCs/>
                <w:szCs w:val="21"/>
                <w:highlight w:val="none"/>
              </w:rPr>
            </w:pPr>
            <w:r>
              <w:rPr>
                <w:rFonts w:hint="eastAsia" w:ascii="宋体" w:hAnsi="宋体" w:cs="宋体"/>
                <w:bCs/>
                <w:szCs w:val="21"/>
                <w:highlight w:val="none"/>
              </w:rPr>
              <w:t>D.承诺的服务响应时间不及时，没有服务让惠措施的不得分。</w:t>
            </w:r>
          </w:p>
        </w:tc>
        <w:tc>
          <w:tcPr>
            <w:tcW w:w="4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w:t>
            </w:r>
          </w:p>
        </w:tc>
      </w:tr>
      <w:tr>
        <w:tblPrEx>
          <w:tblCellMar>
            <w:top w:w="15" w:type="dxa"/>
            <w:left w:w="108" w:type="dxa"/>
            <w:bottom w:w="15" w:type="dxa"/>
            <w:right w:w="108" w:type="dxa"/>
          </w:tblCellMar>
        </w:tblPrEx>
        <w:trPr>
          <w:trHeight w:val="2741" w:hRule="atLeast"/>
        </w:trPr>
        <w:tc>
          <w:tcPr>
            <w:tcW w:w="358"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color w:val="auto"/>
                <w:sz w:val="24"/>
                <w:highlight w:val="none"/>
              </w:rPr>
            </w:pPr>
            <w:r>
              <w:rPr>
                <w:rFonts w:hint="eastAsia" w:ascii="宋体" w:hAnsi="宋体" w:cs="Arial"/>
                <w:color w:val="auto"/>
                <w:sz w:val="24"/>
                <w:highlight w:val="none"/>
              </w:rPr>
              <w:t>5</w:t>
            </w:r>
          </w:p>
        </w:tc>
        <w:tc>
          <w:tcPr>
            <w:tcW w:w="7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Cs w:val="21"/>
                <w:highlight w:val="none"/>
              </w:rPr>
            </w:pPr>
            <w:r>
              <w:rPr>
                <w:rFonts w:hint="eastAsia" w:ascii="宋体" w:hAnsi="宋体" w:cs="宋体"/>
                <w:bCs/>
                <w:szCs w:val="21"/>
                <w:highlight w:val="none"/>
              </w:rPr>
              <w:t>人员考核、档案管理实施方案</w:t>
            </w:r>
          </w:p>
        </w:tc>
        <w:tc>
          <w:tcPr>
            <w:tcW w:w="3463"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bCs/>
                <w:szCs w:val="21"/>
                <w:highlight w:val="none"/>
              </w:rPr>
            </w:pPr>
            <w:r>
              <w:rPr>
                <w:rFonts w:hint="eastAsia" w:ascii="宋体" w:hAnsi="宋体" w:cs="宋体"/>
                <w:bCs/>
                <w:szCs w:val="21"/>
                <w:highlight w:val="none"/>
              </w:rPr>
              <w:t>以投标供应商提供的人员考核、档案管理实施方案情况作为评审依据。</w:t>
            </w:r>
          </w:p>
          <w:p>
            <w:pPr>
              <w:jc w:val="both"/>
              <w:rPr>
                <w:rFonts w:hint="eastAsia" w:ascii="宋体" w:hAnsi="宋体" w:cs="宋体"/>
                <w:bCs/>
                <w:szCs w:val="21"/>
                <w:highlight w:val="none"/>
              </w:rPr>
            </w:pPr>
            <w:r>
              <w:rPr>
                <w:rFonts w:hint="eastAsia" w:ascii="宋体" w:hAnsi="宋体" w:cs="宋体"/>
                <w:bCs/>
                <w:szCs w:val="21"/>
                <w:highlight w:val="none"/>
              </w:rPr>
              <w:t>A.人员考核、档案管理实施方案详细、清晰、合理的得10分；</w:t>
            </w:r>
          </w:p>
          <w:p>
            <w:pPr>
              <w:jc w:val="both"/>
              <w:rPr>
                <w:rFonts w:hint="eastAsia" w:ascii="宋体" w:hAnsi="宋体" w:cs="宋体"/>
                <w:bCs/>
                <w:szCs w:val="21"/>
                <w:highlight w:val="none"/>
              </w:rPr>
            </w:pPr>
            <w:r>
              <w:rPr>
                <w:rFonts w:hint="eastAsia" w:ascii="宋体" w:hAnsi="宋体" w:cs="宋体"/>
                <w:bCs/>
                <w:szCs w:val="21"/>
                <w:highlight w:val="none"/>
              </w:rPr>
              <w:t>B.人员考核、档案管理实施方案基本完善的得</w:t>
            </w:r>
            <w:r>
              <w:rPr>
                <w:rFonts w:hint="eastAsia" w:ascii="宋体" w:hAnsi="宋体" w:cs="宋体"/>
                <w:bCs/>
                <w:szCs w:val="21"/>
                <w:highlight w:val="none"/>
                <w:lang w:eastAsia="zh-CN"/>
              </w:rPr>
              <w:t>7</w:t>
            </w:r>
            <w:r>
              <w:rPr>
                <w:rFonts w:hint="eastAsia" w:ascii="宋体" w:hAnsi="宋体" w:cs="宋体"/>
                <w:bCs/>
                <w:szCs w:val="21"/>
                <w:highlight w:val="none"/>
              </w:rPr>
              <w:t>分；</w:t>
            </w:r>
          </w:p>
          <w:p>
            <w:pPr>
              <w:jc w:val="both"/>
              <w:rPr>
                <w:rFonts w:hint="eastAsia" w:ascii="宋体" w:hAnsi="宋体" w:cs="宋体"/>
                <w:bCs/>
                <w:szCs w:val="21"/>
                <w:highlight w:val="none"/>
              </w:rPr>
            </w:pPr>
            <w:r>
              <w:rPr>
                <w:rFonts w:hint="eastAsia" w:ascii="宋体" w:hAnsi="宋体" w:cs="宋体"/>
                <w:bCs/>
                <w:szCs w:val="21"/>
                <w:highlight w:val="none"/>
              </w:rPr>
              <w:t>C.人员考核、档案管理实施方案大部分不合理的得4分；</w:t>
            </w:r>
          </w:p>
          <w:p>
            <w:pPr>
              <w:jc w:val="both"/>
              <w:rPr>
                <w:rFonts w:ascii="宋体" w:hAnsi="宋体" w:cs="宋体"/>
                <w:bCs/>
                <w:szCs w:val="21"/>
                <w:highlight w:val="none"/>
              </w:rPr>
            </w:pPr>
            <w:r>
              <w:rPr>
                <w:rFonts w:hint="eastAsia" w:ascii="宋体" w:hAnsi="宋体" w:cs="宋体"/>
                <w:bCs/>
                <w:szCs w:val="21"/>
                <w:highlight w:val="none"/>
              </w:rPr>
              <w:t>D.没有提供人员考核或档案管理实施方案的均不得分。</w:t>
            </w:r>
          </w:p>
        </w:tc>
        <w:tc>
          <w:tcPr>
            <w:tcW w:w="4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w:t>
            </w:r>
          </w:p>
        </w:tc>
      </w:tr>
      <w:tr>
        <w:tblPrEx>
          <w:tblCellMar>
            <w:top w:w="15" w:type="dxa"/>
            <w:left w:w="108" w:type="dxa"/>
            <w:bottom w:w="15" w:type="dxa"/>
            <w:right w:w="108" w:type="dxa"/>
          </w:tblCellMar>
        </w:tblPrEx>
        <w:trPr>
          <w:trHeight w:val="510" w:hRule="atLeast"/>
        </w:trPr>
        <w:tc>
          <w:tcPr>
            <w:tcW w:w="4595" w:type="pct"/>
            <w:gridSpan w:val="3"/>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ascii="宋体" w:hAnsi="宋体" w:cs="Arial"/>
                <w:color w:val="auto"/>
                <w:szCs w:val="21"/>
                <w:highlight w:val="none"/>
              </w:rPr>
            </w:pPr>
            <w:r>
              <w:rPr>
                <w:rFonts w:hint="eastAsia" w:ascii="宋体" w:hAnsi="宋体" w:cs="Arial"/>
                <w:color w:val="auto"/>
                <w:sz w:val="24"/>
                <w:highlight w:val="none"/>
              </w:rPr>
              <w:t>合计</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149"/>
              <w:widowControl/>
              <w:jc w:val="center"/>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50</w:t>
            </w:r>
          </w:p>
        </w:tc>
      </w:tr>
    </w:tbl>
    <w:p>
      <w:pPr>
        <w:spacing w:line="360" w:lineRule="auto"/>
        <w:jc w:val="center"/>
        <w:rPr>
          <w:rFonts w:hint="eastAsia" w:ascii="宋体" w:hAnsi="宋体" w:cs="宋体"/>
          <w:b/>
          <w:highlight w:val="none"/>
        </w:rPr>
      </w:pPr>
    </w:p>
    <w:p>
      <w:pPr>
        <w:rPr>
          <w:rFonts w:cs="宋体"/>
          <w:b/>
          <w:szCs w:val="28"/>
          <w:highlight w:val="none"/>
        </w:rPr>
      </w:pPr>
      <w:r>
        <w:rPr>
          <w:rFonts w:ascii="宋体" w:hAnsi="宋体" w:cs="宋体"/>
          <w:b/>
          <w:szCs w:val="21"/>
          <w:highlight w:val="none"/>
        </w:rPr>
        <w:t>备注：</w:t>
      </w:r>
      <w:r>
        <w:rPr>
          <w:rFonts w:hint="eastAsia" w:ascii="宋体" w:hAnsi="宋体"/>
          <w:b/>
          <w:bCs/>
          <w:szCs w:val="21"/>
          <w:highlight w:val="none"/>
        </w:rPr>
        <w:t>投标人应提交</w:t>
      </w:r>
      <w:r>
        <w:rPr>
          <w:rFonts w:ascii="宋体" w:hAnsi="宋体"/>
          <w:b/>
          <w:bCs/>
          <w:szCs w:val="21"/>
          <w:highlight w:val="none"/>
        </w:rPr>
        <w:t>与</w:t>
      </w:r>
      <w:r>
        <w:rPr>
          <w:rFonts w:hint="eastAsia" w:ascii="宋体" w:hAnsi="宋体"/>
          <w:b/>
          <w:bCs/>
          <w:szCs w:val="21"/>
          <w:highlight w:val="none"/>
        </w:rPr>
        <w:t>评分细则</w:t>
      </w:r>
      <w:r>
        <w:rPr>
          <w:rFonts w:ascii="宋体" w:hAnsi="宋体"/>
          <w:b/>
          <w:bCs/>
          <w:szCs w:val="21"/>
          <w:highlight w:val="none"/>
        </w:rPr>
        <w:t>相关的各类有效资料。</w:t>
      </w:r>
    </w:p>
    <w:p>
      <w:pPr>
        <w:pStyle w:val="39"/>
        <w:ind w:left="0" w:firstLine="0" w:firstLineChars="0"/>
        <w:rPr>
          <w:rFonts w:cs="宋体"/>
          <w:b/>
          <w:szCs w:val="28"/>
          <w:highlight w:val="none"/>
        </w:rPr>
        <w:sectPr>
          <w:pgSz w:w="11906" w:h="16838"/>
          <w:pgMar w:top="1440" w:right="1800" w:bottom="1440" w:left="1800" w:header="850" w:footer="992" w:gutter="0"/>
          <w:pgNumType w:fmt="decimal"/>
          <w:cols w:space="720" w:num="1"/>
          <w:docGrid w:linePitch="312" w:charSpace="0"/>
        </w:sectPr>
      </w:pPr>
    </w:p>
    <w:p>
      <w:pPr>
        <w:spacing w:line="360" w:lineRule="auto"/>
        <w:jc w:val="center"/>
        <w:rPr>
          <w:rFonts w:ascii="宋体" w:hAnsi="宋体" w:cs="宋体"/>
          <w:b/>
          <w:highlight w:val="none"/>
        </w:rPr>
      </w:pPr>
      <w:r>
        <w:rPr>
          <w:rFonts w:hint="eastAsia" w:ascii="宋体" w:hAnsi="宋体" w:cs="宋体"/>
          <w:b/>
          <w:highlight w:val="none"/>
        </w:rPr>
        <w:t>附表5.</w:t>
      </w:r>
      <w:r>
        <w:rPr>
          <w:rFonts w:hint="eastAsia"/>
          <w:highlight w:val="none"/>
        </w:rPr>
        <w:t xml:space="preserve"> </w:t>
      </w:r>
      <w:r>
        <w:rPr>
          <w:rFonts w:hint="eastAsia" w:ascii="宋体" w:hAnsi="宋体" w:cs="宋体"/>
          <w:b/>
          <w:highlight w:val="none"/>
        </w:rPr>
        <w:t>价格评审表</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6722"/>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74" w:type="pct"/>
            <w:vAlign w:val="center"/>
          </w:tcPr>
          <w:p>
            <w:pPr>
              <w:jc w:val="center"/>
              <w:rPr>
                <w:rFonts w:ascii="宋体" w:hAnsi="宋体" w:cs="宋体"/>
                <w:b/>
                <w:szCs w:val="21"/>
                <w:highlight w:val="none"/>
              </w:rPr>
            </w:pPr>
            <w:r>
              <w:rPr>
                <w:rFonts w:hint="eastAsia" w:ascii="宋体" w:hAnsi="宋体" w:cs="宋体"/>
                <w:b/>
                <w:szCs w:val="21"/>
                <w:highlight w:val="none"/>
              </w:rPr>
              <w:t>评审内容</w:t>
            </w:r>
          </w:p>
        </w:tc>
        <w:tc>
          <w:tcPr>
            <w:tcW w:w="3944" w:type="pct"/>
            <w:vAlign w:val="center"/>
          </w:tcPr>
          <w:p>
            <w:pPr>
              <w:jc w:val="center"/>
              <w:rPr>
                <w:rFonts w:ascii="宋体" w:hAnsi="宋体" w:cs="宋体"/>
                <w:b/>
                <w:szCs w:val="21"/>
                <w:highlight w:val="none"/>
              </w:rPr>
            </w:pPr>
            <w:r>
              <w:rPr>
                <w:rFonts w:hint="eastAsia" w:ascii="宋体" w:hAnsi="宋体" w:cs="宋体"/>
                <w:b/>
                <w:szCs w:val="21"/>
                <w:highlight w:val="none"/>
              </w:rPr>
              <w:t>评分标准</w:t>
            </w:r>
          </w:p>
        </w:tc>
        <w:tc>
          <w:tcPr>
            <w:tcW w:w="381" w:type="pct"/>
            <w:vAlign w:val="center"/>
          </w:tcPr>
          <w:p>
            <w:pPr>
              <w:jc w:val="center"/>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74" w:type="pct"/>
            <w:vAlign w:val="center"/>
          </w:tcPr>
          <w:p>
            <w:pPr>
              <w:jc w:val="center"/>
              <w:rPr>
                <w:rFonts w:ascii="宋体" w:hAnsi="宋体" w:cs="宋体"/>
                <w:b/>
                <w:szCs w:val="21"/>
                <w:highlight w:val="none"/>
              </w:rPr>
            </w:pPr>
            <w:r>
              <w:rPr>
                <w:rFonts w:hint="eastAsia" w:ascii="宋体" w:hAnsi="宋体" w:cs="宋体"/>
                <w:szCs w:val="21"/>
                <w:highlight w:val="none"/>
              </w:rPr>
              <w:t>价格评审</w:t>
            </w:r>
          </w:p>
        </w:tc>
        <w:tc>
          <w:tcPr>
            <w:tcW w:w="3944" w:type="pct"/>
            <w:vAlign w:val="center"/>
          </w:tcPr>
          <w:p>
            <w:pPr>
              <w:adjustRightInd w:val="0"/>
              <w:snapToGrid w:val="0"/>
              <w:rPr>
                <w:rFonts w:ascii="宋体" w:hAnsi="宋体" w:cs="宋体"/>
                <w:highlight w:val="none"/>
              </w:rPr>
            </w:pPr>
            <w:r>
              <w:rPr>
                <w:rFonts w:hint="eastAsia" w:ascii="宋体" w:hAnsi="宋体" w:cs="宋体"/>
                <w:highlight w:val="none"/>
                <w:lang w:val="en-US" w:eastAsia="zh-CN"/>
              </w:rPr>
              <w:t>价格评审</w:t>
            </w:r>
            <w:r>
              <w:rPr>
                <w:rFonts w:hint="eastAsia" w:ascii="宋体" w:hAnsi="宋体" w:cs="宋体"/>
                <w:highlight w:val="none"/>
              </w:rPr>
              <w:t>得分＝（评标基准价/</w:t>
            </w:r>
            <w:r>
              <w:rPr>
                <w:rFonts w:hint="eastAsia" w:ascii="宋体" w:hAnsi="宋体" w:cs="宋体"/>
                <w:highlight w:val="none"/>
                <w:lang w:val="en-US" w:eastAsia="zh-CN"/>
              </w:rPr>
              <w:t>投标报价</w:t>
            </w:r>
            <w:r>
              <w:rPr>
                <w:rFonts w:hint="eastAsia" w:ascii="宋体" w:hAnsi="宋体" w:cs="宋体"/>
                <w:highlight w:val="none"/>
              </w:rPr>
              <w:t>）×价格分值（注：满足招标文件要求且投标</w:t>
            </w:r>
            <w:r>
              <w:rPr>
                <w:rFonts w:hint="eastAsia" w:ascii="宋体" w:hAnsi="宋体" w:cs="宋体"/>
                <w:highlight w:val="none"/>
                <w:lang w:val="en-US" w:eastAsia="zh-CN"/>
              </w:rPr>
              <w:t>报价</w:t>
            </w:r>
            <w:r>
              <w:rPr>
                <w:rFonts w:hint="eastAsia" w:ascii="宋体" w:hAnsi="宋体" w:cs="宋体"/>
                <w:highlight w:val="none"/>
              </w:rPr>
              <w:t>最低的为评标基准价。）最低报价不是中标的唯一依据。因落实政府采购政策进行价格调整的，以调整后的价格计算评标基准价和</w:t>
            </w:r>
            <w:r>
              <w:rPr>
                <w:rFonts w:hint="eastAsia" w:ascii="宋体" w:hAnsi="宋体" w:cs="宋体"/>
                <w:highlight w:val="none"/>
                <w:lang w:val="en-US" w:eastAsia="zh-CN"/>
              </w:rPr>
              <w:t>投标报价</w:t>
            </w:r>
            <w:r>
              <w:rPr>
                <w:rFonts w:hint="eastAsia" w:ascii="宋体" w:hAnsi="宋体" w:cs="宋体"/>
                <w:highlight w:val="none"/>
              </w:rPr>
              <w:t>。</w:t>
            </w:r>
          </w:p>
        </w:tc>
        <w:tc>
          <w:tcPr>
            <w:tcW w:w="381" w:type="pct"/>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r>
    </w:tbl>
    <w:p>
      <w:pPr>
        <w:pStyle w:val="26"/>
        <w:tabs>
          <w:tab w:val="right" w:leader="dot" w:pos="9628"/>
        </w:tabs>
        <w:spacing w:before="0" w:after="0" w:line="360" w:lineRule="auto"/>
        <w:rPr>
          <w:rFonts w:ascii="宋体" w:hAnsi="宋体" w:cs="宋体"/>
          <w:highlight w:val="none"/>
        </w:rPr>
        <w:sectPr>
          <w:pgSz w:w="11906" w:h="16838"/>
          <w:pgMar w:top="1440" w:right="1800" w:bottom="1440" w:left="1800" w:header="850" w:footer="992" w:gutter="0"/>
          <w:pgNumType w:fmt="decimal"/>
          <w:cols w:space="720" w:num="1"/>
          <w:docGrid w:linePitch="312" w:charSpace="0"/>
        </w:sectPr>
      </w:pPr>
    </w:p>
    <w:p>
      <w:pPr>
        <w:pStyle w:val="26"/>
        <w:tabs>
          <w:tab w:val="right" w:leader="dot" w:pos="9628"/>
        </w:tabs>
        <w:spacing w:before="0" w:after="0" w:line="360" w:lineRule="auto"/>
        <w:rPr>
          <w:rFonts w:ascii="宋体" w:hAnsi="宋体" w:cs="宋体"/>
          <w:highlight w:val="none"/>
        </w:rPr>
      </w:pPr>
    </w:p>
    <w:p>
      <w:pPr>
        <w:spacing w:line="360" w:lineRule="auto"/>
        <w:rPr>
          <w:rFonts w:ascii="宋体" w:hAnsi="宋体" w:cs="宋体"/>
          <w:sz w:val="28"/>
          <w:highlight w:val="none"/>
        </w:rPr>
      </w:pPr>
    </w:p>
    <w:p>
      <w:pPr>
        <w:pStyle w:val="26"/>
        <w:tabs>
          <w:tab w:val="right" w:leader="dot" w:pos="9628"/>
        </w:tabs>
        <w:spacing w:before="0" w:after="0" w:line="360" w:lineRule="auto"/>
        <w:rPr>
          <w:rFonts w:ascii="宋体" w:hAnsi="宋体" w:cs="宋体"/>
          <w:highlight w:val="none"/>
        </w:rPr>
      </w:pPr>
    </w:p>
    <w:p>
      <w:pPr>
        <w:pStyle w:val="2"/>
        <w:keepLines w:val="0"/>
        <w:spacing w:before="0" w:after="0" w:line="360" w:lineRule="auto"/>
        <w:ind w:right="5"/>
        <w:jc w:val="center"/>
        <w:rPr>
          <w:rFonts w:hint="eastAsia" w:ascii="宋体" w:hAnsi="宋体" w:cs="宋体"/>
          <w:kern w:val="2"/>
          <w:highlight w:val="none"/>
        </w:rPr>
      </w:pPr>
      <w:bookmarkStart w:id="49" w:name="_Toc16496"/>
      <w:r>
        <w:rPr>
          <w:rFonts w:hint="eastAsia" w:ascii="宋体" w:hAnsi="宋体" w:cs="宋体"/>
          <w:kern w:val="2"/>
          <w:highlight w:val="none"/>
        </w:rPr>
        <w:t>第四部分  合同书格式（范本）</w:t>
      </w:r>
      <w:bookmarkEnd w:id="49"/>
    </w:p>
    <w:p>
      <w:pPr>
        <w:jc w:val="center"/>
        <w:rPr>
          <w:rFonts w:hint="eastAsia"/>
          <w:sz w:val="44"/>
          <w:szCs w:val="44"/>
          <w:highlight w:val="none"/>
        </w:rPr>
      </w:pPr>
      <w:bookmarkStart w:id="50" w:name="_Toc14450837"/>
      <w:bookmarkStart w:id="51" w:name="_Toc59967440"/>
      <w:bookmarkStart w:id="52" w:name="_Toc28489495"/>
    </w:p>
    <w:p>
      <w:pPr>
        <w:jc w:val="center"/>
        <w:rPr>
          <w:rFonts w:hint="eastAsia"/>
          <w:sz w:val="44"/>
          <w:szCs w:val="44"/>
          <w:highlight w:val="none"/>
        </w:rPr>
        <w:sectPr>
          <w:footerReference r:id="rId12" w:type="default"/>
          <w:pgSz w:w="11907" w:h="16840"/>
          <w:pgMar w:top="1440" w:right="1800" w:bottom="1440" w:left="1800" w:header="737" w:footer="737" w:gutter="0"/>
          <w:pgNumType w:fmt="decimal"/>
          <w:cols w:space="720" w:num="1"/>
          <w:docGrid w:linePitch="312" w:charSpace="0"/>
        </w:sectPr>
      </w:pPr>
    </w:p>
    <w:p>
      <w:pPr>
        <w:jc w:val="center"/>
        <w:rPr>
          <w:rFonts w:hint="eastAsia"/>
          <w:sz w:val="44"/>
          <w:szCs w:val="44"/>
          <w:highlight w:val="none"/>
        </w:rPr>
      </w:pPr>
    </w:p>
    <w:p>
      <w:pPr>
        <w:jc w:val="center"/>
        <w:rPr>
          <w:rFonts w:hint="eastAsia"/>
          <w:sz w:val="44"/>
          <w:szCs w:val="44"/>
          <w:highlight w:val="none"/>
        </w:rPr>
      </w:pPr>
    </w:p>
    <w:p>
      <w:pPr>
        <w:jc w:val="center"/>
        <w:rPr>
          <w:rFonts w:hint="eastAsia"/>
          <w:sz w:val="44"/>
          <w:szCs w:val="44"/>
          <w:highlight w:val="none"/>
        </w:rPr>
      </w:pPr>
    </w:p>
    <w:p>
      <w:pPr>
        <w:jc w:val="center"/>
        <w:rPr>
          <w:sz w:val="44"/>
          <w:szCs w:val="44"/>
          <w:highlight w:val="none"/>
        </w:rPr>
      </w:pPr>
      <w:r>
        <w:rPr>
          <w:rFonts w:hint="eastAsia"/>
          <w:sz w:val="44"/>
          <w:szCs w:val="44"/>
          <w:highlight w:val="none"/>
        </w:rPr>
        <w:t>国家税务总局广东潮州经济开发区税务局后勤综合服务采购项目</w:t>
      </w:r>
    </w:p>
    <w:p>
      <w:pPr>
        <w:jc w:val="center"/>
        <w:rPr>
          <w:sz w:val="44"/>
          <w:szCs w:val="44"/>
          <w:highlight w:val="none"/>
        </w:rPr>
      </w:pPr>
    </w:p>
    <w:p>
      <w:pPr>
        <w:jc w:val="center"/>
        <w:rPr>
          <w:sz w:val="44"/>
          <w:szCs w:val="44"/>
          <w:highlight w:val="none"/>
        </w:rPr>
      </w:pPr>
      <w:r>
        <w:rPr>
          <w:rFonts w:hint="eastAsia"/>
          <w:sz w:val="44"/>
          <w:szCs w:val="44"/>
          <w:highlight w:val="none"/>
        </w:rPr>
        <w:t>合</w:t>
      </w:r>
      <w:r>
        <w:rPr>
          <w:sz w:val="44"/>
          <w:szCs w:val="44"/>
          <w:highlight w:val="none"/>
        </w:rPr>
        <w:tab/>
      </w:r>
      <w:r>
        <w:rPr>
          <w:rFonts w:hint="eastAsia"/>
          <w:sz w:val="44"/>
          <w:szCs w:val="44"/>
          <w:highlight w:val="none"/>
        </w:rPr>
        <w:t>同</w:t>
      </w:r>
      <w:r>
        <w:rPr>
          <w:sz w:val="44"/>
          <w:szCs w:val="44"/>
          <w:highlight w:val="none"/>
        </w:rPr>
        <w:tab/>
      </w:r>
      <w:r>
        <w:rPr>
          <w:rFonts w:hint="eastAsia"/>
          <w:sz w:val="44"/>
          <w:szCs w:val="44"/>
          <w:highlight w:val="none"/>
        </w:rPr>
        <w:t>书</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40"/>
        <w:tblpPr w:leftFromText="180" w:rightFromText="180" w:vertAnchor="text" w:horzAnchor="page" w:tblpX="3376" w:tblpY="260"/>
        <w:tblOverlap w:val="never"/>
        <w:tblW w:w="0" w:type="auto"/>
        <w:tblInd w:w="0" w:type="dxa"/>
        <w:tblLayout w:type="fixed"/>
        <w:tblCellMar>
          <w:top w:w="0" w:type="dxa"/>
          <w:left w:w="0" w:type="dxa"/>
          <w:bottom w:w="0" w:type="dxa"/>
          <w:right w:w="0" w:type="dxa"/>
        </w:tblCellMar>
      </w:tblPr>
      <w:tblGrid>
        <w:gridCol w:w="5103"/>
      </w:tblGrid>
      <w:tr>
        <w:tblPrEx>
          <w:tblCellMar>
            <w:top w:w="0" w:type="dxa"/>
            <w:left w:w="0" w:type="dxa"/>
            <w:bottom w:w="0" w:type="dxa"/>
            <w:right w:w="0" w:type="dxa"/>
          </w:tblCellMar>
        </w:tblPrEx>
        <w:trPr>
          <w:trHeight w:val="551" w:hRule="atLeast"/>
        </w:trPr>
        <w:tc>
          <w:tcPr>
            <w:tcW w:w="5103" w:type="dxa"/>
          </w:tcPr>
          <w:p>
            <w:pPr>
              <w:rPr>
                <w:sz w:val="28"/>
                <w:szCs w:val="28"/>
                <w:highlight w:val="none"/>
              </w:rPr>
            </w:pPr>
            <w:r>
              <w:rPr>
                <w:rFonts w:hint="eastAsia"/>
                <w:sz w:val="28"/>
                <w:szCs w:val="28"/>
                <w:highlight w:val="none"/>
              </w:rPr>
              <w:t>采购编号：</w:t>
            </w:r>
            <w:r>
              <w:rPr>
                <w:sz w:val="28"/>
                <w:szCs w:val="28"/>
                <w:highlight w:val="none"/>
              </w:rPr>
              <w:t xml:space="preserve"> </w:t>
            </w:r>
            <w:r>
              <w:rPr>
                <w:sz w:val="28"/>
                <w:szCs w:val="28"/>
                <w:highlight w:val="none"/>
              </w:rPr>
              <w:tab/>
            </w:r>
          </w:p>
        </w:tc>
      </w:tr>
      <w:tr>
        <w:tblPrEx>
          <w:tblCellMar>
            <w:top w:w="0" w:type="dxa"/>
            <w:left w:w="0" w:type="dxa"/>
            <w:bottom w:w="0" w:type="dxa"/>
            <w:right w:w="0" w:type="dxa"/>
          </w:tblCellMar>
        </w:tblPrEx>
        <w:trPr>
          <w:trHeight w:val="551" w:hRule="atLeast"/>
        </w:trPr>
        <w:tc>
          <w:tcPr>
            <w:tcW w:w="5103" w:type="dxa"/>
          </w:tcPr>
          <w:p>
            <w:pPr>
              <w:rPr>
                <w:sz w:val="28"/>
                <w:szCs w:val="28"/>
                <w:highlight w:val="none"/>
              </w:rPr>
            </w:pPr>
          </w:p>
          <w:p>
            <w:pPr>
              <w:rPr>
                <w:sz w:val="28"/>
                <w:szCs w:val="28"/>
                <w:highlight w:val="none"/>
              </w:rPr>
            </w:pPr>
            <w:r>
              <w:rPr>
                <w:rFonts w:hint="eastAsia"/>
                <w:sz w:val="28"/>
                <w:szCs w:val="28"/>
                <w:highlight w:val="none"/>
              </w:rPr>
              <w:t>项目名称：</w:t>
            </w:r>
            <w:r>
              <w:rPr>
                <w:sz w:val="28"/>
                <w:szCs w:val="28"/>
                <w:highlight w:val="none"/>
              </w:rPr>
              <w:t xml:space="preserve"> </w:t>
            </w:r>
            <w:r>
              <w:rPr>
                <w:sz w:val="28"/>
                <w:szCs w:val="28"/>
                <w:highlight w:val="none"/>
              </w:rPr>
              <w:tab/>
            </w:r>
          </w:p>
        </w:tc>
      </w:tr>
    </w:tbl>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spacing w:line="360" w:lineRule="auto"/>
        <w:rPr>
          <w:b/>
          <w:sz w:val="28"/>
          <w:szCs w:val="28"/>
          <w:highlight w:val="none"/>
        </w:rPr>
      </w:pPr>
      <w:r>
        <w:rPr>
          <w:rFonts w:hint="eastAsia"/>
          <w:b/>
          <w:sz w:val="28"/>
          <w:szCs w:val="28"/>
          <w:highlight w:val="none"/>
        </w:rPr>
        <w:t>注：本合同仅为合同的参考文本，合同签订双方可根据项目的具体要求进行修订。</w:t>
      </w:r>
    </w:p>
    <w:p>
      <w:pPr>
        <w:jc w:val="center"/>
        <w:rPr>
          <w:rFonts w:hint="eastAsia"/>
          <w:b/>
          <w:bCs/>
          <w:sz w:val="32"/>
          <w:szCs w:val="40"/>
          <w:highlight w:val="none"/>
        </w:rPr>
      </w:pPr>
    </w:p>
    <w:p>
      <w:pPr>
        <w:jc w:val="center"/>
        <w:rPr>
          <w:rFonts w:hint="eastAsia"/>
          <w:b/>
          <w:bCs/>
          <w:sz w:val="32"/>
          <w:szCs w:val="40"/>
          <w:highlight w:val="none"/>
        </w:rPr>
        <w:sectPr>
          <w:pgSz w:w="11907" w:h="16840"/>
          <w:pgMar w:top="1440" w:right="1800" w:bottom="1440" w:left="1800" w:header="737" w:footer="737" w:gutter="0"/>
          <w:pgNumType w:fmt="decimal"/>
          <w:cols w:space="720" w:num="1"/>
          <w:docGrid w:linePitch="312" w:charSpace="0"/>
        </w:sectPr>
      </w:pPr>
    </w:p>
    <w:p>
      <w:pPr>
        <w:spacing w:line="360" w:lineRule="auto"/>
        <w:ind w:firstLine="480" w:firstLineChars="200"/>
        <w:rPr>
          <w:sz w:val="24"/>
          <w:szCs w:val="24"/>
          <w:highlight w:val="none"/>
        </w:rPr>
      </w:pPr>
      <w:r>
        <w:rPr>
          <w:rFonts w:hint="eastAsia"/>
          <w:sz w:val="24"/>
          <w:szCs w:val="24"/>
          <w:highlight w:val="none"/>
        </w:rPr>
        <w:t>甲</w:t>
      </w:r>
      <w:r>
        <w:rPr>
          <w:sz w:val="24"/>
          <w:szCs w:val="24"/>
          <w:highlight w:val="none"/>
        </w:rPr>
        <w:t xml:space="preserve">    </w:t>
      </w:r>
      <w:r>
        <w:rPr>
          <w:rFonts w:hint="eastAsia"/>
          <w:sz w:val="24"/>
          <w:szCs w:val="24"/>
          <w:highlight w:val="none"/>
        </w:rPr>
        <w:t>方：国家税务总局广东潮州经济开发区税务局</w:t>
      </w:r>
    </w:p>
    <w:p>
      <w:pPr>
        <w:spacing w:line="360" w:lineRule="auto"/>
        <w:ind w:firstLine="480" w:firstLineChars="200"/>
        <w:rPr>
          <w:sz w:val="24"/>
          <w:szCs w:val="24"/>
          <w:highlight w:val="none"/>
        </w:rPr>
      </w:pPr>
      <w:r>
        <w:rPr>
          <w:rFonts w:hint="eastAsia"/>
          <w:sz w:val="24"/>
          <w:szCs w:val="24"/>
          <w:highlight w:val="none"/>
        </w:rPr>
        <w:t>乙</w:t>
      </w:r>
      <w:r>
        <w:rPr>
          <w:sz w:val="24"/>
          <w:szCs w:val="24"/>
          <w:highlight w:val="none"/>
        </w:rPr>
        <w:t xml:space="preserve">    </w:t>
      </w:r>
      <w:r>
        <w:rPr>
          <w:rFonts w:hint="eastAsia"/>
          <w:sz w:val="24"/>
          <w:szCs w:val="24"/>
          <w:highlight w:val="none"/>
        </w:rPr>
        <w:t>方：</w:t>
      </w:r>
      <w:r>
        <w:rPr>
          <w:sz w:val="24"/>
          <w:szCs w:val="24"/>
          <w:highlight w:val="none"/>
        </w:rPr>
        <w:t xml:space="preserve">              </w:t>
      </w:r>
    </w:p>
    <w:p>
      <w:pPr>
        <w:spacing w:line="360" w:lineRule="auto"/>
        <w:ind w:firstLine="560" w:firstLineChars="200"/>
        <w:rPr>
          <w:sz w:val="28"/>
          <w:szCs w:val="28"/>
          <w:highlight w:val="none"/>
        </w:rPr>
      </w:pPr>
    </w:p>
    <w:p>
      <w:pPr>
        <w:spacing w:line="360" w:lineRule="auto"/>
        <w:ind w:firstLine="480" w:firstLineChars="200"/>
        <w:rPr>
          <w:sz w:val="24"/>
          <w:szCs w:val="24"/>
          <w:highlight w:val="none"/>
        </w:rPr>
      </w:pPr>
      <w:r>
        <w:rPr>
          <w:rFonts w:hint="eastAsia"/>
          <w:sz w:val="24"/>
          <w:szCs w:val="24"/>
          <w:highlight w:val="none"/>
        </w:rPr>
        <w:t>根据</w:t>
      </w:r>
      <w:r>
        <w:rPr>
          <w:rFonts w:hint="eastAsia"/>
          <w:sz w:val="24"/>
          <w:szCs w:val="24"/>
          <w:highlight w:val="none"/>
          <w:u w:val="single"/>
        </w:rPr>
        <w:t>国家税务总局广东潮州经济开发区税务局后勤综合服务采购项目</w:t>
      </w:r>
      <w:r>
        <w:rPr>
          <w:sz w:val="24"/>
          <w:szCs w:val="24"/>
          <w:highlight w:val="none"/>
          <w:u w:val="single"/>
        </w:rPr>
        <w:t xml:space="preserve"> </w:t>
      </w:r>
      <w:r>
        <w:rPr>
          <w:rFonts w:hint="eastAsia"/>
          <w:sz w:val="24"/>
          <w:szCs w:val="24"/>
          <w:highlight w:val="none"/>
          <w:u w:val="single"/>
        </w:rPr>
        <w:t>（采购编号</w:t>
      </w:r>
      <w:r>
        <w:rPr>
          <w:rFonts w:hint="eastAsia"/>
          <w:sz w:val="24"/>
          <w:szCs w:val="24"/>
          <w:highlight w:val="none"/>
          <w:u w:val="single"/>
          <w:lang w:eastAsia="zh-CN"/>
        </w:rPr>
        <w:t>05-12-04A-2022-D-E13897</w:t>
      </w:r>
      <w:r>
        <w:rPr>
          <w:rFonts w:hint="eastAsia"/>
          <w:sz w:val="24"/>
          <w:szCs w:val="24"/>
          <w:highlight w:val="none"/>
          <w:u w:val="single"/>
        </w:rPr>
        <w:t>）</w:t>
      </w:r>
      <w:r>
        <w:rPr>
          <w:rFonts w:hint="eastAsia"/>
          <w:sz w:val="24"/>
          <w:szCs w:val="24"/>
          <w:highlight w:val="none"/>
        </w:rPr>
        <w:t>的采购结果，乙方为中标人，按照《中华人民共和国政府采购法》、《中华人民共和国</w:t>
      </w:r>
      <w:r>
        <w:rPr>
          <w:rFonts w:hint="eastAsia"/>
          <w:sz w:val="24"/>
          <w:szCs w:val="24"/>
          <w:highlight w:val="none"/>
          <w:lang w:val="en-US" w:eastAsia="zh-CN"/>
        </w:rPr>
        <w:t>民法典</w:t>
      </w:r>
      <w:r>
        <w:rPr>
          <w:rFonts w:hint="eastAsia"/>
          <w:sz w:val="24"/>
          <w:szCs w:val="24"/>
          <w:highlight w:val="none"/>
        </w:rPr>
        <w:t>》及本项目招标文件的要求、乙方投标文件的承诺和中标通知书的规定，经双方协商，本着平等互利和诚实信用的原则，就甲方将本项目委托乙方实施服务事宜，一致同意签订本合同如下。</w:t>
      </w:r>
    </w:p>
    <w:p>
      <w:pPr>
        <w:spacing w:line="360" w:lineRule="auto"/>
        <w:ind w:firstLine="480" w:firstLineChars="200"/>
        <w:rPr>
          <w:sz w:val="24"/>
          <w:szCs w:val="24"/>
          <w:highlight w:val="none"/>
        </w:rPr>
      </w:pPr>
      <w:r>
        <w:rPr>
          <w:rFonts w:hint="eastAsia"/>
          <w:sz w:val="24"/>
          <w:szCs w:val="24"/>
          <w:highlight w:val="none"/>
        </w:rPr>
        <w:t>一、合同总金额及付款方式</w:t>
      </w:r>
    </w:p>
    <w:p>
      <w:pPr>
        <w:spacing w:line="360" w:lineRule="auto"/>
        <w:ind w:firstLine="480" w:firstLineChars="200"/>
        <w:rPr>
          <w:sz w:val="24"/>
          <w:szCs w:val="24"/>
          <w:highlight w:val="none"/>
          <w:lang w:val="en-US"/>
        </w:rPr>
      </w:pPr>
      <w:r>
        <w:rPr>
          <w:sz w:val="24"/>
          <w:szCs w:val="24"/>
          <w:highlight w:val="none"/>
          <w:lang w:val="en-US"/>
        </w:rPr>
        <w:t>1.</w:t>
      </w:r>
      <w:r>
        <w:rPr>
          <w:rFonts w:hint="eastAsia"/>
          <w:sz w:val="24"/>
          <w:szCs w:val="24"/>
          <w:highlight w:val="none"/>
          <w:lang w:val="en-US"/>
        </w:rPr>
        <w:t>服务费用明细表：</w:t>
      </w:r>
    </w:p>
    <w:tbl>
      <w:tblPr>
        <w:tblStyle w:val="40"/>
        <w:tblW w:w="4998" w:type="pct"/>
        <w:jc w:val="center"/>
        <w:tblLayout w:type="autofit"/>
        <w:tblCellMar>
          <w:top w:w="0" w:type="dxa"/>
          <w:left w:w="108" w:type="dxa"/>
          <w:bottom w:w="0" w:type="dxa"/>
          <w:right w:w="108" w:type="dxa"/>
        </w:tblCellMar>
      </w:tblPr>
      <w:tblGrid>
        <w:gridCol w:w="1416"/>
        <w:gridCol w:w="3200"/>
        <w:gridCol w:w="3904"/>
      </w:tblGrid>
      <w:tr>
        <w:tblPrEx>
          <w:tblCellMar>
            <w:top w:w="0" w:type="dxa"/>
            <w:left w:w="108" w:type="dxa"/>
            <w:bottom w:w="0" w:type="dxa"/>
            <w:right w:w="108" w:type="dxa"/>
          </w:tblCellMar>
        </w:tblPrEx>
        <w:trPr>
          <w:trHeight w:val="720" w:hRule="atLeast"/>
          <w:jc w:val="center"/>
        </w:trPr>
        <w:tc>
          <w:tcPr>
            <w:tcW w:w="831" w:type="pct"/>
            <w:tcBorders>
              <w:top w:val="single" w:color="auto" w:sz="8" w:space="0"/>
              <w:left w:val="single" w:color="auto" w:sz="8" w:space="0"/>
              <w:bottom w:val="single" w:color="000000" w:sz="4" w:space="0"/>
              <w:right w:val="single" w:color="auto" w:sz="4" w:space="0"/>
            </w:tcBorders>
            <w:vAlign w:val="center"/>
          </w:tcPr>
          <w:p>
            <w:pPr>
              <w:widowControl/>
              <w:jc w:val="center"/>
              <w:rPr>
                <w:b/>
                <w:bCs/>
                <w:sz w:val="24"/>
                <w:szCs w:val="24"/>
                <w:highlight w:val="none"/>
              </w:rPr>
            </w:pPr>
            <w:r>
              <w:rPr>
                <w:rFonts w:hint="eastAsia"/>
                <w:b/>
                <w:bCs/>
                <w:sz w:val="24"/>
                <w:szCs w:val="24"/>
                <w:highlight w:val="none"/>
              </w:rPr>
              <w:t>年度</w:t>
            </w:r>
          </w:p>
        </w:tc>
        <w:tc>
          <w:tcPr>
            <w:tcW w:w="1877" w:type="pct"/>
            <w:tcBorders>
              <w:top w:val="single" w:color="auto" w:sz="4" w:space="0"/>
              <w:left w:val="nil"/>
              <w:bottom w:val="single" w:color="auto" w:sz="4" w:space="0"/>
              <w:right w:val="single" w:color="auto" w:sz="4" w:space="0"/>
            </w:tcBorders>
            <w:vAlign w:val="center"/>
          </w:tcPr>
          <w:p>
            <w:pPr>
              <w:widowControl/>
              <w:jc w:val="center"/>
              <w:rPr>
                <w:b/>
                <w:bCs/>
                <w:sz w:val="24"/>
                <w:szCs w:val="24"/>
                <w:highlight w:val="none"/>
              </w:rPr>
            </w:pPr>
            <w:r>
              <w:rPr>
                <w:rFonts w:hint="eastAsia"/>
                <w:b/>
                <w:bCs/>
                <w:sz w:val="24"/>
                <w:szCs w:val="24"/>
                <w:highlight w:val="none"/>
              </w:rPr>
              <w:t>每月（元）</w:t>
            </w:r>
          </w:p>
        </w:tc>
        <w:tc>
          <w:tcPr>
            <w:tcW w:w="2290" w:type="pct"/>
            <w:tcBorders>
              <w:top w:val="single" w:color="auto" w:sz="4" w:space="0"/>
              <w:left w:val="nil"/>
              <w:bottom w:val="single" w:color="auto" w:sz="4" w:space="0"/>
              <w:right w:val="single" w:color="auto" w:sz="4" w:space="0"/>
            </w:tcBorders>
            <w:vAlign w:val="center"/>
          </w:tcPr>
          <w:p>
            <w:pPr>
              <w:widowControl/>
              <w:jc w:val="center"/>
              <w:rPr>
                <w:b/>
                <w:bCs/>
                <w:sz w:val="24"/>
                <w:szCs w:val="24"/>
                <w:highlight w:val="none"/>
              </w:rPr>
            </w:pPr>
            <w:r>
              <w:rPr>
                <w:rFonts w:hint="eastAsia"/>
                <w:b/>
                <w:bCs/>
                <w:sz w:val="24"/>
                <w:szCs w:val="24"/>
                <w:highlight w:val="none"/>
              </w:rPr>
              <w:t>全年（元）</w:t>
            </w:r>
          </w:p>
        </w:tc>
      </w:tr>
      <w:tr>
        <w:tblPrEx>
          <w:tblCellMar>
            <w:top w:w="0" w:type="dxa"/>
            <w:left w:w="108" w:type="dxa"/>
            <w:bottom w:w="0" w:type="dxa"/>
            <w:right w:w="108" w:type="dxa"/>
          </w:tblCellMar>
        </w:tblPrEx>
        <w:trPr>
          <w:trHeight w:val="720" w:hRule="atLeast"/>
          <w:jc w:val="center"/>
        </w:trPr>
        <w:tc>
          <w:tcPr>
            <w:tcW w:w="831" w:type="pct"/>
            <w:tcBorders>
              <w:top w:val="nil"/>
              <w:left w:val="single" w:color="auto" w:sz="8" w:space="0"/>
              <w:bottom w:val="single" w:color="auto" w:sz="4" w:space="0"/>
              <w:right w:val="single" w:color="auto" w:sz="4" w:space="0"/>
            </w:tcBorders>
            <w:vAlign w:val="center"/>
          </w:tcPr>
          <w:p>
            <w:pPr>
              <w:widowControl/>
              <w:jc w:val="center"/>
              <w:rPr>
                <w:rFonts w:hint="eastAsia" w:eastAsia="宋体"/>
                <w:sz w:val="24"/>
                <w:szCs w:val="24"/>
                <w:highlight w:val="none"/>
                <w:lang w:val="en-US" w:eastAsia="zh-CN"/>
              </w:rPr>
            </w:pPr>
            <w:r>
              <w:rPr>
                <w:sz w:val="24"/>
                <w:szCs w:val="24"/>
                <w:highlight w:val="none"/>
              </w:rPr>
              <w:t>202</w:t>
            </w:r>
            <w:r>
              <w:rPr>
                <w:rFonts w:hint="eastAsia"/>
                <w:sz w:val="24"/>
                <w:szCs w:val="24"/>
                <w:highlight w:val="none"/>
                <w:lang w:val="en-US" w:eastAsia="zh-CN"/>
              </w:rPr>
              <w:t>2</w:t>
            </w:r>
            <w:r>
              <w:rPr>
                <w:sz w:val="24"/>
                <w:szCs w:val="24"/>
                <w:highlight w:val="none"/>
              </w:rPr>
              <w:t>-202</w:t>
            </w:r>
            <w:r>
              <w:rPr>
                <w:rFonts w:hint="eastAsia"/>
                <w:sz w:val="24"/>
                <w:szCs w:val="24"/>
                <w:highlight w:val="none"/>
                <w:lang w:val="en-US" w:eastAsia="zh-CN"/>
              </w:rPr>
              <w:t>3</w:t>
            </w:r>
          </w:p>
        </w:tc>
        <w:tc>
          <w:tcPr>
            <w:tcW w:w="1877" w:type="pct"/>
            <w:tcBorders>
              <w:top w:val="nil"/>
              <w:left w:val="nil"/>
              <w:bottom w:val="single" w:color="auto" w:sz="4" w:space="0"/>
              <w:right w:val="single" w:color="auto" w:sz="4" w:space="0"/>
            </w:tcBorders>
            <w:vAlign w:val="center"/>
          </w:tcPr>
          <w:p>
            <w:pPr>
              <w:widowControl/>
              <w:jc w:val="center"/>
              <w:rPr>
                <w:sz w:val="24"/>
                <w:szCs w:val="24"/>
                <w:highlight w:val="none"/>
              </w:rPr>
            </w:pPr>
          </w:p>
        </w:tc>
        <w:tc>
          <w:tcPr>
            <w:tcW w:w="2290" w:type="pct"/>
            <w:tcBorders>
              <w:top w:val="nil"/>
              <w:left w:val="nil"/>
              <w:bottom w:val="single" w:color="auto" w:sz="4" w:space="0"/>
              <w:right w:val="single" w:color="auto" w:sz="4" w:space="0"/>
            </w:tcBorders>
            <w:vAlign w:val="center"/>
          </w:tcPr>
          <w:p>
            <w:pPr>
              <w:widowControl/>
              <w:jc w:val="center"/>
              <w:rPr>
                <w:sz w:val="24"/>
                <w:szCs w:val="24"/>
                <w:highlight w:val="none"/>
              </w:rPr>
            </w:pPr>
          </w:p>
        </w:tc>
      </w:tr>
      <w:tr>
        <w:tblPrEx>
          <w:tblCellMar>
            <w:top w:w="0" w:type="dxa"/>
            <w:left w:w="108" w:type="dxa"/>
            <w:bottom w:w="0" w:type="dxa"/>
            <w:right w:w="108" w:type="dxa"/>
          </w:tblCellMar>
        </w:tblPrEx>
        <w:trPr>
          <w:trHeight w:val="720" w:hRule="atLeast"/>
          <w:jc w:val="center"/>
        </w:trPr>
        <w:tc>
          <w:tcPr>
            <w:tcW w:w="831" w:type="pct"/>
            <w:tcBorders>
              <w:top w:val="nil"/>
              <w:left w:val="single" w:color="auto" w:sz="8" w:space="0"/>
              <w:bottom w:val="single" w:color="auto" w:sz="4" w:space="0"/>
              <w:right w:val="single" w:color="auto" w:sz="4" w:space="0"/>
            </w:tcBorders>
            <w:vAlign w:val="center"/>
          </w:tcPr>
          <w:p>
            <w:pPr>
              <w:widowControl/>
              <w:jc w:val="center"/>
              <w:rPr>
                <w:rFonts w:hint="default" w:eastAsia="宋体"/>
                <w:sz w:val="24"/>
                <w:szCs w:val="24"/>
                <w:highlight w:val="none"/>
                <w:lang w:val="en-US" w:eastAsia="zh-CN"/>
              </w:rPr>
            </w:pPr>
            <w:r>
              <w:rPr>
                <w:rFonts w:hint="eastAsia"/>
                <w:sz w:val="24"/>
                <w:szCs w:val="24"/>
                <w:highlight w:val="none"/>
                <w:lang w:val="en-US" w:eastAsia="zh-CN"/>
              </w:rPr>
              <w:t>2023-2024</w:t>
            </w:r>
          </w:p>
        </w:tc>
        <w:tc>
          <w:tcPr>
            <w:tcW w:w="1877" w:type="pct"/>
            <w:tcBorders>
              <w:top w:val="nil"/>
              <w:left w:val="nil"/>
              <w:bottom w:val="single" w:color="auto" w:sz="4" w:space="0"/>
              <w:right w:val="single" w:color="auto" w:sz="4" w:space="0"/>
            </w:tcBorders>
            <w:vAlign w:val="center"/>
          </w:tcPr>
          <w:p>
            <w:pPr>
              <w:widowControl/>
              <w:jc w:val="center"/>
              <w:rPr>
                <w:sz w:val="24"/>
                <w:szCs w:val="24"/>
                <w:highlight w:val="none"/>
              </w:rPr>
            </w:pPr>
          </w:p>
        </w:tc>
        <w:tc>
          <w:tcPr>
            <w:tcW w:w="2290" w:type="pct"/>
            <w:tcBorders>
              <w:top w:val="nil"/>
              <w:left w:val="nil"/>
              <w:bottom w:val="single" w:color="auto" w:sz="4" w:space="0"/>
              <w:right w:val="single" w:color="auto" w:sz="4" w:space="0"/>
            </w:tcBorders>
            <w:vAlign w:val="center"/>
          </w:tcPr>
          <w:p>
            <w:pPr>
              <w:widowControl/>
              <w:jc w:val="center"/>
              <w:rPr>
                <w:sz w:val="24"/>
                <w:szCs w:val="24"/>
                <w:highlight w:val="none"/>
              </w:rPr>
            </w:pPr>
          </w:p>
        </w:tc>
      </w:tr>
      <w:tr>
        <w:tblPrEx>
          <w:tblCellMar>
            <w:top w:w="0" w:type="dxa"/>
            <w:left w:w="108" w:type="dxa"/>
            <w:bottom w:w="0" w:type="dxa"/>
            <w:right w:w="108" w:type="dxa"/>
          </w:tblCellMar>
        </w:tblPrEx>
        <w:trPr>
          <w:trHeight w:val="720" w:hRule="atLeast"/>
          <w:jc w:val="center"/>
        </w:trPr>
        <w:tc>
          <w:tcPr>
            <w:tcW w:w="831" w:type="pct"/>
            <w:tcBorders>
              <w:top w:val="nil"/>
              <w:left w:val="single" w:color="auto" w:sz="8" w:space="0"/>
              <w:bottom w:val="single" w:color="auto" w:sz="4" w:space="0"/>
              <w:right w:val="single" w:color="auto" w:sz="4" w:space="0"/>
            </w:tcBorders>
            <w:vAlign w:val="center"/>
          </w:tcPr>
          <w:p>
            <w:pPr>
              <w:widowControl/>
              <w:jc w:val="center"/>
              <w:rPr>
                <w:rFonts w:hint="eastAsia" w:eastAsia="宋体"/>
                <w:sz w:val="24"/>
                <w:szCs w:val="24"/>
                <w:highlight w:val="none"/>
                <w:lang w:eastAsia="zh-CN"/>
              </w:rPr>
            </w:pPr>
            <w:r>
              <w:rPr>
                <w:sz w:val="24"/>
                <w:szCs w:val="24"/>
                <w:highlight w:val="none"/>
              </w:rPr>
              <w:t>202</w:t>
            </w:r>
            <w:r>
              <w:rPr>
                <w:rFonts w:hint="eastAsia"/>
                <w:sz w:val="24"/>
                <w:szCs w:val="24"/>
                <w:highlight w:val="none"/>
                <w:lang w:val="en-US" w:eastAsia="zh-CN"/>
              </w:rPr>
              <w:t>4</w:t>
            </w:r>
            <w:r>
              <w:rPr>
                <w:sz w:val="24"/>
                <w:szCs w:val="24"/>
                <w:highlight w:val="none"/>
              </w:rPr>
              <w:t>-202</w:t>
            </w:r>
            <w:r>
              <w:rPr>
                <w:rFonts w:hint="eastAsia"/>
                <w:sz w:val="24"/>
                <w:szCs w:val="24"/>
                <w:highlight w:val="none"/>
                <w:lang w:val="en-US" w:eastAsia="zh-CN"/>
              </w:rPr>
              <w:t>5</w:t>
            </w:r>
          </w:p>
        </w:tc>
        <w:tc>
          <w:tcPr>
            <w:tcW w:w="1877" w:type="pct"/>
            <w:tcBorders>
              <w:top w:val="nil"/>
              <w:left w:val="nil"/>
              <w:bottom w:val="single" w:color="auto" w:sz="4" w:space="0"/>
              <w:right w:val="single" w:color="auto" w:sz="4" w:space="0"/>
            </w:tcBorders>
            <w:vAlign w:val="center"/>
          </w:tcPr>
          <w:p>
            <w:pPr>
              <w:widowControl/>
              <w:jc w:val="center"/>
              <w:rPr>
                <w:sz w:val="24"/>
                <w:szCs w:val="24"/>
                <w:highlight w:val="none"/>
              </w:rPr>
            </w:pPr>
          </w:p>
        </w:tc>
        <w:tc>
          <w:tcPr>
            <w:tcW w:w="2290" w:type="pct"/>
            <w:tcBorders>
              <w:top w:val="nil"/>
              <w:left w:val="nil"/>
              <w:bottom w:val="single" w:color="auto" w:sz="4" w:space="0"/>
              <w:right w:val="single" w:color="auto" w:sz="4" w:space="0"/>
            </w:tcBorders>
            <w:vAlign w:val="center"/>
          </w:tcPr>
          <w:p>
            <w:pPr>
              <w:widowControl/>
              <w:jc w:val="center"/>
              <w:rPr>
                <w:sz w:val="24"/>
                <w:szCs w:val="24"/>
                <w:highlight w:val="none"/>
              </w:rPr>
            </w:pPr>
          </w:p>
        </w:tc>
      </w:tr>
      <w:tr>
        <w:tblPrEx>
          <w:tblCellMar>
            <w:top w:w="0" w:type="dxa"/>
            <w:left w:w="108" w:type="dxa"/>
            <w:bottom w:w="0" w:type="dxa"/>
            <w:right w:w="108" w:type="dxa"/>
          </w:tblCellMar>
        </w:tblPrEx>
        <w:trPr>
          <w:trHeight w:val="661" w:hRule="atLeast"/>
          <w:jc w:val="center"/>
        </w:trPr>
        <w:tc>
          <w:tcPr>
            <w:tcW w:w="831" w:type="pct"/>
            <w:tcBorders>
              <w:top w:val="single" w:color="auto" w:sz="4" w:space="0"/>
              <w:left w:val="single" w:color="auto" w:sz="8" w:space="0"/>
              <w:bottom w:val="single" w:color="auto" w:sz="4" w:space="0"/>
              <w:right w:val="single" w:color="auto" w:sz="4" w:space="0"/>
            </w:tcBorders>
            <w:vAlign w:val="center"/>
          </w:tcPr>
          <w:p>
            <w:pPr>
              <w:widowControl/>
              <w:jc w:val="center"/>
              <w:rPr>
                <w:sz w:val="24"/>
                <w:szCs w:val="24"/>
                <w:highlight w:val="none"/>
              </w:rPr>
            </w:pPr>
            <w:r>
              <w:rPr>
                <w:rFonts w:hint="eastAsia"/>
                <w:sz w:val="24"/>
                <w:szCs w:val="24"/>
                <w:highlight w:val="none"/>
              </w:rPr>
              <w:t>合计</w:t>
            </w:r>
          </w:p>
        </w:tc>
        <w:tc>
          <w:tcPr>
            <w:tcW w:w="1877"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24"/>
                <w:highlight w:val="none"/>
              </w:rPr>
            </w:pPr>
          </w:p>
        </w:tc>
        <w:tc>
          <w:tcPr>
            <w:tcW w:w="2290" w:type="pct"/>
            <w:tcBorders>
              <w:top w:val="single" w:color="auto" w:sz="4" w:space="0"/>
              <w:left w:val="single" w:color="auto" w:sz="4" w:space="0"/>
              <w:bottom w:val="single" w:color="auto" w:sz="4" w:space="0"/>
              <w:right w:val="single" w:color="000000" w:sz="4" w:space="0"/>
            </w:tcBorders>
            <w:vAlign w:val="center"/>
          </w:tcPr>
          <w:p>
            <w:pPr>
              <w:widowControl/>
              <w:jc w:val="center"/>
              <w:rPr>
                <w:sz w:val="24"/>
                <w:szCs w:val="24"/>
                <w:highlight w:val="none"/>
              </w:rPr>
            </w:pPr>
          </w:p>
        </w:tc>
      </w:tr>
    </w:tbl>
    <w:p>
      <w:pPr>
        <w:spacing w:line="360" w:lineRule="auto"/>
        <w:ind w:firstLine="560" w:firstLineChars="200"/>
        <w:rPr>
          <w:sz w:val="28"/>
          <w:szCs w:val="28"/>
          <w:highlight w:val="none"/>
          <w:lang w:val="en-US"/>
        </w:rPr>
      </w:pP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lang w:val="en-US"/>
        </w:rPr>
        <w:t>2</w:t>
      </w:r>
      <w:r>
        <w:rPr>
          <w:sz w:val="24"/>
          <w:szCs w:val="24"/>
          <w:highlight w:val="none"/>
        </w:rPr>
        <w:t>.</w:t>
      </w:r>
      <w:r>
        <w:rPr>
          <w:rFonts w:hint="eastAsia"/>
          <w:sz w:val="24"/>
          <w:szCs w:val="24"/>
          <w:highlight w:val="none"/>
        </w:rPr>
        <w:t>合同总金额为人民币（大写）：</w:t>
      </w:r>
      <w:r>
        <w:rPr>
          <w:sz w:val="24"/>
          <w:szCs w:val="24"/>
          <w:highlight w:val="none"/>
        </w:rPr>
        <w:t>________</w:t>
      </w:r>
      <w:r>
        <w:rPr>
          <w:rFonts w:hint="eastAsia"/>
          <w:sz w:val="24"/>
          <w:szCs w:val="24"/>
          <w:highlight w:val="none"/>
        </w:rPr>
        <w:t>（￥</w:t>
      </w:r>
      <w:r>
        <w:rPr>
          <w:sz w:val="24"/>
          <w:szCs w:val="24"/>
          <w:highlight w:val="none"/>
        </w:rPr>
        <w:t>____________</w:t>
      </w:r>
      <w:r>
        <w:rPr>
          <w:rFonts w:hint="eastAsia"/>
          <w:sz w:val="24"/>
          <w:szCs w:val="24"/>
          <w:highlight w:val="none"/>
        </w:rPr>
        <w:t>元）</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lang w:val="en-US"/>
        </w:rPr>
      </w:pPr>
      <w:r>
        <w:rPr>
          <w:rFonts w:hint="eastAsia"/>
          <w:sz w:val="24"/>
          <w:szCs w:val="24"/>
          <w:highlight w:val="none"/>
        </w:rPr>
        <w:t>注：服务费用含人工费用、员工服装费、入职体检费、培训费、保安器材、管理费、税费等服务配套费用。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sz w:val="24"/>
          <w:szCs w:val="24"/>
          <w:highlight w:val="none"/>
        </w:rPr>
      </w:pPr>
      <w:r>
        <w:rPr>
          <w:sz w:val="24"/>
          <w:szCs w:val="24"/>
          <w:highlight w:val="none"/>
          <w:lang w:val="en-US"/>
        </w:rPr>
        <w:t>3</w:t>
      </w:r>
      <w:r>
        <w:rPr>
          <w:sz w:val="24"/>
          <w:szCs w:val="24"/>
          <w:highlight w:val="none"/>
        </w:rPr>
        <w:t>.</w:t>
      </w:r>
      <w:r>
        <w:rPr>
          <w:rFonts w:hint="eastAsia"/>
          <w:sz w:val="24"/>
          <w:szCs w:val="24"/>
          <w:highlight w:val="none"/>
        </w:rPr>
        <w:t>付款方式：服务费用由</w:t>
      </w:r>
      <w:r>
        <w:rPr>
          <w:rFonts w:hint="eastAsia"/>
          <w:sz w:val="24"/>
          <w:szCs w:val="24"/>
          <w:highlight w:val="none"/>
          <w:lang w:eastAsia="zh-CN"/>
        </w:rPr>
        <w:t>甲方</w:t>
      </w:r>
      <w:r>
        <w:rPr>
          <w:rFonts w:hint="eastAsia"/>
          <w:sz w:val="24"/>
          <w:szCs w:val="24"/>
          <w:highlight w:val="none"/>
        </w:rPr>
        <w:t>按月支付，于每月25日前支付当月80%的服务费，并于次月25日（节假日顺延）前支付结余款。如遇当月有服务质量考核的，其服务费用根据考核情况发放。结算时</w:t>
      </w:r>
      <w:r>
        <w:rPr>
          <w:rFonts w:hint="eastAsia"/>
          <w:sz w:val="24"/>
          <w:szCs w:val="24"/>
          <w:highlight w:val="none"/>
          <w:lang w:eastAsia="zh-CN"/>
        </w:rPr>
        <w:t>乙方</w:t>
      </w:r>
      <w:r>
        <w:rPr>
          <w:rFonts w:hint="eastAsia"/>
          <w:sz w:val="24"/>
          <w:szCs w:val="24"/>
          <w:highlight w:val="none"/>
        </w:rPr>
        <w:t>必须出具正式发票，费用由</w:t>
      </w:r>
      <w:r>
        <w:rPr>
          <w:rFonts w:hint="eastAsia"/>
          <w:sz w:val="24"/>
          <w:szCs w:val="24"/>
          <w:highlight w:val="none"/>
          <w:lang w:eastAsia="zh-CN"/>
        </w:rPr>
        <w:t>甲方</w:t>
      </w:r>
      <w:r>
        <w:rPr>
          <w:rFonts w:hint="eastAsia"/>
          <w:sz w:val="24"/>
          <w:szCs w:val="24"/>
          <w:highlight w:val="none"/>
        </w:rPr>
        <w:t>通过银行转账</w:t>
      </w:r>
      <w:r>
        <w:rPr>
          <w:rFonts w:hint="eastAsia"/>
          <w:sz w:val="24"/>
          <w:szCs w:val="24"/>
          <w:highlight w:val="none"/>
          <w:lang w:eastAsia="zh-CN"/>
        </w:rPr>
        <w:t>支付</w:t>
      </w:r>
      <w:r>
        <w:rPr>
          <w:rFonts w:hint="eastAsia"/>
          <w:sz w:val="24"/>
          <w:szCs w:val="24"/>
          <w:highlight w:val="none"/>
        </w:rPr>
        <w:t>。</w:t>
      </w:r>
      <w:r>
        <w:rPr>
          <w:rFonts w:hint="eastAsia"/>
          <w:sz w:val="24"/>
          <w:szCs w:val="24"/>
          <w:highlight w:val="none"/>
          <w:lang w:eastAsia="zh-CN"/>
        </w:rPr>
        <w:t>甲方</w:t>
      </w:r>
      <w:r>
        <w:rPr>
          <w:rFonts w:hint="eastAsia"/>
          <w:sz w:val="24"/>
          <w:szCs w:val="24"/>
          <w:highlight w:val="none"/>
        </w:rPr>
        <w:t>按双方约定时间付清</w:t>
      </w:r>
      <w:r>
        <w:rPr>
          <w:rFonts w:hint="eastAsia"/>
          <w:sz w:val="24"/>
          <w:szCs w:val="24"/>
          <w:highlight w:val="none"/>
          <w:lang w:eastAsia="zh-CN"/>
        </w:rPr>
        <w:t>乙方</w:t>
      </w:r>
      <w:r>
        <w:rPr>
          <w:rFonts w:hint="eastAsia"/>
          <w:sz w:val="24"/>
          <w:szCs w:val="24"/>
          <w:highlight w:val="none"/>
        </w:rPr>
        <w:t>服务费用，不再负责</w:t>
      </w:r>
      <w:r>
        <w:rPr>
          <w:rFonts w:hint="eastAsia"/>
          <w:sz w:val="24"/>
          <w:szCs w:val="24"/>
          <w:highlight w:val="none"/>
          <w:lang w:eastAsia="zh-CN"/>
        </w:rPr>
        <w:t>乙方</w:t>
      </w:r>
      <w:r>
        <w:rPr>
          <w:rFonts w:hint="eastAsia"/>
          <w:sz w:val="24"/>
          <w:szCs w:val="24"/>
          <w:highlight w:val="none"/>
        </w:rPr>
        <w:t>因此产生的债务或其他经济问题。</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服务期间，如由甲方派外出差的，产生的差旅费由甲方负担，以甲方的报销标准为基数，按月结算，向乙方支付相应费用。</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二、服务期限</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1.</w:t>
      </w:r>
      <w:r>
        <w:rPr>
          <w:rFonts w:hint="eastAsia"/>
          <w:sz w:val="24"/>
          <w:szCs w:val="24"/>
          <w:highlight w:val="none"/>
        </w:rPr>
        <w:t>服务期限为合同生效之日起</w:t>
      </w:r>
      <w:r>
        <w:rPr>
          <w:rFonts w:hint="eastAsia"/>
          <w:sz w:val="24"/>
          <w:szCs w:val="24"/>
          <w:highlight w:val="none"/>
          <w:lang w:eastAsia="zh-CN"/>
        </w:rPr>
        <w:t>三</w:t>
      </w:r>
      <w:r>
        <w:rPr>
          <w:rFonts w:hint="eastAsia"/>
          <w:sz w:val="24"/>
          <w:szCs w:val="24"/>
          <w:highlight w:val="none"/>
          <w:lang w:val="en-US"/>
        </w:rPr>
        <w:t>年</w:t>
      </w:r>
      <w:r>
        <w:rPr>
          <w:rFonts w:hint="eastAsia"/>
          <w:sz w:val="24"/>
          <w:szCs w:val="24"/>
          <w:highlight w:val="none"/>
        </w:rPr>
        <w:t>，即自</w:t>
      </w:r>
      <w:r>
        <w:rPr>
          <w:sz w:val="24"/>
          <w:szCs w:val="24"/>
          <w:highlight w:val="none"/>
        </w:rPr>
        <w:t xml:space="preserve">   </w:t>
      </w:r>
      <w:r>
        <w:rPr>
          <w:rFonts w:hint="eastAsia"/>
          <w:sz w:val="24"/>
          <w:szCs w:val="24"/>
          <w:highlight w:val="none"/>
        </w:rPr>
        <w:t>年</w:t>
      </w:r>
      <w:r>
        <w:rPr>
          <w:sz w:val="24"/>
          <w:szCs w:val="24"/>
          <w:highlight w:val="none"/>
        </w:rPr>
        <w:t xml:space="preserve">   </w:t>
      </w:r>
      <w:r>
        <w:rPr>
          <w:rFonts w:hint="eastAsia"/>
          <w:sz w:val="24"/>
          <w:szCs w:val="24"/>
          <w:highlight w:val="none"/>
        </w:rPr>
        <w:t>月</w:t>
      </w:r>
      <w:r>
        <w:rPr>
          <w:sz w:val="24"/>
          <w:szCs w:val="24"/>
          <w:highlight w:val="none"/>
        </w:rPr>
        <w:t xml:space="preserve">   </w:t>
      </w:r>
      <w:r>
        <w:rPr>
          <w:rFonts w:hint="eastAsia"/>
          <w:sz w:val="24"/>
          <w:szCs w:val="24"/>
          <w:highlight w:val="none"/>
        </w:rPr>
        <w:t>日起至</w:t>
      </w:r>
      <w:r>
        <w:rPr>
          <w:sz w:val="24"/>
          <w:szCs w:val="24"/>
          <w:highlight w:val="none"/>
        </w:rPr>
        <w:t xml:space="preserve">   </w:t>
      </w:r>
      <w:r>
        <w:rPr>
          <w:rFonts w:hint="eastAsia"/>
          <w:sz w:val="24"/>
          <w:szCs w:val="24"/>
          <w:highlight w:val="none"/>
        </w:rPr>
        <w:t>年</w:t>
      </w:r>
      <w:r>
        <w:rPr>
          <w:sz w:val="24"/>
          <w:szCs w:val="24"/>
          <w:highlight w:val="none"/>
        </w:rPr>
        <w:t xml:space="preserve">  </w:t>
      </w:r>
      <w:r>
        <w:rPr>
          <w:rFonts w:hint="eastAsia"/>
          <w:sz w:val="24"/>
          <w:szCs w:val="24"/>
          <w:highlight w:val="none"/>
        </w:rPr>
        <w:t>月</w:t>
      </w:r>
      <w:r>
        <w:rPr>
          <w:sz w:val="24"/>
          <w:szCs w:val="24"/>
          <w:highlight w:val="none"/>
        </w:rPr>
        <w:t xml:space="preserve">  </w:t>
      </w:r>
      <w:r>
        <w:rPr>
          <w:rFonts w:hint="eastAsia"/>
          <w:sz w:val="24"/>
          <w:szCs w:val="24"/>
          <w:highlight w:val="none"/>
        </w:rPr>
        <w:t>日止。若因国家政策规定发生变化，或乙方在合同期内发生违法违规行为，甲方有权提前终止合同。</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2.</w:t>
      </w:r>
      <w:r>
        <w:rPr>
          <w:rFonts w:hint="eastAsia"/>
          <w:sz w:val="24"/>
          <w:szCs w:val="24"/>
          <w:highlight w:val="none"/>
        </w:rPr>
        <w:t>乙方必须在合同签订之日起</w:t>
      </w:r>
      <w:r>
        <w:rPr>
          <w:sz w:val="24"/>
          <w:szCs w:val="24"/>
          <w:highlight w:val="none"/>
        </w:rPr>
        <w:t>5</w:t>
      </w:r>
      <w:r>
        <w:rPr>
          <w:rFonts w:hint="eastAsia"/>
          <w:sz w:val="24"/>
          <w:szCs w:val="24"/>
          <w:highlight w:val="none"/>
        </w:rPr>
        <w:t>日内进场实施管理，否则视为违约，甲方有权单方解除合同，由此造成甲方的损失应由乙方负责赔偿。</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3.</w:t>
      </w:r>
      <w:r>
        <w:rPr>
          <w:rFonts w:hint="eastAsia"/>
          <w:sz w:val="24"/>
          <w:szCs w:val="24"/>
          <w:highlight w:val="none"/>
        </w:rPr>
        <w:t>未经甲方同意，乙方不得在合同期限内将服务项目转包或分包，否则，视为乙方违约，甲方有权单方解除合同。造成甲方经济损失的，乙方应给予相应的经济赔偿。</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三、甲方、乙方的权利和义务</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1.</w:t>
      </w:r>
      <w:r>
        <w:rPr>
          <w:rFonts w:hint="eastAsia"/>
          <w:sz w:val="24"/>
          <w:szCs w:val="24"/>
          <w:highlight w:val="none"/>
        </w:rPr>
        <w:t>甲方权利和义务</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1</w:t>
      </w:r>
      <w:r>
        <w:rPr>
          <w:rFonts w:hint="eastAsia"/>
          <w:sz w:val="24"/>
          <w:szCs w:val="24"/>
          <w:highlight w:val="none"/>
        </w:rPr>
        <w:t>）审定乙方拟定的物业管理方案、措施。</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2</w:t>
      </w:r>
      <w:r>
        <w:rPr>
          <w:rFonts w:hint="eastAsia"/>
          <w:sz w:val="24"/>
          <w:szCs w:val="24"/>
          <w:highlight w:val="none"/>
        </w:rPr>
        <w:t>）检查监督乙方管理工作的实施及制度执行情况。</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3</w:t>
      </w:r>
      <w:r>
        <w:rPr>
          <w:rFonts w:hint="eastAsia"/>
          <w:sz w:val="24"/>
          <w:szCs w:val="24"/>
          <w:highlight w:val="none"/>
        </w:rPr>
        <w:t>）自合同生效之日起，甲方协助解决物业服务人员的工作和备勤场所。所有财产登记造册经双方确认后交乙方保管使用，合同期满后应如数移交甲方。如有属乙方使用或保管不善造成丢失、损坏的财物，乙方须负责赔偿。</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4</w:t>
      </w:r>
      <w:r>
        <w:rPr>
          <w:rFonts w:hint="eastAsia"/>
          <w:sz w:val="24"/>
          <w:szCs w:val="24"/>
          <w:highlight w:val="none"/>
        </w:rPr>
        <w:t>）负责按安全规范的规定要求，完善馆区有关安全设备、设施的安装配置。</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5</w:t>
      </w:r>
      <w:r>
        <w:rPr>
          <w:rFonts w:hint="eastAsia"/>
          <w:sz w:val="24"/>
          <w:szCs w:val="24"/>
          <w:highlight w:val="none"/>
        </w:rPr>
        <w:t>）负责物管范围内的所有设备、设施及消防监控设施的维修与更新需要的物料或者易耗品。</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6</w:t>
      </w:r>
      <w:r>
        <w:rPr>
          <w:rFonts w:hint="eastAsia"/>
          <w:sz w:val="24"/>
          <w:szCs w:val="24"/>
          <w:highlight w:val="none"/>
        </w:rPr>
        <w:t>）本项目各类用水、用电费用（公共用水用电、设备用水用电等）由甲方负责，乙方必须严格遵守甲方有关节能减排等用水用电相关规定。</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7</w:t>
      </w:r>
      <w:r>
        <w:rPr>
          <w:rFonts w:hint="eastAsia"/>
          <w:sz w:val="24"/>
          <w:szCs w:val="24"/>
          <w:highlight w:val="none"/>
        </w:rPr>
        <w:t>）向乙方提供物业管理所需火灾自动报警系统、闭路监控系统、防盗系统和下水道等图纸资料。</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8</w:t>
      </w:r>
      <w:r>
        <w:rPr>
          <w:rFonts w:hint="eastAsia"/>
          <w:sz w:val="24"/>
          <w:szCs w:val="24"/>
          <w:highlight w:val="none"/>
        </w:rPr>
        <w:t>）依合同规定，按月向乙方支付服务费。</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9</w:t>
      </w:r>
      <w:r>
        <w:rPr>
          <w:rFonts w:hint="eastAsia"/>
          <w:sz w:val="24"/>
          <w:szCs w:val="24"/>
          <w:highlight w:val="none"/>
        </w:rPr>
        <w:t>）协助乙方做好物业管理工作的宣传、维护。</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10</w:t>
      </w:r>
      <w:r>
        <w:rPr>
          <w:rFonts w:hint="eastAsia"/>
          <w:sz w:val="24"/>
          <w:szCs w:val="24"/>
          <w:highlight w:val="none"/>
        </w:rPr>
        <w:t>）在合同期内经甲方同意发生的公共项目的设施设备增添，项目费用由甲方负担，所形成的资产归甲方所有。</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2.</w:t>
      </w:r>
      <w:r>
        <w:rPr>
          <w:rFonts w:hint="eastAsia"/>
          <w:sz w:val="24"/>
          <w:szCs w:val="24"/>
          <w:highlight w:val="none"/>
        </w:rPr>
        <w:t>乙方的权利和义务</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1</w:t>
      </w:r>
      <w:r>
        <w:rPr>
          <w:rFonts w:hint="eastAsia"/>
          <w:sz w:val="24"/>
          <w:szCs w:val="24"/>
          <w:highlight w:val="none"/>
        </w:rPr>
        <w:t>）根据有关物业管理法规及合同的约定，制定物业管理制度。</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2</w:t>
      </w:r>
      <w:r>
        <w:rPr>
          <w:rFonts w:hint="eastAsia"/>
          <w:sz w:val="24"/>
          <w:szCs w:val="24"/>
          <w:highlight w:val="none"/>
        </w:rPr>
        <w:t>）对物业使用人违反规定的行为进行规劝、制止或提请甲方处理。</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3</w:t>
      </w:r>
      <w:r>
        <w:rPr>
          <w:rFonts w:hint="eastAsia"/>
          <w:sz w:val="24"/>
          <w:szCs w:val="24"/>
          <w:highlight w:val="none"/>
        </w:rPr>
        <w:t>）乙方必须按甲方所在地的有关政策规定，为所聘用人员缴纳社会保险（含养老保险、医疗保险、工伤保险、失业保险、生育保险等）和住房公积金。所聘用人员发生的伤亡、医疗等均由乙方负责。</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4</w:t>
      </w:r>
      <w:r>
        <w:rPr>
          <w:rFonts w:hint="eastAsia"/>
          <w:sz w:val="24"/>
          <w:szCs w:val="24"/>
          <w:highlight w:val="none"/>
        </w:rPr>
        <w:t>）乙方所聘用人员工资均不低于甲方所在地最低工资标准。</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5</w:t>
      </w:r>
      <w:r>
        <w:rPr>
          <w:rFonts w:hint="eastAsia"/>
          <w:sz w:val="24"/>
          <w:szCs w:val="24"/>
          <w:highlight w:val="none"/>
        </w:rPr>
        <w:t>）乙方所委派的工作人员必须遵守甲方有关规章制度和管理规定，如有违反或损害甲方利益的，甲方有拒绝乙方违规工作人员继续工作的权利</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6</w:t>
      </w:r>
      <w:r>
        <w:rPr>
          <w:rFonts w:hint="eastAsia"/>
          <w:sz w:val="24"/>
          <w:szCs w:val="24"/>
          <w:highlight w:val="none"/>
        </w:rPr>
        <w:t>）乙方必须接受甲方指定的监督机构的检查监督，包括工作质量、工作强度、安全作业及相关职能部门根据有关政策规定日常检查、监督或评比工作等。甲方也可根据工作实际组织对乙方的服务质量、管理水平、安全生产等情况进行检查监督。</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7</w:t>
      </w:r>
      <w:r>
        <w:rPr>
          <w:rFonts w:hint="eastAsia"/>
          <w:sz w:val="24"/>
          <w:szCs w:val="24"/>
          <w:highlight w:val="none"/>
        </w:rPr>
        <w:t>）按合同规定的服务范围，编制具体实施方案，报甲方备案。</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8</w:t>
      </w:r>
      <w:r>
        <w:rPr>
          <w:rFonts w:hint="eastAsia"/>
          <w:sz w:val="24"/>
          <w:szCs w:val="24"/>
          <w:highlight w:val="none"/>
        </w:rPr>
        <w:t>）本合同终止之日，向甲方移交物业管理用房、备勤宿舍、图纸、文件资料及相关配套物品。</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9</w:t>
      </w:r>
      <w:r>
        <w:rPr>
          <w:rFonts w:hint="eastAsia"/>
          <w:sz w:val="24"/>
          <w:szCs w:val="24"/>
          <w:highlight w:val="none"/>
        </w:rPr>
        <w:t>）更换管理或特殊岗位人员时，需先与甲方沟通，按甲方提出的资格条件挑选拟用人员。拟用人员需经甲方面试、考核合格后方可聘用。</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10</w:t>
      </w:r>
      <w:r>
        <w:rPr>
          <w:rFonts w:hint="eastAsia"/>
          <w:sz w:val="24"/>
          <w:szCs w:val="24"/>
          <w:highlight w:val="none"/>
        </w:rPr>
        <w:t>）在本合同服务期限内因乙方管理不到位、疏忽过失、工作职责不落实等原因造成甲方人身事故或财产损失的，乙方应负相应赔偿责任。</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11</w:t>
      </w:r>
      <w:r>
        <w:rPr>
          <w:rFonts w:hint="eastAsia"/>
          <w:sz w:val="24"/>
          <w:szCs w:val="24"/>
          <w:highlight w:val="none"/>
        </w:rPr>
        <w:t>）如受聘的乙方员工在工作期间发生安全事故及工伤等意外事故，乙方应承担相应的责任和赔偿，甲方不承担任何责任。</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12</w:t>
      </w:r>
      <w:r>
        <w:rPr>
          <w:rFonts w:hint="eastAsia"/>
          <w:sz w:val="24"/>
          <w:szCs w:val="24"/>
          <w:highlight w:val="none"/>
        </w:rPr>
        <w:t>）负责物管范围内的所有设备、设施及消防监控设施的日常检查与维修维护。发现问题及时向甲方报告，保证管区安全和办公环境秩序正常。</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四、服务范围、内容、人员配置及要求</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1.</w:t>
      </w:r>
      <w:r>
        <w:rPr>
          <w:rFonts w:hint="eastAsia"/>
          <w:sz w:val="24"/>
          <w:szCs w:val="24"/>
          <w:highlight w:val="none"/>
        </w:rPr>
        <w:t>服务范围内容：</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1</w:t>
      </w:r>
      <w:r>
        <w:rPr>
          <w:rFonts w:hint="eastAsia"/>
          <w:sz w:val="24"/>
          <w:szCs w:val="24"/>
          <w:highlight w:val="none"/>
        </w:rPr>
        <w:t>）安全保卫服务（门卫及防盗、防抢、防火等人身财产安全）；</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2</w:t>
      </w:r>
      <w:r>
        <w:rPr>
          <w:rFonts w:hint="eastAsia"/>
          <w:sz w:val="24"/>
          <w:szCs w:val="24"/>
          <w:highlight w:val="none"/>
        </w:rPr>
        <w:t>）卫生保洁服务（除本单位指定的办公室内工作场所自行负责外的各公共场所的卫生，及所属墙体、天花、门窗等，不含户外墙体等高空作业）；</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rPr>
        <w:t>3</w:t>
      </w:r>
      <w:r>
        <w:rPr>
          <w:rFonts w:hint="eastAsia"/>
          <w:sz w:val="24"/>
          <w:szCs w:val="24"/>
          <w:highlight w:val="none"/>
        </w:rPr>
        <w:t>）水电维护服务（确保正常供水、供电，维修及时到位，节能措施得力）；</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sz w:val="24"/>
          <w:szCs w:val="24"/>
          <w:highlight w:val="none"/>
          <w:lang w:val="en-US"/>
        </w:rPr>
        <w:t>4</w:t>
      </w:r>
      <w:r>
        <w:rPr>
          <w:rFonts w:hint="eastAsia"/>
          <w:sz w:val="24"/>
          <w:szCs w:val="24"/>
          <w:highlight w:val="none"/>
        </w:rPr>
        <w:t>）会务、用餐等服务（各类会议、培训服务，用餐服务，个别办公场所保洁等服务）；</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）绿化服务（所有花木的日常绿化管养等服务，不含花木补植、换植、大型修剪及高空作业等）；</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）食堂供餐服务（所有工作、会议、培训、接待等配餐工作）；</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rFonts w:hint="eastAsia"/>
          <w:sz w:val="24"/>
          <w:szCs w:val="24"/>
          <w:highlight w:val="none"/>
          <w:lang w:val="en-US" w:eastAsia="zh-CN"/>
        </w:rPr>
        <w:t>7</w:t>
      </w:r>
      <w:r>
        <w:rPr>
          <w:rFonts w:hint="eastAsia"/>
          <w:sz w:val="24"/>
          <w:szCs w:val="24"/>
          <w:highlight w:val="none"/>
        </w:rPr>
        <w:t>）车辆运维服务（车辆的运行、加油、维修、保养等司勤工作）；</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）文书服务（资料的编织、打印、整理、归档等办公辅助工作）；</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w:t>
      </w:r>
      <w:r>
        <w:rPr>
          <w:rFonts w:hint="eastAsia"/>
          <w:sz w:val="24"/>
          <w:szCs w:val="24"/>
          <w:highlight w:val="none"/>
          <w:lang w:val="en-US" w:eastAsia="zh-CN"/>
        </w:rPr>
        <w:t>9</w:t>
      </w:r>
      <w:r>
        <w:rPr>
          <w:rFonts w:hint="eastAsia"/>
          <w:sz w:val="24"/>
          <w:szCs w:val="24"/>
          <w:highlight w:val="none"/>
        </w:rPr>
        <w:t>）布草洗涤（餐厅及房</w:t>
      </w:r>
      <w:r>
        <w:rPr>
          <w:rFonts w:hint="eastAsia"/>
          <w:sz w:val="24"/>
          <w:szCs w:val="24"/>
          <w:highlight w:val="none"/>
          <w:lang w:eastAsia="zh-CN"/>
        </w:rPr>
        <w:t>间</w:t>
      </w:r>
      <w:r>
        <w:rPr>
          <w:rFonts w:hint="eastAsia"/>
          <w:sz w:val="24"/>
          <w:szCs w:val="24"/>
          <w:highlight w:val="none"/>
        </w:rPr>
        <w:t>所有的布草洗涤服务）。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lang w:val="en-US"/>
        </w:rPr>
        <w:t>2.</w:t>
      </w:r>
      <w:r>
        <w:rPr>
          <w:rFonts w:hint="eastAsia"/>
          <w:sz w:val="24"/>
          <w:szCs w:val="24"/>
          <w:highlight w:val="none"/>
          <w:lang w:val="en-US"/>
        </w:rPr>
        <w:t>人员配置及服务要求：</w:t>
      </w:r>
      <w:r>
        <w:rPr>
          <w:rFonts w:hint="eastAsia"/>
          <w:sz w:val="24"/>
          <w:szCs w:val="24"/>
          <w:highlight w:val="none"/>
        </w:rPr>
        <w:t>详见本项目招标文件要求及乙方投标文件。</w:t>
      </w:r>
    </w:p>
    <w:p>
      <w:pPr>
        <w:keepNext w:val="0"/>
        <w:keepLines w:val="0"/>
        <w:pageBreakBefore w:val="0"/>
        <w:kinsoku/>
        <w:wordWrap/>
        <w:overflowPunct/>
        <w:topLinePunct w:val="0"/>
        <w:bidi w:val="0"/>
        <w:adjustRightInd/>
        <w:snapToGrid/>
        <w:spacing w:line="360" w:lineRule="auto"/>
        <w:ind w:firstLine="360" w:firstLineChars="150"/>
        <w:textAlignment w:val="auto"/>
        <w:rPr>
          <w:rFonts w:hint="eastAsia"/>
          <w:sz w:val="24"/>
          <w:szCs w:val="24"/>
          <w:highlight w:val="none"/>
        </w:rPr>
      </w:pPr>
      <w:r>
        <w:rPr>
          <w:rFonts w:hint="eastAsia"/>
          <w:sz w:val="24"/>
          <w:szCs w:val="24"/>
          <w:highlight w:val="none"/>
        </w:rPr>
        <w:t>五、质量考核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rPr>
      </w:pPr>
      <w:r>
        <w:rPr>
          <w:rFonts w:hint="eastAsia"/>
          <w:sz w:val="24"/>
          <w:szCs w:val="24"/>
          <w:highlight w:val="none"/>
          <w:lang w:val="en-US" w:eastAsia="zh-CN"/>
        </w:rPr>
        <w:t>1.</w:t>
      </w:r>
      <w:r>
        <w:rPr>
          <w:rFonts w:hint="eastAsia"/>
          <w:sz w:val="24"/>
          <w:szCs w:val="24"/>
          <w:highlight w:val="none"/>
          <w:lang w:val="en-US"/>
        </w:rPr>
        <w:t>对</w:t>
      </w:r>
      <w:r>
        <w:rPr>
          <w:rFonts w:hint="eastAsia"/>
          <w:sz w:val="24"/>
          <w:szCs w:val="24"/>
          <w:highlight w:val="none"/>
          <w:lang w:val="en-US" w:eastAsia="zh-CN"/>
        </w:rPr>
        <w:t>乙方</w:t>
      </w:r>
      <w:r>
        <w:rPr>
          <w:rFonts w:hint="eastAsia"/>
          <w:sz w:val="24"/>
          <w:szCs w:val="24"/>
          <w:highlight w:val="none"/>
          <w:lang w:val="en-US"/>
        </w:rPr>
        <w:t>服务质量的考核工作</w:t>
      </w:r>
      <w:r>
        <w:rPr>
          <w:rFonts w:hint="eastAsia"/>
          <w:sz w:val="24"/>
          <w:szCs w:val="24"/>
          <w:highlight w:val="none"/>
          <w:lang w:val="en-US" w:eastAsia="zh-CN"/>
        </w:rPr>
        <w:t>根据需要</w:t>
      </w:r>
      <w:r>
        <w:rPr>
          <w:rFonts w:hint="eastAsia"/>
          <w:sz w:val="24"/>
          <w:szCs w:val="24"/>
          <w:highlight w:val="none"/>
          <w:lang w:val="en-US"/>
        </w:rPr>
        <w:t>进行，考核方式包括日常检查和专项检查。平时对检查中发现的问题，由采购人委派检查人员进行记录，填写附页3：《服务质量日常巡查表》并经中标供应商确认，月度汇总后作为考核的依据。</w:t>
      </w:r>
      <w:r>
        <w:rPr>
          <w:rFonts w:hint="eastAsia"/>
          <w:sz w:val="24"/>
          <w:szCs w:val="24"/>
          <w:highlight w:val="none"/>
          <w:lang w:val="en-US" w:eastAsia="zh-CN"/>
        </w:rPr>
        <w:t>专项检查</w:t>
      </w:r>
      <w:r>
        <w:rPr>
          <w:rFonts w:hint="eastAsia"/>
          <w:sz w:val="24"/>
          <w:szCs w:val="24"/>
          <w:highlight w:val="none"/>
          <w:lang w:val="en-US"/>
        </w:rPr>
        <w:t>按附页4：《服务质量考核表》进行考核，并经双方签章确认后，作为核定服务费的依据。双方对考核结果有分歧和争议时，首先应进行充分协商沟通，争取达成一致，但经过协商沟通后仍无法达成一致的，依照合同中约定的争议解决方式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rPr>
      </w:pPr>
      <w:r>
        <w:rPr>
          <w:rFonts w:hint="eastAsia"/>
          <w:sz w:val="24"/>
          <w:szCs w:val="24"/>
          <w:highlight w:val="none"/>
          <w:lang w:val="en-US" w:eastAsia="zh-CN"/>
        </w:rPr>
        <w:t>2.</w:t>
      </w:r>
      <w:r>
        <w:rPr>
          <w:rFonts w:hint="eastAsia"/>
          <w:sz w:val="24"/>
          <w:szCs w:val="24"/>
          <w:highlight w:val="none"/>
          <w:lang w:val="en-US"/>
        </w:rPr>
        <w:t>考核结果直接与服务费挂钩。</w:t>
      </w:r>
      <w:r>
        <w:rPr>
          <w:rFonts w:hint="eastAsia"/>
          <w:sz w:val="24"/>
          <w:szCs w:val="24"/>
          <w:highlight w:val="none"/>
          <w:lang w:val="en-US" w:eastAsia="zh-CN"/>
        </w:rPr>
        <w:t>每次</w:t>
      </w:r>
      <w:r>
        <w:rPr>
          <w:rFonts w:hint="eastAsia"/>
          <w:sz w:val="24"/>
          <w:szCs w:val="24"/>
          <w:highlight w:val="none"/>
          <w:lang w:val="en-US"/>
        </w:rPr>
        <w:t>考核金额为每分300元，考核实行百分制，每</w:t>
      </w:r>
      <w:r>
        <w:rPr>
          <w:rFonts w:hint="eastAsia"/>
          <w:sz w:val="24"/>
          <w:szCs w:val="24"/>
          <w:highlight w:val="none"/>
          <w:lang w:val="en-US" w:eastAsia="zh-CN"/>
        </w:rPr>
        <w:t>次</w:t>
      </w:r>
      <w:r>
        <w:rPr>
          <w:rFonts w:hint="eastAsia"/>
          <w:sz w:val="24"/>
          <w:szCs w:val="24"/>
          <w:highlight w:val="none"/>
          <w:lang w:val="en-US"/>
        </w:rPr>
        <w:t>用于考核的金额基础分是100分，考核分高于97分（不含97分）以上的，全额支付服务费用。考核分达在9</w:t>
      </w:r>
      <w:r>
        <w:rPr>
          <w:rFonts w:hint="eastAsia"/>
          <w:sz w:val="24"/>
          <w:szCs w:val="24"/>
          <w:highlight w:val="none"/>
          <w:lang w:val="en-US" w:eastAsia="zh-CN"/>
        </w:rPr>
        <w:t>5</w:t>
      </w:r>
      <w:r>
        <w:rPr>
          <w:rFonts w:hint="eastAsia"/>
          <w:sz w:val="24"/>
          <w:szCs w:val="24"/>
          <w:highlight w:val="none"/>
          <w:lang w:val="en-US"/>
        </w:rPr>
        <w:t>-97分的，只予以警告方式进行考核并要求纠正，不作扣考核金额处理。考核数低于9</w:t>
      </w:r>
      <w:r>
        <w:rPr>
          <w:rFonts w:hint="eastAsia"/>
          <w:sz w:val="24"/>
          <w:szCs w:val="24"/>
          <w:highlight w:val="none"/>
          <w:lang w:val="en-US" w:eastAsia="zh-CN"/>
        </w:rPr>
        <w:t>5</w:t>
      </w:r>
      <w:r>
        <w:rPr>
          <w:rFonts w:hint="eastAsia"/>
          <w:sz w:val="24"/>
          <w:szCs w:val="24"/>
          <w:highlight w:val="none"/>
          <w:lang w:val="en-US"/>
        </w:rPr>
        <w:t>分（不含9</w:t>
      </w:r>
      <w:r>
        <w:rPr>
          <w:rFonts w:hint="eastAsia"/>
          <w:sz w:val="24"/>
          <w:szCs w:val="24"/>
          <w:highlight w:val="none"/>
          <w:lang w:val="en-US" w:eastAsia="zh-CN"/>
        </w:rPr>
        <w:t>5</w:t>
      </w:r>
      <w:r>
        <w:rPr>
          <w:rFonts w:hint="eastAsia"/>
          <w:sz w:val="24"/>
          <w:szCs w:val="24"/>
          <w:highlight w:val="none"/>
          <w:lang w:val="en-US"/>
        </w:rPr>
        <w:t>分）的，每低1分相应扣减</w:t>
      </w:r>
      <w:r>
        <w:rPr>
          <w:rFonts w:hint="eastAsia"/>
          <w:sz w:val="24"/>
          <w:szCs w:val="24"/>
          <w:highlight w:val="none"/>
          <w:lang w:val="en-US" w:eastAsia="zh-CN"/>
        </w:rPr>
        <w:t>服务</w:t>
      </w:r>
      <w:r>
        <w:rPr>
          <w:rFonts w:hint="eastAsia"/>
          <w:sz w:val="24"/>
          <w:szCs w:val="24"/>
          <w:highlight w:val="none"/>
          <w:lang w:val="en-US"/>
        </w:rPr>
        <w:t>费300元。</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lang w:eastAsia="zh-CN"/>
        </w:rPr>
        <w:t>六</w:t>
      </w:r>
      <w:r>
        <w:rPr>
          <w:rFonts w:hint="eastAsia"/>
          <w:sz w:val="24"/>
          <w:szCs w:val="24"/>
          <w:highlight w:val="none"/>
        </w:rPr>
        <w:t>、违约责任</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乙方违反合同的约定，未能完成管理目标，甲方有权要求</w:t>
      </w:r>
      <w:r>
        <w:rPr>
          <w:rFonts w:hint="eastAsia"/>
          <w:color w:val="auto"/>
          <w:sz w:val="24"/>
          <w:szCs w:val="24"/>
          <w:highlight w:val="none"/>
          <w:lang w:eastAsia="zh-CN"/>
        </w:rPr>
        <w:t>乙方</w:t>
      </w:r>
      <w:r>
        <w:rPr>
          <w:rFonts w:hint="eastAsia"/>
          <w:color w:val="auto"/>
          <w:sz w:val="24"/>
          <w:szCs w:val="24"/>
          <w:highlight w:val="none"/>
        </w:rPr>
        <w:t>进行整改，以达到管理目标。乙方逾期未整改的，甲方有权解除合同，乙方应赔偿甲方因此造成的损失；</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凡因乙方商</w:t>
      </w:r>
      <w:r>
        <w:rPr>
          <w:rFonts w:hint="eastAsia"/>
          <w:sz w:val="24"/>
          <w:szCs w:val="24"/>
          <w:highlight w:val="none"/>
        </w:rPr>
        <w:t>管理不力，造成服务状况差，干部职工满意度低，经甲方考核一年内超过</w:t>
      </w:r>
      <w:r>
        <w:rPr>
          <w:sz w:val="24"/>
          <w:szCs w:val="24"/>
          <w:highlight w:val="none"/>
        </w:rPr>
        <w:t>3</w:t>
      </w:r>
      <w:r>
        <w:rPr>
          <w:rFonts w:hint="eastAsia"/>
          <w:sz w:val="24"/>
          <w:szCs w:val="24"/>
          <w:highlight w:val="none"/>
        </w:rPr>
        <w:t>次低于</w:t>
      </w:r>
      <w:r>
        <w:rPr>
          <w:sz w:val="24"/>
          <w:szCs w:val="24"/>
          <w:highlight w:val="none"/>
        </w:rPr>
        <w:t>85</w:t>
      </w:r>
      <w:r>
        <w:rPr>
          <w:rFonts w:hint="eastAsia"/>
          <w:sz w:val="24"/>
          <w:szCs w:val="24"/>
          <w:highlight w:val="none"/>
        </w:rPr>
        <w:t>分的，签订合同满一年的，甲方有权单方终止本合同，剩余的服务费不发；如果承包期间出现明显管理不善，考核出现低于</w:t>
      </w:r>
      <w:r>
        <w:rPr>
          <w:sz w:val="24"/>
          <w:szCs w:val="24"/>
          <w:highlight w:val="none"/>
        </w:rPr>
        <w:t>75</w:t>
      </w:r>
      <w:r>
        <w:rPr>
          <w:rFonts w:hint="eastAsia"/>
          <w:sz w:val="24"/>
          <w:szCs w:val="24"/>
          <w:highlight w:val="none"/>
        </w:rPr>
        <w:t>分的，或因管理原因造成安全事故损失超人民币</w:t>
      </w:r>
      <w:r>
        <w:rPr>
          <w:sz w:val="24"/>
          <w:szCs w:val="24"/>
          <w:highlight w:val="none"/>
        </w:rPr>
        <w:t>10</w:t>
      </w:r>
      <w:r>
        <w:rPr>
          <w:rFonts w:hint="eastAsia"/>
          <w:sz w:val="24"/>
          <w:szCs w:val="24"/>
          <w:highlight w:val="none"/>
        </w:rPr>
        <w:t>万元的，甲方有权单方终止本合同，剩余的</w:t>
      </w:r>
      <w:r>
        <w:rPr>
          <w:rFonts w:hint="eastAsia"/>
          <w:sz w:val="24"/>
          <w:szCs w:val="24"/>
          <w:highlight w:val="none"/>
          <w:lang w:val="en-US" w:eastAsia="zh-CN"/>
        </w:rPr>
        <w:t>服务</w:t>
      </w:r>
      <w:r>
        <w:rPr>
          <w:rFonts w:hint="eastAsia"/>
          <w:sz w:val="24"/>
          <w:szCs w:val="24"/>
          <w:highlight w:val="none"/>
        </w:rPr>
        <w:t>费不发，并</w:t>
      </w:r>
      <w:r>
        <w:rPr>
          <w:rFonts w:hint="eastAsia"/>
          <w:color w:val="auto"/>
          <w:sz w:val="24"/>
          <w:szCs w:val="24"/>
          <w:highlight w:val="none"/>
        </w:rPr>
        <w:t>依法追究民事责任；</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乙方在服务期内由于管理不善造成群众、甲方等相关人员人身伤亡和财产损失的，由中标供应商负责赔偿</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rPr>
      </w:pPr>
      <w:r>
        <w:rPr>
          <w:color w:val="auto"/>
          <w:sz w:val="24"/>
          <w:szCs w:val="24"/>
          <w:highlight w:val="none"/>
          <w:lang w:val="en-US"/>
        </w:rPr>
        <w:t>4</w:t>
      </w:r>
      <w:r>
        <w:rPr>
          <w:rFonts w:hint="eastAsia"/>
          <w:color w:val="auto"/>
          <w:sz w:val="24"/>
          <w:szCs w:val="24"/>
          <w:highlight w:val="none"/>
          <w:lang w:val="en-US" w:eastAsia="zh-CN"/>
        </w:rPr>
        <w:t>.</w:t>
      </w:r>
      <w:r>
        <w:rPr>
          <w:rFonts w:hint="eastAsia"/>
          <w:color w:val="auto"/>
          <w:sz w:val="24"/>
          <w:szCs w:val="24"/>
          <w:highlight w:val="none"/>
        </w:rPr>
        <w:t>甲、乙双方一方无正当理由提前终止合同的，应向对方支付相当于三个月</w:t>
      </w:r>
      <w:r>
        <w:rPr>
          <w:rFonts w:hint="eastAsia"/>
          <w:color w:val="auto"/>
          <w:sz w:val="24"/>
          <w:szCs w:val="24"/>
          <w:highlight w:val="none"/>
          <w:lang w:val="en-US" w:eastAsia="zh-CN"/>
        </w:rPr>
        <w:t>服务</w:t>
      </w:r>
      <w:r>
        <w:rPr>
          <w:rFonts w:hint="eastAsia"/>
          <w:color w:val="auto"/>
          <w:sz w:val="24"/>
          <w:szCs w:val="24"/>
          <w:highlight w:val="none"/>
        </w:rPr>
        <w:t>费的违约金。</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rPr>
      </w:pPr>
      <w:r>
        <w:rPr>
          <w:color w:val="auto"/>
          <w:sz w:val="24"/>
          <w:szCs w:val="24"/>
          <w:highlight w:val="none"/>
          <w:lang w:val="en-US"/>
        </w:rPr>
        <w:t>5</w:t>
      </w:r>
      <w:r>
        <w:rPr>
          <w:rFonts w:hint="eastAsia"/>
          <w:color w:val="auto"/>
          <w:sz w:val="24"/>
          <w:szCs w:val="24"/>
          <w:highlight w:val="none"/>
          <w:lang w:val="en-US" w:eastAsia="zh-CN"/>
        </w:rPr>
        <w:t>.</w:t>
      </w:r>
      <w:r>
        <w:rPr>
          <w:rFonts w:hint="eastAsia"/>
          <w:color w:val="auto"/>
          <w:sz w:val="24"/>
          <w:szCs w:val="24"/>
          <w:highlight w:val="none"/>
        </w:rPr>
        <w:t>如因财政资金未能及时到位，导致甲方未能按时履行付款义务的，不视为违约，并且此情况不能成为乙方延期服务的理由。</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rPr>
      </w:pPr>
      <w:r>
        <w:rPr>
          <w:color w:val="auto"/>
          <w:sz w:val="24"/>
          <w:szCs w:val="24"/>
          <w:highlight w:val="none"/>
          <w:lang w:val="en-US"/>
        </w:rPr>
        <w:t>6</w:t>
      </w:r>
      <w:r>
        <w:rPr>
          <w:rFonts w:hint="eastAsia"/>
          <w:color w:val="auto"/>
          <w:sz w:val="24"/>
          <w:szCs w:val="24"/>
          <w:highlight w:val="none"/>
          <w:lang w:val="en-US" w:eastAsia="zh-CN"/>
        </w:rPr>
        <w:t>.</w:t>
      </w:r>
      <w:r>
        <w:rPr>
          <w:rFonts w:hint="eastAsia"/>
          <w:color w:val="auto"/>
          <w:sz w:val="24"/>
          <w:szCs w:val="24"/>
          <w:highlight w:val="none"/>
        </w:rPr>
        <w:t>其它违约责任按招标文件要求、乙方投标文件承诺处理。</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rPr>
      </w:pPr>
      <w:r>
        <w:rPr>
          <w:color w:val="auto"/>
          <w:sz w:val="24"/>
          <w:szCs w:val="24"/>
          <w:highlight w:val="none"/>
          <w:lang w:val="en-US"/>
        </w:rPr>
        <w:t>7</w:t>
      </w:r>
      <w:r>
        <w:rPr>
          <w:rFonts w:hint="eastAsia"/>
          <w:color w:val="auto"/>
          <w:sz w:val="24"/>
          <w:szCs w:val="24"/>
          <w:highlight w:val="none"/>
          <w:lang w:val="en-US" w:eastAsia="zh-CN"/>
        </w:rPr>
        <w:t>.</w:t>
      </w:r>
      <w:r>
        <w:rPr>
          <w:rFonts w:hint="eastAsia"/>
          <w:color w:val="auto"/>
          <w:sz w:val="24"/>
          <w:szCs w:val="24"/>
          <w:highlight w:val="none"/>
        </w:rPr>
        <w:t>未尽事宜按《中华人民共和国</w:t>
      </w:r>
      <w:r>
        <w:rPr>
          <w:rFonts w:hint="eastAsia"/>
          <w:color w:val="auto"/>
          <w:sz w:val="24"/>
          <w:szCs w:val="24"/>
          <w:highlight w:val="none"/>
          <w:lang w:val="en-US" w:eastAsia="zh-CN"/>
        </w:rPr>
        <w:t>民法典</w:t>
      </w:r>
      <w:r>
        <w:rPr>
          <w:rFonts w:hint="eastAsia"/>
          <w:color w:val="auto"/>
          <w:sz w:val="24"/>
          <w:szCs w:val="24"/>
          <w:highlight w:val="none"/>
        </w:rPr>
        <w:t>》处理。</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eastAsia="zh-CN"/>
        </w:rPr>
        <w:t>七</w:t>
      </w:r>
      <w:r>
        <w:rPr>
          <w:rFonts w:hint="eastAsia"/>
          <w:color w:val="auto"/>
          <w:sz w:val="24"/>
          <w:szCs w:val="24"/>
          <w:highlight w:val="none"/>
        </w:rPr>
        <w:t>、争端的解决</w:t>
      </w:r>
    </w:p>
    <w:p>
      <w:pPr>
        <w:keepNext w:val="0"/>
        <w:keepLines w:val="0"/>
        <w:pageBreakBefore w:val="0"/>
        <w:kinsoku/>
        <w:wordWrap/>
        <w:overflowPunct/>
        <w:topLinePunct w:val="0"/>
        <w:bidi w:val="0"/>
        <w:adjustRightInd/>
        <w:snapToGrid/>
        <w:spacing w:line="360" w:lineRule="auto"/>
        <w:ind w:firstLine="480" w:firstLineChars="200"/>
        <w:textAlignment w:val="auto"/>
        <w:rPr>
          <w:color w:val="auto"/>
          <w:sz w:val="24"/>
          <w:szCs w:val="24"/>
          <w:highlight w:val="none"/>
          <w:lang w:val="en-US"/>
        </w:rPr>
      </w:pPr>
      <w:r>
        <w:rPr>
          <w:rFonts w:hint="eastAsia"/>
          <w:color w:val="auto"/>
          <w:sz w:val="24"/>
          <w:szCs w:val="24"/>
          <w:highlight w:val="none"/>
          <w:lang w:val="en-US"/>
        </w:rPr>
        <w:t>合同执行过程中发生的任何争议，由双方友好协商解决</w:t>
      </w:r>
      <w:r>
        <w:rPr>
          <w:color w:val="auto"/>
          <w:sz w:val="24"/>
          <w:szCs w:val="24"/>
          <w:highlight w:val="none"/>
          <w:lang w:val="en-US"/>
        </w:rPr>
        <w:t xml:space="preserve">; </w:t>
      </w:r>
      <w:r>
        <w:rPr>
          <w:rFonts w:hint="eastAsia"/>
          <w:color w:val="auto"/>
          <w:sz w:val="24"/>
          <w:szCs w:val="24"/>
          <w:highlight w:val="none"/>
          <w:lang w:val="en-US"/>
        </w:rPr>
        <w:t>如协商不成，任何一方均可向</w:t>
      </w:r>
      <w:r>
        <w:rPr>
          <w:rFonts w:hint="eastAsia"/>
          <w:color w:val="auto"/>
          <w:sz w:val="24"/>
          <w:szCs w:val="24"/>
          <w:highlight w:val="none"/>
          <w:lang w:val="en-US" w:eastAsia="zh-CN"/>
        </w:rPr>
        <w:t>潮州市湘桥区</w:t>
      </w:r>
      <w:r>
        <w:rPr>
          <w:rFonts w:hint="eastAsia"/>
          <w:color w:val="auto"/>
          <w:sz w:val="24"/>
          <w:szCs w:val="24"/>
          <w:highlight w:val="none"/>
          <w:lang w:val="en-US"/>
        </w:rPr>
        <w:t>人民法院提起诉讼。</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lang w:eastAsia="zh-CN"/>
        </w:rPr>
        <w:t>八</w:t>
      </w:r>
      <w:r>
        <w:rPr>
          <w:rFonts w:hint="eastAsia"/>
          <w:sz w:val="24"/>
          <w:szCs w:val="24"/>
          <w:highlight w:val="none"/>
        </w:rPr>
        <w:t>、不可抗力：任何一方由于不可抗力原因不能履行合同时，应在不可抗力事件结束后</w:t>
      </w:r>
      <w:r>
        <w:rPr>
          <w:sz w:val="24"/>
          <w:szCs w:val="24"/>
          <w:highlight w:val="none"/>
        </w:rPr>
        <w:t>1</w:t>
      </w:r>
      <w:r>
        <w:rPr>
          <w:rFonts w:hint="eastAsia"/>
          <w:sz w:val="24"/>
          <w:szCs w:val="24"/>
          <w:highlight w:val="none"/>
        </w:rPr>
        <w:t>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lang w:eastAsia="zh-CN"/>
        </w:rPr>
        <w:t>九</w:t>
      </w:r>
      <w:r>
        <w:rPr>
          <w:rFonts w:hint="eastAsia"/>
          <w:sz w:val="24"/>
          <w:szCs w:val="24"/>
          <w:highlight w:val="none"/>
        </w:rPr>
        <w:t>、税费：在中国境内、外发生的与本合同执行有关的一切税费均由乙方负担。</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十、其它</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1.</w:t>
      </w:r>
      <w:r>
        <w:rPr>
          <w:rFonts w:hint="eastAsia"/>
          <w:sz w:val="24"/>
          <w:szCs w:val="24"/>
          <w:highlight w:val="none"/>
        </w:rPr>
        <w:t>本合同所有附件、招标文件、乙方投标文件、中标通知书均为合同的有效组成部分，与本合同具有同等法律效力。</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2.</w:t>
      </w:r>
      <w:r>
        <w:rPr>
          <w:rFonts w:hint="eastAsia"/>
          <w:sz w:val="24"/>
          <w:szCs w:val="24"/>
          <w:highlight w:val="none"/>
        </w:rPr>
        <w:t>在执行本合同的过程中，所有经双方签署确认的文件（包括会议纪要、补充协议、往来信函）即成为本合同的有效组成部分。</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3.</w:t>
      </w:r>
      <w:r>
        <w:rPr>
          <w:rFonts w:hint="eastAsia"/>
          <w:sz w:val="24"/>
          <w:szCs w:val="24"/>
          <w:highlight w:val="none"/>
        </w:rPr>
        <w:t>如一方地址、电话、传真号码有变更，应在变更当日内书面通知对方，否则，应承担相应责任。</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4.</w:t>
      </w:r>
      <w:r>
        <w:rPr>
          <w:rFonts w:hint="eastAsia"/>
          <w:sz w:val="24"/>
          <w:szCs w:val="24"/>
          <w:highlight w:val="none"/>
        </w:rPr>
        <w:t>本合同履行期间，如遇不可抗力，致使本合同无法履行时，双方应按有关法律规定及时协商处理。</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lang w:val="en-US"/>
        </w:rPr>
        <w:t>5</w:t>
      </w:r>
      <w:r>
        <w:rPr>
          <w:sz w:val="24"/>
          <w:szCs w:val="24"/>
          <w:highlight w:val="none"/>
        </w:rPr>
        <w:t>.</w:t>
      </w:r>
      <w:r>
        <w:rPr>
          <w:rFonts w:hint="eastAsia"/>
          <w:sz w:val="24"/>
          <w:szCs w:val="24"/>
          <w:highlight w:val="none"/>
        </w:rPr>
        <w:t>本合同如有未尽事宜，或甲方需乙方提供本合同约定范围以外的服务项目时，经双方同意后，可用书面形式进行补充或修改。补充或修改部分与本合同具同等法律效力。</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十</w:t>
      </w:r>
      <w:r>
        <w:rPr>
          <w:rFonts w:hint="eastAsia"/>
          <w:sz w:val="24"/>
          <w:szCs w:val="24"/>
          <w:highlight w:val="none"/>
          <w:lang w:eastAsia="zh-CN"/>
        </w:rPr>
        <w:t>一</w:t>
      </w:r>
      <w:r>
        <w:rPr>
          <w:rFonts w:hint="eastAsia"/>
          <w:sz w:val="24"/>
          <w:szCs w:val="24"/>
          <w:highlight w:val="none"/>
        </w:rPr>
        <w:t>、合同生效：</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1.</w:t>
      </w:r>
      <w:r>
        <w:rPr>
          <w:rFonts w:hint="eastAsia"/>
          <w:sz w:val="24"/>
          <w:szCs w:val="24"/>
          <w:highlight w:val="none"/>
        </w:rPr>
        <w:t>本合同在甲、乙双方法人代表或其授权代表签字盖章后生效。</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sz w:val="24"/>
          <w:szCs w:val="24"/>
          <w:highlight w:val="none"/>
        </w:rPr>
        <w:t>2.</w:t>
      </w:r>
      <w:r>
        <w:rPr>
          <w:rFonts w:hint="eastAsia"/>
          <w:sz w:val="24"/>
          <w:szCs w:val="24"/>
          <w:highlight w:val="none"/>
        </w:rPr>
        <w:t>合同一式</w:t>
      </w:r>
      <w:r>
        <w:rPr>
          <w:sz w:val="24"/>
          <w:szCs w:val="24"/>
          <w:highlight w:val="none"/>
        </w:rPr>
        <w:t xml:space="preserve">    </w:t>
      </w:r>
      <w:r>
        <w:rPr>
          <w:rFonts w:hint="eastAsia"/>
          <w:sz w:val="24"/>
          <w:szCs w:val="24"/>
          <w:highlight w:val="none"/>
        </w:rPr>
        <w:t>份。</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甲方（盖章）：</w:t>
      </w:r>
      <w:r>
        <w:rPr>
          <w:sz w:val="24"/>
          <w:szCs w:val="24"/>
          <w:highlight w:val="none"/>
        </w:rPr>
        <w:t xml:space="preserve">                       </w:t>
      </w:r>
      <w:r>
        <w:rPr>
          <w:rFonts w:hint="eastAsia"/>
          <w:sz w:val="24"/>
          <w:szCs w:val="24"/>
          <w:highlight w:val="none"/>
        </w:rPr>
        <w:t>乙方（盖章）：</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甲方代表：</w:t>
      </w:r>
      <w:r>
        <w:rPr>
          <w:sz w:val="24"/>
          <w:szCs w:val="24"/>
          <w:highlight w:val="none"/>
        </w:rPr>
        <w:t xml:space="preserve">                           </w:t>
      </w:r>
      <w:r>
        <w:rPr>
          <w:rFonts w:hint="eastAsia"/>
          <w:sz w:val="24"/>
          <w:szCs w:val="24"/>
          <w:highlight w:val="none"/>
        </w:rPr>
        <w:t>乙方代表：</w:t>
      </w:r>
      <w:r>
        <w:rPr>
          <w:sz w:val="24"/>
          <w:szCs w:val="24"/>
          <w:highlight w:val="none"/>
        </w:rPr>
        <w:t xml:space="preserve"> </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签定地点：</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签定日期：</w:t>
      </w:r>
      <w:r>
        <w:rPr>
          <w:sz w:val="24"/>
          <w:szCs w:val="24"/>
          <w:highlight w:val="none"/>
        </w:rPr>
        <w:t xml:space="preserve">    </w:t>
      </w:r>
      <w:r>
        <w:rPr>
          <w:rFonts w:hint="eastAsia"/>
          <w:sz w:val="24"/>
          <w:szCs w:val="24"/>
          <w:highlight w:val="none"/>
        </w:rPr>
        <w:t>年</w:t>
      </w:r>
      <w:r>
        <w:rPr>
          <w:sz w:val="24"/>
          <w:szCs w:val="24"/>
          <w:highlight w:val="none"/>
        </w:rPr>
        <w:t xml:space="preserve">    </w:t>
      </w:r>
      <w:r>
        <w:rPr>
          <w:rFonts w:hint="eastAsia"/>
          <w:sz w:val="24"/>
          <w:szCs w:val="24"/>
          <w:highlight w:val="none"/>
        </w:rPr>
        <w:t>月</w:t>
      </w:r>
      <w:r>
        <w:rPr>
          <w:sz w:val="24"/>
          <w:szCs w:val="24"/>
          <w:highlight w:val="none"/>
        </w:rPr>
        <w:t xml:space="preserve">    </w:t>
      </w:r>
      <w:r>
        <w:rPr>
          <w:rFonts w:hint="eastAsia"/>
          <w:sz w:val="24"/>
          <w:szCs w:val="24"/>
          <w:highlight w:val="none"/>
        </w:rPr>
        <w:t>日</w:t>
      </w:r>
      <w:r>
        <w:rPr>
          <w:sz w:val="24"/>
          <w:szCs w:val="24"/>
          <w:highlight w:val="none"/>
        </w:rPr>
        <w:t xml:space="preserve">         </w:t>
      </w:r>
      <w:r>
        <w:rPr>
          <w:rFonts w:hint="eastAsia"/>
          <w:sz w:val="24"/>
          <w:szCs w:val="24"/>
          <w:highlight w:val="none"/>
        </w:rPr>
        <w:t>签定日期：</w:t>
      </w:r>
      <w:r>
        <w:rPr>
          <w:sz w:val="24"/>
          <w:szCs w:val="24"/>
          <w:highlight w:val="none"/>
        </w:rPr>
        <w:t xml:space="preserve">   </w:t>
      </w:r>
      <w:r>
        <w:rPr>
          <w:rFonts w:hint="eastAsia"/>
          <w:sz w:val="24"/>
          <w:szCs w:val="24"/>
          <w:highlight w:val="none"/>
        </w:rPr>
        <w:t>年</w:t>
      </w:r>
      <w:r>
        <w:rPr>
          <w:sz w:val="24"/>
          <w:szCs w:val="24"/>
          <w:highlight w:val="none"/>
        </w:rPr>
        <w:t xml:space="preserve">    </w:t>
      </w:r>
      <w:r>
        <w:rPr>
          <w:rFonts w:hint="eastAsia"/>
          <w:sz w:val="24"/>
          <w:szCs w:val="24"/>
          <w:highlight w:val="none"/>
        </w:rPr>
        <w:t>月</w:t>
      </w:r>
      <w:r>
        <w:rPr>
          <w:sz w:val="24"/>
          <w:szCs w:val="24"/>
          <w:highlight w:val="none"/>
        </w:rPr>
        <w:t xml:space="preserve">  </w:t>
      </w:r>
      <w:r>
        <w:rPr>
          <w:rFonts w:hint="eastAsia"/>
          <w:sz w:val="24"/>
          <w:szCs w:val="24"/>
          <w:highlight w:val="none"/>
        </w:rPr>
        <w:t>日</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开户名称：</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银行帐号：</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开</w:t>
      </w:r>
      <w:r>
        <w:rPr>
          <w:sz w:val="24"/>
          <w:szCs w:val="24"/>
          <w:highlight w:val="none"/>
        </w:rPr>
        <w:t xml:space="preserve"> </w:t>
      </w:r>
      <w:r>
        <w:rPr>
          <w:rFonts w:hint="eastAsia"/>
          <w:sz w:val="24"/>
          <w:szCs w:val="24"/>
          <w:highlight w:val="none"/>
        </w:rPr>
        <w:t>户</w:t>
      </w:r>
      <w:r>
        <w:rPr>
          <w:sz w:val="24"/>
          <w:szCs w:val="24"/>
          <w:highlight w:val="none"/>
        </w:rPr>
        <w:t xml:space="preserve"> </w:t>
      </w:r>
      <w:r>
        <w:rPr>
          <w:rFonts w:hint="eastAsia"/>
          <w:sz w:val="24"/>
          <w:szCs w:val="24"/>
          <w:highlight w:val="none"/>
        </w:rPr>
        <w:t>行：</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合同附件（合同编号：</w:t>
      </w:r>
      <w:r>
        <w:rPr>
          <w:sz w:val="24"/>
          <w:szCs w:val="24"/>
          <w:highlight w:val="none"/>
        </w:rPr>
        <w:t xml:space="preserve">               </w:t>
      </w:r>
      <w:r>
        <w:rPr>
          <w:rFonts w:hint="eastAsia"/>
          <w:sz w:val="24"/>
          <w:szCs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附件一、招标文件</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附件二、乙方投标文件</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附件三、《服务质量日常巡查表》</w:t>
      </w:r>
    </w:p>
    <w:p>
      <w:pPr>
        <w:keepNext w:val="0"/>
        <w:keepLines w:val="0"/>
        <w:pageBreakBefore w:val="0"/>
        <w:kinsoku/>
        <w:wordWrap/>
        <w:overflowPunct/>
        <w:topLinePunct w:val="0"/>
        <w:bidi w:val="0"/>
        <w:adjustRightInd/>
        <w:snapToGrid/>
        <w:spacing w:line="360" w:lineRule="auto"/>
        <w:ind w:firstLine="480" w:firstLineChars="200"/>
        <w:textAlignment w:val="auto"/>
        <w:rPr>
          <w:sz w:val="24"/>
          <w:szCs w:val="24"/>
          <w:highlight w:val="none"/>
        </w:rPr>
      </w:pPr>
      <w:r>
        <w:rPr>
          <w:rFonts w:hint="eastAsia"/>
          <w:sz w:val="24"/>
          <w:szCs w:val="24"/>
          <w:highlight w:val="none"/>
        </w:rPr>
        <w:t>附件四、《服务质量考核表》</w:t>
      </w:r>
    </w:p>
    <w:p>
      <w:pPr>
        <w:spacing w:line="360" w:lineRule="auto"/>
        <w:ind w:firstLine="480" w:firstLineChars="200"/>
        <w:rPr>
          <w:highlight w:val="none"/>
        </w:rPr>
      </w:pPr>
    </w:p>
    <w:p>
      <w:pPr>
        <w:rPr>
          <w:highlight w:val="none"/>
        </w:rPr>
      </w:pPr>
      <w:r>
        <w:rPr>
          <w:highlight w:val="none"/>
        </w:rPr>
        <w:br w:type="page"/>
      </w:r>
    </w:p>
    <w:p>
      <w:pPr>
        <w:rPr>
          <w:sz w:val="28"/>
          <w:szCs w:val="28"/>
          <w:highlight w:val="none"/>
        </w:rPr>
      </w:pPr>
      <w:r>
        <w:rPr>
          <w:rFonts w:hint="eastAsia"/>
          <w:sz w:val="28"/>
          <w:szCs w:val="28"/>
          <w:highlight w:val="none"/>
        </w:rPr>
        <w:t>附件三：服务质量日常巡查表</w:t>
      </w:r>
    </w:p>
    <w:p>
      <w:pPr>
        <w:rPr>
          <w:sz w:val="28"/>
          <w:szCs w:val="28"/>
          <w:highlight w:val="none"/>
        </w:rPr>
      </w:pPr>
    </w:p>
    <w:tbl>
      <w:tblPr>
        <w:tblStyle w:val="40"/>
        <w:tblW w:w="5000" w:type="pct"/>
        <w:jc w:val="center"/>
        <w:tblLayout w:type="autofit"/>
        <w:tblCellMar>
          <w:top w:w="0" w:type="dxa"/>
          <w:left w:w="108" w:type="dxa"/>
          <w:bottom w:w="0" w:type="dxa"/>
          <w:right w:w="108" w:type="dxa"/>
        </w:tblCellMar>
      </w:tblPr>
      <w:tblGrid>
        <w:gridCol w:w="1029"/>
        <w:gridCol w:w="1410"/>
        <w:gridCol w:w="1055"/>
        <w:gridCol w:w="1396"/>
        <w:gridCol w:w="2101"/>
        <w:gridCol w:w="1532"/>
      </w:tblGrid>
      <w:tr>
        <w:tblPrEx>
          <w:tblCellMar>
            <w:top w:w="0" w:type="dxa"/>
            <w:left w:w="108" w:type="dxa"/>
            <w:bottom w:w="0" w:type="dxa"/>
            <w:right w:w="108" w:type="dxa"/>
          </w:tblCellMar>
        </w:tblPrEx>
        <w:trPr>
          <w:trHeight w:val="567" w:hRule="atLeast"/>
          <w:jc w:val="center"/>
        </w:trPr>
        <w:tc>
          <w:tcPr>
            <w:tcW w:w="5000" w:type="pct"/>
            <w:gridSpan w:val="6"/>
            <w:tcBorders>
              <w:top w:val="nil"/>
              <w:left w:val="nil"/>
              <w:bottom w:val="nil"/>
              <w:right w:val="nil"/>
            </w:tcBorders>
            <w:noWrap/>
            <w:vAlign w:val="center"/>
          </w:tcPr>
          <w:p>
            <w:pPr>
              <w:jc w:val="center"/>
              <w:rPr>
                <w:sz w:val="28"/>
                <w:szCs w:val="28"/>
                <w:highlight w:val="none"/>
              </w:rPr>
            </w:pPr>
            <w:r>
              <w:rPr>
                <w:rFonts w:hint="eastAsia"/>
                <w:sz w:val="28"/>
                <w:szCs w:val="28"/>
                <w:highlight w:val="none"/>
              </w:rPr>
              <w:t>服务质量日常巡查表</w:t>
            </w:r>
          </w:p>
        </w:tc>
      </w:tr>
      <w:tr>
        <w:tblPrEx>
          <w:tblCellMar>
            <w:top w:w="0" w:type="dxa"/>
            <w:left w:w="108" w:type="dxa"/>
            <w:bottom w:w="0" w:type="dxa"/>
            <w:right w:w="108" w:type="dxa"/>
          </w:tblCellMar>
        </w:tblPrEx>
        <w:trPr>
          <w:trHeight w:val="567" w:hRule="atLeast"/>
          <w:jc w:val="center"/>
        </w:trPr>
        <w:tc>
          <w:tcPr>
            <w:tcW w:w="602" w:type="pct"/>
            <w:tcBorders>
              <w:top w:val="nil"/>
              <w:left w:val="nil"/>
              <w:bottom w:val="single" w:color="auto" w:sz="8" w:space="0"/>
              <w:right w:val="nil"/>
            </w:tcBorders>
            <w:noWrap/>
            <w:vAlign w:val="center"/>
          </w:tcPr>
          <w:p>
            <w:pPr>
              <w:rPr>
                <w:sz w:val="28"/>
                <w:szCs w:val="28"/>
                <w:highlight w:val="none"/>
              </w:rPr>
            </w:pPr>
          </w:p>
        </w:tc>
        <w:tc>
          <w:tcPr>
            <w:tcW w:w="827" w:type="pct"/>
            <w:tcBorders>
              <w:top w:val="nil"/>
              <w:left w:val="nil"/>
              <w:bottom w:val="single" w:color="auto" w:sz="8" w:space="0"/>
              <w:right w:val="nil"/>
            </w:tcBorders>
            <w:noWrap/>
            <w:vAlign w:val="center"/>
          </w:tcPr>
          <w:p>
            <w:pPr>
              <w:rPr>
                <w:sz w:val="28"/>
                <w:szCs w:val="28"/>
                <w:highlight w:val="none"/>
              </w:rPr>
            </w:pPr>
          </w:p>
        </w:tc>
        <w:tc>
          <w:tcPr>
            <w:tcW w:w="618" w:type="pct"/>
            <w:tcBorders>
              <w:top w:val="nil"/>
              <w:left w:val="nil"/>
              <w:bottom w:val="single" w:color="auto" w:sz="8" w:space="0"/>
              <w:right w:val="nil"/>
            </w:tcBorders>
            <w:noWrap/>
            <w:vAlign w:val="center"/>
          </w:tcPr>
          <w:p>
            <w:pPr>
              <w:rPr>
                <w:sz w:val="28"/>
                <w:szCs w:val="28"/>
                <w:highlight w:val="none"/>
              </w:rPr>
            </w:pPr>
          </w:p>
        </w:tc>
        <w:tc>
          <w:tcPr>
            <w:tcW w:w="2952" w:type="pct"/>
            <w:gridSpan w:val="3"/>
            <w:tcBorders>
              <w:top w:val="nil"/>
              <w:left w:val="nil"/>
              <w:bottom w:val="single" w:color="auto" w:sz="8" w:space="0"/>
              <w:right w:val="nil"/>
            </w:tcBorders>
            <w:noWrap/>
            <w:vAlign w:val="center"/>
          </w:tcPr>
          <w:p>
            <w:pPr>
              <w:jc w:val="right"/>
              <w:rPr>
                <w:sz w:val="28"/>
                <w:szCs w:val="28"/>
                <w:highlight w:val="none"/>
              </w:rPr>
            </w:pPr>
            <w:r>
              <w:rPr>
                <w:rFonts w:hint="eastAsia"/>
                <w:sz w:val="28"/>
                <w:szCs w:val="28"/>
                <w:highlight w:val="none"/>
              </w:rPr>
              <w:t>巡查日期：</w:t>
            </w: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p>
        </w:tc>
      </w:tr>
      <w:tr>
        <w:tblPrEx>
          <w:tblCellMar>
            <w:top w:w="0" w:type="dxa"/>
            <w:left w:w="108" w:type="dxa"/>
            <w:bottom w:w="0" w:type="dxa"/>
            <w:right w:w="108" w:type="dxa"/>
          </w:tblCellMar>
        </w:tblPrEx>
        <w:trPr>
          <w:trHeight w:val="567" w:hRule="atLeast"/>
          <w:jc w:val="center"/>
        </w:trPr>
        <w:tc>
          <w:tcPr>
            <w:tcW w:w="602" w:type="pct"/>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r>
              <w:rPr>
                <w:rFonts w:hint="eastAsia"/>
                <w:sz w:val="28"/>
                <w:szCs w:val="28"/>
                <w:highlight w:val="none"/>
              </w:rPr>
              <w:t>巡查时间</w:t>
            </w:r>
          </w:p>
        </w:tc>
        <w:tc>
          <w:tcPr>
            <w:tcW w:w="827" w:type="pct"/>
            <w:tcBorders>
              <w:top w:val="single" w:color="auto" w:sz="4" w:space="0"/>
              <w:left w:val="nil"/>
              <w:bottom w:val="single" w:color="auto" w:sz="4" w:space="0"/>
              <w:right w:val="single" w:color="auto" w:sz="4" w:space="0"/>
            </w:tcBorders>
            <w:vAlign w:val="center"/>
          </w:tcPr>
          <w:p>
            <w:pPr>
              <w:rPr>
                <w:sz w:val="28"/>
                <w:szCs w:val="28"/>
                <w:highlight w:val="none"/>
              </w:rPr>
            </w:pPr>
          </w:p>
        </w:tc>
        <w:tc>
          <w:tcPr>
            <w:tcW w:w="618" w:type="pct"/>
            <w:tcBorders>
              <w:top w:val="single" w:color="auto" w:sz="4" w:space="0"/>
              <w:left w:val="nil"/>
              <w:bottom w:val="single" w:color="auto" w:sz="4" w:space="0"/>
              <w:right w:val="single" w:color="auto" w:sz="4" w:space="0"/>
            </w:tcBorders>
            <w:vAlign w:val="center"/>
          </w:tcPr>
          <w:p>
            <w:pPr>
              <w:rPr>
                <w:sz w:val="28"/>
                <w:szCs w:val="28"/>
                <w:highlight w:val="none"/>
              </w:rPr>
            </w:pPr>
            <w:r>
              <w:rPr>
                <w:rFonts w:hint="eastAsia"/>
                <w:sz w:val="28"/>
                <w:szCs w:val="28"/>
                <w:highlight w:val="none"/>
              </w:rPr>
              <w:t>巡查地点</w:t>
            </w:r>
          </w:p>
        </w:tc>
        <w:tc>
          <w:tcPr>
            <w:tcW w:w="818" w:type="pct"/>
            <w:tcBorders>
              <w:top w:val="single" w:color="auto" w:sz="4" w:space="0"/>
              <w:left w:val="nil"/>
              <w:bottom w:val="single" w:color="auto" w:sz="4" w:space="0"/>
              <w:right w:val="single" w:color="auto" w:sz="4" w:space="0"/>
            </w:tcBorders>
            <w:vAlign w:val="center"/>
          </w:tcPr>
          <w:p>
            <w:pPr>
              <w:rPr>
                <w:sz w:val="28"/>
                <w:szCs w:val="28"/>
                <w:highlight w:val="none"/>
              </w:rPr>
            </w:pPr>
          </w:p>
        </w:tc>
        <w:tc>
          <w:tcPr>
            <w:tcW w:w="1235" w:type="pct"/>
            <w:tcBorders>
              <w:top w:val="single" w:color="auto" w:sz="4" w:space="0"/>
              <w:left w:val="nil"/>
              <w:bottom w:val="single" w:color="auto" w:sz="4" w:space="0"/>
              <w:right w:val="single" w:color="auto" w:sz="4" w:space="0"/>
            </w:tcBorders>
            <w:vAlign w:val="center"/>
          </w:tcPr>
          <w:p>
            <w:pPr>
              <w:rPr>
                <w:sz w:val="28"/>
                <w:szCs w:val="28"/>
                <w:highlight w:val="none"/>
              </w:rPr>
            </w:pPr>
            <w:r>
              <w:rPr>
                <w:rFonts w:hint="eastAsia"/>
                <w:sz w:val="28"/>
                <w:szCs w:val="28"/>
                <w:highlight w:val="none"/>
              </w:rPr>
              <w:t>被巡查人员</w:t>
            </w:r>
            <w:r>
              <w:rPr>
                <w:sz w:val="28"/>
                <w:szCs w:val="28"/>
                <w:highlight w:val="none"/>
              </w:rPr>
              <w:t>(</w:t>
            </w:r>
            <w:r>
              <w:rPr>
                <w:rFonts w:hint="eastAsia"/>
                <w:sz w:val="28"/>
                <w:szCs w:val="28"/>
                <w:highlight w:val="none"/>
              </w:rPr>
              <w:t>事项</w:t>
            </w:r>
            <w:r>
              <w:rPr>
                <w:sz w:val="28"/>
                <w:szCs w:val="28"/>
                <w:highlight w:val="none"/>
              </w:rPr>
              <w:t>)</w:t>
            </w:r>
          </w:p>
        </w:tc>
        <w:tc>
          <w:tcPr>
            <w:tcW w:w="897" w:type="pct"/>
            <w:tcBorders>
              <w:top w:val="single" w:color="auto" w:sz="4" w:space="0"/>
              <w:left w:val="nil"/>
              <w:bottom w:val="single" w:color="auto" w:sz="4" w:space="0"/>
              <w:right w:val="single" w:color="auto" w:sz="4" w:space="0"/>
            </w:tcBorders>
            <w:vAlign w:val="center"/>
          </w:tcPr>
          <w:p>
            <w:pPr>
              <w:rPr>
                <w:sz w:val="28"/>
                <w:szCs w:val="28"/>
                <w:highlight w:val="none"/>
              </w:rPr>
            </w:pPr>
          </w:p>
        </w:tc>
      </w:tr>
      <w:tr>
        <w:tblPrEx>
          <w:tblCellMar>
            <w:top w:w="0" w:type="dxa"/>
            <w:left w:w="108" w:type="dxa"/>
            <w:bottom w:w="0" w:type="dxa"/>
            <w:right w:w="108" w:type="dxa"/>
          </w:tblCellMar>
        </w:tblPrEx>
        <w:trPr>
          <w:trHeight w:val="567" w:hRule="atLeast"/>
          <w:jc w:val="center"/>
        </w:trPr>
        <w:tc>
          <w:tcPr>
            <w:tcW w:w="602" w:type="pct"/>
            <w:tcBorders>
              <w:top w:val="nil"/>
              <w:left w:val="single" w:color="auto" w:sz="4" w:space="0"/>
              <w:bottom w:val="single" w:color="auto" w:sz="4" w:space="0"/>
              <w:right w:val="single" w:color="auto" w:sz="4" w:space="0"/>
            </w:tcBorders>
            <w:vAlign w:val="center"/>
          </w:tcPr>
          <w:p>
            <w:pPr>
              <w:rPr>
                <w:sz w:val="28"/>
                <w:szCs w:val="28"/>
                <w:highlight w:val="none"/>
              </w:rPr>
            </w:pPr>
            <w:r>
              <w:rPr>
                <w:rFonts w:hint="eastAsia"/>
                <w:sz w:val="28"/>
                <w:szCs w:val="28"/>
                <w:highlight w:val="none"/>
              </w:rPr>
              <w:t>巡查类别</w:t>
            </w:r>
          </w:p>
        </w:tc>
        <w:tc>
          <w:tcPr>
            <w:tcW w:w="1445" w:type="pct"/>
            <w:gridSpan w:val="2"/>
            <w:tcBorders>
              <w:top w:val="single" w:color="auto" w:sz="4" w:space="0"/>
              <w:left w:val="nil"/>
              <w:bottom w:val="single" w:color="auto" w:sz="4" w:space="0"/>
              <w:right w:val="single" w:color="000000" w:sz="4" w:space="0"/>
            </w:tcBorders>
            <w:vAlign w:val="center"/>
          </w:tcPr>
          <w:p>
            <w:pPr>
              <w:rPr>
                <w:sz w:val="28"/>
                <w:szCs w:val="28"/>
                <w:highlight w:val="none"/>
              </w:rPr>
            </w:pPr>
          </w:p>
        </w:tc>
        <w:tc>
          <w:tcPr>
            <w:tcW w:w="818" w:type="pct"/>
            <w:tcBorders>
              <w:top w:val="nil"/>
              <w:left w:val="nil"/>
              <w:bottom w:val="single" w:color="auto" w:sz="4" w:space="0"/>
              <w:right w:val="single" w:color="auto" w:sz="4" w:space="0"/>
            </w:tcBorders>
            <w:vAlign w:val="center"/>
          </w:tcPr>
          <w:p>
            <w:pPr>
              <w:rPr>
                <w:sz w:val="28"/>
                <w:szCs w:val="28"/>
                <w:highlight w:val="none"/>
              </w:rPr>
            </w:pPr>
            <w:r>
              <w:rPr>
                <w:rFonts w:hint="eastAsia"/>
                <w:sz w:val="28"/>
                <w:szCs w:val="28"/>
                <w:highlight w:val="none"/>
              </w:rPr>
              <w:t>巡查项目</w:t>
            </w:r>
          </w:p>
        </w:tc>
        <w:tc>
          <w:tcPr>
            <w:tcW w:w="2133" w:type="pct"/>
            <w:gridSpan w:val="2"/>
            <w:tcBorders>
              <w:top w:val="single" w:color="auto" w:sz="4" w:space="0"/>
              <w:left w:val="nil"/>
              <w:bottom w:val="single" w:color="auto" w:sz="4" w:space="0"/>
              <w:right w:val="single" w:color="000000" w:sz="4" w:space="0"/>
            </w:tcBorders>
            <w:vAlign w:val="center"/>
          </w:tcPr>
          <w:p>
            <w:pPr>
              <w:rPr>
                <w:sz w:val="28"/>
                <w:szCs w:val="28"/>
                <w:highlight w:val="none"/>
              </w:rPr>
            </w:pPr>
          </w:p>
        </w:tc>
      </w:tr>
      <w:tr>
        <w:tblPrEx>
          <w:tblCellMar>
            <w:top w:w="0" w:type="dxa"/>
            <w:left w:w="108" w:type="dxa"/>
            <w:bottom w:w="0" w:type="dxa"/>
            <w:right w:w="108" w:type="dxa"/>
          </w:tblCellMar>
        </w:tblPrEx>
        <w:trPr>
          <w:trHeight w:val="2028" w:hRule="atLeast"/>
          <w:jc w:val="center"/>
        </w:trPr>
        <w:tc>
          <w:tcPr>
            <w:tcW w:w="602" w:type="pct"/>
            <w:tcBorders>
              <w:top w:val="nil"/>
              <w:left w:val="single" w:color="auto" w:sz="4" w:space="0"/>
              <w:bottom w:val="single" w:color="auto" w:sz="4" w:space="0"/>
              <w:right w:val="single" w:color="auto" w:sz="4" w:space="0"/>
            </w:tcBorders>
            <w:vAlign w:val="center"/>
          </w:tcPr>
          <w:p>
            <w:pPr>
              <w:rPr>
                <w:sz w:val="28"/>
                <w:szCs w:val="28"/>
                <w:highlight w:val="none"/>
              </w:rPr>
            </w:pPr>
            <w:r>
              <w:rPr>
                <w:rFonts w:hint="eastAsia"/>
                <w:sz w:val="28"/>
                <w:szCs w:val="28"/>
                <w:highlight w:val="none"/>
              </w:rPr>
              <w:t>巡查内容</w:t>
            </w:r>
          </w:p>
        </w:tc>
        <w:tc>
          <w:tcPr>
            <w:tcW w:w="2264" w:type="pct"/>
            <w:gridSpan w:val="3"/>
            <w:tcBorders>
              <w:top w:val="single" w:color="auto" w:sz="4" w:space="0"/>
              <w:left w:val="nil"/>
              <w:bottom w:val="single" w:color="auto" w:sz="4" w:space="0"/>
              <w:right w:val="single" w:color="000000" w:sz="4" w:space="0"/>
            </w:tcBorders>
            <w:vAlign w:val="center"/>
          </w:tcPr>
          <w:p>
            <w:pPr>
              <w:rPr>
                <w:sz w:val="28"/>
                <w:szCs w:val="28"/>
                <w:highlight w:val="none"/>
              </w:rPr>
            </w:pPr>
          </w:p>
        </w:tc>
        <w:tc>
          <w:tcPr>
            <w:tcW w:w="1235" w:type="pct"/>
            <w:tcBorders>
              <w:top w:val="nil"/>
              <w:left w:val="nil"/>
              <w:bottom w:val="single" w:color="auto" w:sz="4" w:space="0"/>
              <w:right w:val="single" w:color="auto" w:sz="4" w:space="0"/>
            </w:tcBorders>
            <w:vAlign w:val="center"/>
          </w:tcPr>
          <w:p>
            <w:pPr>
              <w:rPr>
                <w:sz w:val="28"/>
                <w:szCs w:val="28"/>
                <w:highlight w:val="none"/>
              </w:rPr>
            </w:pPr>
            <w:r>
              <w:rPr>
                <w:rFonts w:hint="eastAsia"/>
                <w:sz w:val="28"/>
                <w:szCs w:val="28"/>
                <w:highlight w:val="none"/>
              </w:rPr>
              <w:t>巡查结果</w:t>
            </w:r>
          </w:p>
        </w:tc>
        <w:tc>
          <w:tcPr>
            <w:tcW w:w="897" w:type="pct"/>
            <w:tcBorders>
              <w:top w:val="nil"/>
              <w:left w:val="nil"/>
              <w:bottom w:val="single" w:color="auto" w:sz="4" w:space="0"/>
              <w:right w:val="single" w:color="auto" w:sz="4" w:space="0"/>
            </w:tcBorders>
            <w:vAlign w:val="center"/>
          </w:tcPr>
          <w:p>
            <w:pPr>
              <w:rPr>
                <w:sz w:val="28"/>
                <w:szCs w:val="28"/>
                <w:highlight w:val="none"/>
              </w:rPr>
            </w:pPr>
          </w:p>
        </w:tc>
      </w:tr>
      <w:tr>
        <w:tblPrEx>
          <w:tblCellMar>
            <w:top w:w="0" w:type="dxa"/>
            <w:left w:w="108" w:type="dxa"/>
            <w:bottom w:w="0" w:type="dxa"/>
            <w:right w:w="108" w:type="dxa"/>
          </w:tblCellMar>
        </w:tblPrEx>
        <w:trPr>
          <w:trHeight w:val="567" w:hRule="atLeast"/>
          <w:jc w:val="center"/>
        </w:trPr>
        <w:tc>
          <w:tcPr>
            <w:tcW w:w="5000" w:type="pct"/>
            <w:gridSpan w:val="6"/>
            <w:tcBorders>
              <w:top w:val="single" w:color="auto" w:sz="4" w:space="0"/>
              <w:left w:val="nil"/>
              <w:bottom w:val="nil"/>
              <w:right w:val="nil"/>
            </w:tcBorders>
            <w:noWrap/>
            <w:vAlign w:val="center"/>
          </w:tcPr>
          <w:p>
            <w:pPr>
              <w:rPr>
                <w:sz w:val="28"/>
                <w:szCs w:val="28"/>
                <w:highlight w:val="none"/>
              </w:rPr>
            </w:pPr>
            <w:r>
              <w:rPr>
                <w:rFonts w:hint="eastAsia"/>
                <w:sz w:val="28"/>
                <w:szCs w:val="28"/>
                <w:highlight w:val="none"/>
              </w:rPr>
              <w:t>甲方巡查人员签名：</w:t>
            </w:r>
            <w:r>
              <w:rPr>
                <w:sz w:val="28"/>
                <w:szCs w:val="28"/>
                <w:highlight w:val="none"/>
              </w:rPr>
              <w:t xml:space="preserve">                    </w:t>
            </w:r>
            <w:r>
              <w:rPr>
                <w:rFonts w:hint="eastAsia"/>
                <w:sz w:val="28"/>
                <w:szCs w:val="28"/>
                <w:highlight w:val="none"/>
              </w:rPr>
              <w:t>乙方责任人</w:t>
            </w:r>
            <w:r>
              <w:rPr>
                <w:sz w:val="28"/>
                <w:szCs w:val="28"/>
                <w:highlight w:val="none"/>
              </w:rPr>
              <w:t>(</w:t>
            </w:r>
            <w:r>
              <w:rPr>
                <w:rFonts w:hint="eastAsia"/>
                <w:sz w:val="28"/>
                <w:szCs w:val="28"/>
                <w:highlight w:val="none"/>
              </w:rPr>
              <w:t>委托人</w:t>
            </w:r>
            <w:r>
              <w:rPr>
                <w:sz w:val="28"/>
                <w:szCs w:val="28"/>
                <w:highlight w:val="none"/>
              </w:rPr>
              <w:t>)</w:t>
            </w:r>
            <w:r>
              <w:rPr>
                <w:rFonts w:hint="eastAsia"/>
                <w:sz w:val="28"/>
                <w:szCs w:val="28"/>
                <w:highlight w:val="none"/>
              </w:rPr>
              <w:t>签名：</w:t>
            </w:r>
          </w:p>
        </w:tc>
      </w:tr>
    </w:tbl>
    <w:p>
      <w:pPr>
        <w:rPr>
          <w:highlight w:val="none"/>
        </w:rPr>
      </w:pPr>
      <w:r>
        <w:rPr>
          <w:highlight w:val="none"/>
        </w:rPr>
        <w:br w:type="page"/>
      </w:r>
    </w:p>
    <w:p>
      <w:pPr>
        <w:rPr>
          <w:highlight w:val="none"/>
        </w:rPr>
      </w:pPr>
      <w:r>
        <w:rPr>
          <w:rFonts w:hint="eastAsia"/>
          <w:sz w:val="28"/>
          <w:szCs w:val="28"/>
          <w:highlight w:val="none"/>
        </w:rPr>
        <w:t>附件四：服务质量考核表</w:t>
      </w:r>
    </w:p>
    <w:tbl>
      <w:tblPr>
        <w:tblStyle w:val="40"/>
        <w:tblW w:w="9712" w:type="dxa"/>
        <w:jc w:val="center"/>
        <w:tblLayout w:type="fixed"/>
        <w:tblCellMar>
          <w:top w:w="0" w:type="dxa"/>
          <w:left w:w="108" w:type="dxa"/>
          <w:bottom w:w="0" w:type="dxa"/>
          <w:right w:w="108" w:type="dxa"/>
        </w:tblCellMar>
      </w:tblPr>
      <w:tblGrid>
        <w:gridCol w:w="703"/>
        <w:gridCol w:w="1276"/>
        <w:gridCol w:w="2370"/>
        <w:gridCol w:w="1442"/>
        <w:gridCol w:w="787"/>
        <w:gridCol w:w="1604"/>
        <w:gridCol w:w="761"/>
        <w:gridCol w:w="762"/>
        <w:gridCol w:w="7"/>
      </w:tblGrid>
      <w:tr>
        <w:tblPrEx>
          <w:tblCellMar>
            <w:top w:w="0" w:type="dxa"/>
            <w:left w:w="108" w:type="dxa"/>
            <w:bottom w:w="0" w:type="dxa"/>
            <w:right w:w="108" w:type="dxa"/>
          </w:tblCellMar>
        </w:tblPrEx>
        <w:trPr>
          <w:gridAfter w:val="1"/>
          <w:wAfter w:w="7" w:type="dxa"/>
          <w:trHeight w:val="419" w:hRule="atLeast"/>
          <w:jc w:val="center"/>
        </w:trPr>
        <w:tc>
          <w:tcPr>
            <w:tcW w:w="9705" w:type="dxa"/>
            <w:gridSpan w:val="8"/>
            <w:tcBorders>
              <w:top w:val="nil"/>
              <w:left w:val="nil"/>
              <w:bottom w:val="nil"/>
              <w:right w:val="nil"/>
            </w:tcBorders>
            <w:shd w:val="clear" w:color="auto" w:fill="auto"/>
            <w:vAlign w:val="center"/>
          </w:tcPr>
          <w:p>
            <w:pPr>
              <w:widowControl/>
              <w:spacing w:line="400" w:lineRule="exact"/>
              <w:jc w:val="center"/>
              <w:rPr>
                <w:rFonts w:ascii="宋体" w:hAnsi="宋体" w:cs="宋体"/>
                <w:b/>
                <w:bCs/>
                <w:kern w:val="0"/>
                <w:sz w:val="28"/>
                <w:szCs w:val="28"/>
                <w:highlight w:val="none"/>
              </w:rPr>
            </w:pPr>
            <w:r>
              <w:rPr>
                <w:rFonts w:hint="eastAsia" w:ascii="宋体" w:hAnsi="宋体" w:cs="宋体"/>
                <w:b/>
                <w:bCs/>
                <w:kern w:val="0"/>
                <w:sz w:val="28"/>
                <w:szCs w:val="28"/>
                <w:highlight w:val="none"/>
              </w:rPr>
              <w:t>服务质量考核表</w:t>
            </w:r>
          </w:p>
        </w:tc>
      </w:tr>
      <w:tr>
        <w:tblPrEx>
          <w:tblCellMar>
            <w:top w:w="0" w:type="dxa"/>
            <w:left w:w="108" w:type="dxa"/>
            <w:bottom w:w="0" w:type="dxa"/>
            <w:right w:w="108" w:type="dxa"/>
          </w:tblCellMar>
        </w:tblPrEx>
        <w:trPr>
          <w:gridAfter w:val="1"/>
          <w:wAfter w:w="7" w:type="dxa"/>
          <w:trHeight w:val="319" w:hRule="atLeast"/>
          <w:jc w:val="center"/>
        </w:trPr>
        <w:tc>
          <w:tcPr>
            <w:tcW w:w="9705" w:type="dxa"/>
            <w:gridSpan w:val="8"/>
            <w:tcBorders>
              <w:top w:val="nil"/>
              <w:left w:val="nil"/>
              <w:bottom w:val="nil"/>
              <w:right w:val="nil"/>
            </w:tcBorders>
            <w:shd w:val="clear" w:color="auto" w:fill="auto"/>
            <w:vAlign w:val="center"/>
          </w:tcPr>
          <w:p>
            <w:pPr>
              <w:widowControl/>
              <w:wordWrap w:val="0"/>
              <w:spacing w:line="240" w:lineRule="exact"/>
              <w:jc w:val="right"/>
              <w:rPr>
                <w:rFonts w:ascii="宋体" w:hAnsi="宋体" w:cs="宋体"/>
                <w:kern w:val="0"/>
                <w:sz w:val="20"/>
                <w:szCs w:val="20"/>
                <w:highlight w:val="none"/>
              </w:rPr>
            </w:pPr>
            <w:r>
              <w:rPr>
                <w:rFonts w:hint="eastAsia" w:ascii="宋体" w:hAnsi="宋体" w:cs="宋体"/>
                <w:kern w:val="0"/>
                <w:sz w:val="20"/>
                <w:szCs w:val="20"/>
                <w:highlight w:val="none"/>
              </w:rPr>
              <w:t>年    月</w:t>
            </w:r>
          </w:p>
        </w:tc>
      </w:tr>
      <w:tr>
        <w:tblPrEx>
          <w:tblCellMar>
            <w:top w:w="0" w:type="dxa"/>
            <w:left w:w="108" w:type="dxa"/>
            <w:bottom w:w="0" w:type="dxa"/>
            <w:right w:w="108" w:type="dxa"/>
          </w:tblCellMar>
        </w:tblPrEx>
        <w:trPr>
          <w:gridAfter w:val="1"/>
          <w:wAfter w:w="7" w:type="dxa"/>
          <w:trHeight w:val="454" w:hRule="atLeast"/>
          <w:jc w:val="center"/>
        </w:trPr>
        <w:tc>
          <w:tcPr>
            <w:tcW w:w="70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类别</w:t>
            </w:r>
          </w:p>
        </w:tc>
        <w:tc>
          <w:tcPr>
            <w:tcW w:w="1276" w:type="dxa"/>
            <w:tcBorders>
              <w:top w:val="single" w:color="auto" w:sz="8"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项目</w:t>
            </w:r>
          </w:p>
        </w:tc>
        <w:tc>
          <w:tcPr>
            <w:tcW w:w="3812" w:type="dxa"/>
            <w:gridSpan w:val="2"/>
            <w:tcBorders>
              <w:top w:val="single" w:color="auto" w:sz="8" w:space="0"/>
              <w:left w:val="nil"/>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标准内容</w:t>
            </w:r>
          </w:p>
        </w:tc>
        <w:tc>
          <w:tcPr>
            <w:tcW w:w="787" w:type="dxa"/>
            <w:tcBorders>
              <w:top w:val="single" w:color="auto" w:sz="8"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分值</w:t>
            </w:r>
          </w:p>
        </w:tc>
        <w:tc>
          <w:tcPr>
            <w:tcW w:w="1604" w:type="dxa"/>
            <w:tcBorders>
              <w:top w:val="single" w:color="auto" w:sz="8"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评分标准</w:t>
            </w:r>
          </w:p>
        </w:tc>
        <w:tc>
          <w:tcPr>
            <w:tcW w:w="761" w:type="dxa"/>
            <w:tcBorders>
              <w:top w:val="single" w:color="auto" w:sz="8" w:space="0"/>
              <w:left w:val="nil"/>
              <w:bottom w:val="single" w:color="auto" w:sz="4"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扣分</w:t>
            </w:r>
          </w:p>
        </w:tc>
        <w:tc>
          <w:tcPr>
            <w:tcW w:w="762" w:type="dxa"/>
            <w:tcBorders>
              <w:top w:val="single" w:color="auto" w:sz="8" w:space="0"/>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得分</w:t>
            </w: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综合管理</w:t>
            </w:r>
            <w:r>
              <w:rPr>
                <w:rFonts w:ascii="宋体" w:hAnsi="宋体" w:cs="Arial"/>
                <w:kern w:val="0"/>
                <w:sz w:val="20"/>
                <w:szCs w:val="20"/>
                <w:highlight w:val="none"/>
              </w:rPr>
              <w:t>1</w:t>
            </w:r>
            <w:r>
              <w:rPr>
                <w:rFonts w:hint="eastAsia" w:ascii="宋体" w:hAnsi="宋体" w:cs="Arial"/>
                <w:kern w:val="0"/>
                <w:sz w:val="20"/>
                <w:szCs w:val="20"/>
                <w:highlight w:val="none"/>
                <w:lang w:val="en-US" w:eastAsia="zh-CN"/>
              </w:rPr>
              <w:t>4</w:t>
            </w:r>
            <w:r>
              <w:rPr>
                <w:rFonts w:hint="eastAsia" w:ascii="宋体" w:hAnsi="宋体" w:cs="宋体"/>
                <w:kern w:val="0"/>
                <w:sz w:val="20"/>
                <w:szCs w:val="20"/>
                <w:highlight w:val="none"/>
              </w:rPr>
              <w:t>分</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公用设施设备档案管理</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公用设施设备档案资料齐全、设立台账、分类成册，管理完善，查阅方便。</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1</w:t>
            </w:r>
            <w:r>
              <w:rPr>
                <w:rFonts w:hint="eastAsia" w:ascii="宋体" w:hAnsi="宋体" w:cs="Arial"/>
                <w:kern w:val="0"/>
                <w:sz w:val="20"/>
                <w:szCs w:val="20"/>
                <w:highlight w:val="none"/>
                <w:lang w:val="en-US" w:eastAsia="zh-CN"/>
              </w:rPr>
              <w:t>1</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文件发放</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日常通知、通告发布规范，有相应编号，确保上传下达及时，物业管理相关文书发放登记，记录完整。</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管理处工作巡查</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rPr>
              <w:t>管理处定期进行管理服务的监督和检查工作，每月月底对各部门(岗位)工作进行一次全检查，制定各部门(岗位)每月的工作计划及培训计划</w:t>
            </w:r>
            <w:r>
              <w:rPr>
                <w:rFonts w:hint="eastAsia" w:ascii="宋体" w:hAnsi="宋体" w:cs="宋体"/>
                <w:kern w:val="0"/>
                <w:sz w:val="20"/>
                <w:szCs w:val="20"/>
                <w:highlight w:val="none"/>
                <w:lang w:eastAsia="zh-CN"/>
              </w:rPr>
              <w:t>。</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47"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《工作日志》记录完整。</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09"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《管理处月检记录表》记录完整。</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12"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员工着装与精神面貌</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员工着装制服、佩戴工牌。</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工作规范，举止文明、大方，精神状况良好，使用文明用语。</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投诉处理</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接到有效投诉按规定受理和处理协调，有完整《投诉记录》。</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突发事件处理</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制定有关各种突发事件预防措施，发生突发事件时及时进行协调处理，并按要求填写《突发事件处理表》上报采购方管理部门，工作时间内接到紧急事件通知</w:t>
            </w:r>
            <w:r>
              <w:rPr>
                <w:rFonts w:ascii="宋体" w:hAnsi="宋体" w:cs="Arial"/>
                <w:kern w:val="0"/>
                <w:sz w:val="20"/>
                <w:szCs w:val="20"/>
                <w:highlight w:val="none"/>
              </w:rPr>
              <w:t>10</w:t>
            </w:r>
            <w:r>
              <w:rPr>
                <w:rFonts w:hint="eastAsia" w:ascii="宋体" w:hAnsi="宋体" w:cs="宋体"/>
                <w:kern w:val="0"/>
                <w:sz w:val="20"/>
                <w:szCs w:val="20"/>
                <w:highlight w:val="none"/>
              </w:rPr>
              <w:t>分钟内（非工作时间</w:t>
            </w:r>
            <w:r>
              <w:rPr>
                <w:rFonts w:ascii="宋体" w:hAnsi="宋体" w:cs="Arial"/>
                <w:kern w:val="0"/>
                <w:sz w:val="20"/>
                <w:szCs w:val="20"/>
                <w:highlight w:val="none"/>
              </w:rPr>
              <w:t>30</w:t>
            </w:r>
            <w:r>
              <w:rPr>
                <w:rFonts w:hint="eastAsia" w:ascii="宋体" w:hAnsi="宋体" w:cs="宋体"/>
                <w:kern w:val="0"/>
                <w:sz w:val="20"/>
                <w:szCs w:val="20"/>
                <w:highlight w:val="none"/>
              </w:rPr>
              <w:t>分钟内）到达现场。</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23"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员工入职和培训计划实施情况</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员工资料</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3</w:t>
            </w:r>
            <w:r>
              <w:rPr>
                <w:rFonts w:hint="eastAsia" w:ascii="宋体" w:hAnsi="宋体" w:cs="Arial"/>
                <w:kern w:val="0"/>
                <w:sz w:val="20"/>
                <w:szCs w:val="20"/>
                <w:highlight w:val="none"/>
              </w:rPr>
              <w:t>分</w:t>
            </w:r>
          </w:p>
        </w:tc>
        <w:tc>
          <w:tcPr>
            <w:tcW w:w="16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员工个人档案，不完整扣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员工入职培训、岗前培训记录、岗前培训考核</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各部门(岗位)每月按工作计划实施并严格遵守采购人的相关管理制度。</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按月计划进行对照，少一项扣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设施设备管理</w:t>
            </w:r>
            <w:r>
              <w:rPr>
                <w:rFonts w:hint="eastAsia" w:ascii="宋体" w:hAnsi="宋体" w:cs="Arial"/>
                <w:kern w:val="0"/>
                <w:sz w:val="20"/>
                <w:szCs w:val="20"/>
                <w:highlight w:val="none"/>
              </w:rPr>
              <w:t>1</w:t>
            </w:r>
            <w:r>
              <w:rPr>
                <w:rFonts w:hint="eastAsia" w:ascii="宋体" w:hAnsi="宋体" w:cs="Arial"/>
                <w:kern w:val="0"/>
                <w:sz w:val="20"/>
                <w:szCs w:val="20"/>
                <w:highlight w:val="none"/>
                <w:lang w:val="en-US" w:eastAsia="zh-CN"/>
              </w:rPr>
              <w:t>4</w:t>
            </w:r>
            <w:r>
              <w:rPr>
                <w:rFonts w:hint="eastAsia" w:ascii="宋体" w:hAnsi="宋体" w:cs="宋体"/>
                <w:kern w:val="0"/>
                <w:sz w:val="20"/>
                <w:szCs w:val="20"/>
                <w:highlight w:val="none"/>
              </w:rPr>
              <w:t>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供配电设备管理</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供配电设备良好、运行正常，节能措施得力。</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3</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机房环境整洁，无杂物、无灰尘、无虫害。</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按要求进行检查及维修保养，每天巡视一次，每月协助维保公司进行月检，并做好供配电设备维保确认记录，并设有</w:t>
            </w:r>
            <w:r>
              <w:rPr>
                <w:rFonts w:ascii="宋体" w:hAnsi="宋体" w:cs="Arial"/>
                <w:kern w:val="0"/>
                <w:sz w:val="20"/>
                <w:szCs w:val="20"/>
                <w:highlight w:val="none"/>
              </w:rPr>
              <w:t>24</w:t>
            </w:r>
            <w:r>
              <w:rPr>
                <w:rFonts w:hint="eastAsia" w:ascii="宋体" w:hAnsi="宋体" w:cs="宋体"/>
                <w:kern w:val="0"/>
                <w:sz w:val="20"/>
                <w:szCs w:val="20"/>
                <w:highlight w:val="none"/>
              </w:rPr>
              <w:t>小时值班管理制度。</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及时做好停电时双路电源的人工切换，并定时做好切换设备的检查，确保设备的正常运作。</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道路、楼道、大堂等公共照明完好。</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02"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电梯设备管理</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电梯设备良好，运行正常，督促维保商定期巡检，并做好巡检和维修的确认。</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rPr>
              <w:t>3分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做好相应记录，按要求通知相关部门实施年检。</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设备及机房环境整洁保持清洁，无杂物、无灰尘、无鼠、五虫害发生。</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配备电梯安全管理员，电梯出现问题及时通知电梯维保商进行维修；对出现危险时协助实施急救措施。</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监控及消防设备管理</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color w:val="auto"/>
                <w:kern w:val="0"/>
                <w:sz w:val="20"/>
                <w:szCs w:val="20"/>
                <w:highlight w:val="none"/>
              </w:rPr>
              <w:t>潮州大道办公楼制定有《消防设备（月）保养计划表》并按要求实施执行，《消防值班表》及《设备保养记录表》记录齐全</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消防设施运行正常，督促维保商按规定期限保养并做好确认。</w:t>
            </w:r>
          </w:p>
        </w:tc>
        <w:tc>
          <w:tcPr>
            <w:tcW w:w="78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3</w:t>
            </w:r>
            <w:r>
              <w:rPr>
                <w:rFonts w:hint="eastAsia" w:ascii="宋体" w:hAnsi="宋体" w:cs="Arial"/>
                <w:kern w:val="0"/>
                <w:sz w:val="20"/>
                <w:szCs w:val="20"/>
                <w:highlight w:val="none"/>
              </w:rPr>
              <w:t>分</w:t>
            </w:r>
          </w:p>
        </w:tc>
        <w:tc>
          <w:tcPr>
            <w:tcW w:w="1604"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nil"/>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消防设施设备完好无损，可随时起用，每半年进行一次全面检查。</w:t>
            </w:r>
          </w:p>
        </w:tc>
        <w:tc>
          <w:tcPr>
            <w:tcW w:w="78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left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left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250"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订有消防应急方案，无火灾安全隐患，消防通道畅通。</w:t>
            </w:r>
          </w:p>
        </w:tc>
        <w:tc>
          <w:tcPr>
            <w:tcW w:w="78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left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left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250"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right w:val="single" w:color="auto" w:sz="4"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监控系统设备运行正常，督促维保商按规定期限保养并做好确认。</w:t>
            </w:r>
          </w:p>
        </w:tc>
        <w:tc>
          <w:tcPr>
            <w:tcW w:w="787"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给排水设备管理</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供水设备运行正常，设施完好，无滴漏，节能措施得力。</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3</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15"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机房整洁无积尘、无积水，无杂物。</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排水系统通畅，无垃圾、无淤泥，汛期道路无积水，地下室、车库、设备房无积水、浸泡发生。</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按规定对二次供水蓄水池设施设备进行清洁、消毒，《水池清洗消毒记录表》记录齐全；限水、停水按规定时间报采购方。</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制定有《给排水设备保养计划表》并按要求实施执行，有《给排水设备运行记录》，严格遵守采购方的相关管理制度。</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空调设备管理</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中央空调运行正常，水塔运行正常且噪音不超标，无严重滴漏水现象，机房整洁无杂物，有运行记录。督促维保商按规定期限保养并做好确认。</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2</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督促维保商按规定期限做好空调（含中央空调系统）的保养并做好确认。出现运行故障时，及时通知维保商进行维修并确认。</w:t>
            </w:r>
            <w:r>
              <w:rPr>
                <w:rFonts w:ascii="宋体" w:hAnsi="宋体" w:cs="宋体"/>
                <w:kern w:val="0"/>
                <w:sz w:val="20"/>
                <w:szCs w:val="20"/>
                <w:highlight w:val="none"/>
              </w:rPr>
              <w:t xml:space="preserve"> </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清洁管理</w:t>
            </w:r>
            <w:r>
              <w:rPr>
                <w:rFonts w:hint="eastAsia" w:ascii="宋体" w:hAnsi="宋体" w:cs="宋体"/>
                <w:kern w:val="0"/>
                <w:sz w:val="20"/>
                <w:szCs w:val="20"/>
                <w:highlight w:val="none"/>
                <w:lang w:val="en-US" w:eastAsia="zh-CN"/>
              </w:rPr>
              <w:t>8</w:t>
            </w:r>
            <w:r>
              <w:rPr>
                <w:rFonts w:hint="eastAsia" w:ascii="宋体" w:hAnsi="宋体" w:cs="宋体"/>
                <w:kern w:val="0"/>
                <w:sz w:val="20"/>
                <w:szCs w:val="20"/>
                <w:highlight w:val="none"/>
              </w:rPr>
              <w:t>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室内公共区域</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地面：地面无垃圾杂物、无泥沙、无污渍；大理石地面打蜡、抛光后光泽均匀，光洁度均达到</w:t>
            </w:r>
            <w:r>
              <w:rPr>
                <w:rFonts w:ascii="宋体" w:hAnsi="宋体" w:cs="Arial"/>
                <w:kern w:val="0"/>
                <w:sz w:val="20"/>
                <w:szCs w:val="20"/>
                <w:highlight w:val="none"/>
              </w:rPr>
              <w:t>70</w:t>
            </w:r>
            <w:r>
              <w:rPr>
                <w:rFonts w:hint="eastAsia" w:ascii="宋体" w:hAnsi="宋体" w:cs="宋体"/>
                <w:kern w:val="0"/>
                <w:sz w:val="20"/>
                <w:szCs w:val="20"/>
                <w:highlight w:val="none"/>
              </w:rPr>
              <w:t>度以上；地毯无灰尘、无垃圾、无污渍。严格遵守采购人的相关管理制度。</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0.5</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墙面：大理石、瓷片、喷涂等墙面无灰尘；干净、无污渍、无张贴。</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02"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楼道梯走廊：楼道梯间、走廊地面目视无杂物、污迹纸屑、无积水，每个单位楼梯级烟头不超过两个，走廊</w:t>
            </w:r>
            <w:r>
              <w:rPr>
                <w:rFonts w:ascii="宋体" w:hAnsi="宋体" w:cs="Arial"/>
                <w:kern w:val="0"/>
                <w:sz w:val="20"/>
                <w:szCs w:val="20"/>
                <w:highlight w:val="none"/>
              </w:rPr>
              <w:t>100M2</w:t>
            </w:r>
            <w:r>
              <w:rPr>
                <w:rFonts w:hint="eastAsia" w:ascii="宋体" w:hAnsi="宋体" w:cs="宋体"/>
                <w:kern w:val="0"/>
                <w:sz w:val="20"/>
                <w:szCs w:val="20"/>
                <w:highlight w:val="none"/>
              </w:rPr>
              <w:t>之内烟头不超过一个；地面无痰迹、无积尘、无污染；天花无灰尘、无污渍、无手印、无蜘蛛网。</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电梯：轿厢四壁干净、无尘、无污迹、无手印；电梯门轨槽、显示屏、按钮开关干净、无尘、无手印、槽内无沙粒。</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办公室：地面无污迹；墙面无灰尘；无蜘蛛网、整洁、无杂物；桌椅、沙发、文件柜无灰尘、无污渍、空气清新。</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卫生间：地面干净、无异味、无积水、无杂物、无烟头、纸屑、无污渍；墙面瓷片，门、窗无灰尘，便器无黄色污渍、墙面、门无涂画；设施完好、用品齐全；水喉、光亮；天花、灯具无尘无蜘蛛网；玻璃、镜面无灰尘、无污迹、无手印。</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开关灯、指示灯、消防栓：无灰尘、无污迹。</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烟灰筒、垃圾桶：目视内外壁干净、无粘附物、无污渍、无异味。</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地下室、地下车库：地下室、车库地面无垃圾、无杂物、无积水、无泥沙、无油迹；墙面目视无污渍，无明显灰尘；标志牌、消防栓、门窗防护栏等设施无污渍、无灰尘。</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室外公共区域</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绿地：绿地无纸屑、无烟头、无石块等杂物。</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rPr>
              <w:t>4分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0.5</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排水明沟：无明显泥沙、树叶、污垢，每</w:t>
            </w:r>
            <w:r>
              <w:rPr>
                <w:rFonts w:ascii="宋体" w:hAnsi="宋体" w:cs="Arial"/>
                <w:kern w:val="0"/>
                <w:sz w:val="20"/>
                <w:szCs w:val="20"/>
                <w:highlight w:val="none"/>
              </w:rPr>
              <w:t>100M2</w:t>
            </w:r>
            <w:r>
              <w:rPr>
                <w:rFonts w:hint="eastAsia" w:ascii="宋体" w:hAnsi="宋体" w:cs="宋体"/>
                <w:kern w:val="0"/>
                <w:sz w:val="20"/>
                <w:szCs w:val="20"/>
                <w:highlight w:val="none"/>
              </w:rPr>
              <w:t>烟头、纸屑在两个以下。</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沙井、无雨水井：无垃圾、底部无沉淀物，内壁无粘附物，井盖无污迹。</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广场：地面洁净无污渍、无垃圾、无烟头、果皮、花坛外表洁净、无污渍，玻璃无水印、无污渍、无灰尘。</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垃圾桶：目视垃圾筒无污迹、无油迹、无粘附物、无异味；垃圾筒、果皮箱周围无积水。</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天台、雨篷：目视天台、雨篷无垃圾、杂物、排水畅通、无水印、无污渍；水沟无污垢、无泥沙。</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信报箱：信报箱干净、无灰尘、无污迹。</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广告、宣传栏、标示牌：无灰尘、无污迹、干净、光亮。</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37"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消防设备、器材：无尘、无污迹。</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工作记录：相应《清洁工作巡检表》、《卫生间巡回保洁记录表》及《消杀记录表》等记录完整，严格遵守采购人的相关管理制度。</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02" w:hRule="atLeast"/>
          <w:jc w:val="center"/>
        </w:trPr>
        <w:tc>
          <w:tcPr>
            <w:tcW w:w="703"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保安管理</w:t>
            </w:r>
            <w:r>
              <w:rPr>
                <w:rFonts w:hint="eastAsia" w:ascii="宋体" w:hAnsi="宋体" w:cs="宋体"/>
                <w:kern w:val="0"/>
                <w:sz w:val="20"/>
                <w:szCs w:val="20"/>
                <w:highlight w:val="none"/>
                <w:lang w:val="en-US" w:eastAsia="zh-CN"/>
              </w:rPr>
              <w:t>7</w:t>
            </w:r>
            <w:r>
              <w:rPr>
                <w:rFonts w:hint="eastAsia" w:ascii="宋体" w:hAnsi="宋体" w:cs="宋体"/>
                <w:kern w:val="0"/>
                <w:sz w:val="20"/>
                <w:szCs w:val="20"/>
                <w:highlight w:val="none"/>
              </w:rPr>
              <w:t>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1</w:t>
            </w:r>
            <w:r>
              <w:rPr>
                <w:rFonts w:hint="eastAsia" w:ascii="宋体" w:hAnsi="宋体" w:cs="Arial"/>
                <w:kern w:val="0"/>
                <w:sz w:val="20"/>
                <w:szCs w:val="20"/>
                <w:highlight w:val="none"/>
              </w:rPr>
              <w:t>、严格执行物品出入管理及来人来访管理制度，《来访登记表》及《物品出入放行条》记录完整，使用文明用语，严格遵守采购人的相关管理制度。</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7</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2</w:t>
            </w:r>
            <w:r>
              <w:rPr>
                <w:rFonts w:hint="eastAsia" w:ascii="宋体" w:hAnsi="宋体" w:cs="Arial"/>
                <w:kern w:val="0"/>
                <w:sz w:val="20"/>
                <w:szCs w:val="20"/>
                <w:highlight w:val="none"/>
              </w:rPr>
              <w:t>、按要求设置巡逻签到点，每</w:t>
            </w:r>
            <w:r>
              <w:rPr>
                <w:rFonts w:ascii="宋体" w:hAnsi="宋体" w:cs="Arial"/>
                <w:kern w:val="0"/>
                <w:sz w:val="20"/>
                <w:szCs w:val="20"/>
                <w:highlight w:val="none"/>
              </w:rPr>
              <w:t>2</w:t>
            </w:r>
            <w:r>
              <w:rPr>
                <w:rFonts w:hint="eastAsia" w:ascii="宋体" w:hAnsi="宋体" w:cs="Arial"/>
                <w:kern w:val="0"/>
                <w:sz w:val="20"/>
                <w:szCs w:val="20"/>
                <w:highlight w:val="none"/>
              </w:rPr>
              <w:t>小时巡查一次，并做好《保安巡逻交接班记录表》及《巡逻签到表》记录，坚守岗位，在工作时间不得睡觉或其他与工作无关的事情。</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3</w:t>
            </w:r>
            <w:r>
              <w:rPr>
                <w:rFonts w:hint="eastAsia" w:ascii="宋体" w:hAnsi="宋体" w:cs="Arial"/>
                <w:kern w:val="0"/>
                <w:sz w:val="20"/>
                <w:szCs w:val="20"/>
                <w:highlight w:val="none"/>
              </w:rPr>
              <w:t>、值班保安密切注视监督视频及各设备运行状态，每班至少进行一次各类信号检查，并做好《中控室报警监控设备运行记录表》记录，不得离岗。</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4</w:t>
            </w:r>
            <w:r>
              <w:rPr>
                <w:rFonts w:hint="eastAsia" w:ascii="宋体" w:hAnsi="宋体" w:cs="Arial"/>
                <w:kern w:val="0"/>
                <w:sz w:val="20"/>
                <w:szCs w:val="20"/>
                <w:highlight w:val="none"/>
              </w:rPr>
              <w:t>、按规定进行交接班，《保安交接班记录表》记录完整。</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57"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5</w:t>
            </w:r>
            <w:r>
              <w:rPr>
                <w:rFonts w:hint="eastAsia" w:ascii="宋体" w:hAnsi="宋体" w:cs="Arial"/>
                <w:kern w:val="0"/>
                <w:sz w:val="20"/>
                <w:szCs w:val="20"/>
                <w:highlight w:val="none"/>
              </w:rPr>
              <w:t>、车辆进出有登记，停放有序。</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6</w:t>
            </w:r>
            <w:r>
              <w:rPr>
                <w:rFonts w:hint="eastAsia" w:ascii="宋体" w:hAnsi="宋体" w:cs="Arial"/>
                <w:kern w:val="0"/>
                <w:sz w:val="20"/>
                <w:szCs w:val="20"/>
                <w:highlight w:val="none"/>
              </w:rPr>
              <w:t>、建立有保安器械台帐，器械功能完好，正常使用，《保安器械台帐》记录完整。</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7</w:t>
            </w:r>
            <w:r>
              <w:rPr>
                <w:rFonts w:hint="eastAsia" w:ascii="宋体" w:hAnsi="宋体" w:cs="Arial"/>
                <w:kern w:val="0"/>
                <w:sz w:val="20"/>
                <w:szCs w:val="20"/>
                <w:highlight w:val="none"/>
              </w:rPr>
              <w:t>、危及人身安全处有明显标识和具体的防范措施。</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8</w:t>
            </w:r>
            <w:r>
              <w:rPr>
                <w:rFonts w:hint="eastAsia" w:ascii="宋体" w:hAnsi="宋体" w:cs="Arial"/>
                <w:kern w:val="0"/>
                <w:sz w:val="20"/>
                <w:szCs w:val="20"/>
                <w:highlight w:val="none"/>
              </w:rPr>
              <w:t>、按规定每月对保安员进行一次综合考评，填写《保安班人员整体素质考核评分表》。</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绿化管理</w:t>
            </w:r>
            <w:r>
              <w:rPr>
                <w:rFonts w:hint="eastAsia" w:ascii="宋体" w:hAnsi="宋体" w:cs="Arial"/>
                <w:kern w:val="0"/>
                <w:sz w:val="20"/>
                <w:szCs w:val="20"/>
                <w:highlight w:val="none"/>
                <w:lang w:val="en-US" w:eastAsia="zh-CN"/>
              </w:rPr>
              <w:t>4</w:t>
            </w:r>
            <w:r>
              <w:rPr>
                <w:rFonts w:hint="eastAsia" w:ascii="宋体" w:hAnsi="宋体" w:cs="宋体"/>
                <w:kern w:val="0"/>
                <w:sz w:val="20"/>
                <w:szCs w:val="20"/>
                <w:highlight w:val="none"/>
              </w:rPr>
              <w:t>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1</w:t>
            </w:r>
            <w:r>
              <w:rPr>
                <w:rFonts w:hint="eastAsia" w:ascii="宋体" w:hAnsi="宋体" w:cs="Arial"/>
                <w:kern w:val="0"/>
                <w:sz w:val="20"/>
                <w:szCs w:val="20"/>
                <w:highlight w:val="none"/>
              </w:rPr>
              <w:t>、花草树木长势良好，修整整齐美观。</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2</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2</w:t>
            </w:r>
            <w:r>
              <w:rPr>
                <w:rFonts w:hint="eastAsia" w:ascii="宋体" w:hAnsi="宋体" w:cs="Arial"/>
                <w:kern w:val="0"/>
                <w:sz w:val="20"/>
                <w:szCs w:val="20"/>
                <w:highlight w:val="none"/>
              </w:rPr>
              <w:t>、无病虫害，无折损现象，无斑秃。</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ascii="宋体" w:hAnsi="宋体" w:cs="Arial"/>
                <w:kern w:val="0"/>
                <w:sz w:val="20"/>
                <w:szCs w:val="20"/>
                <w:highlight w:val="none"/>
              </w:rPr>
              <w:t>3</w:t>
            </w:r>
            <w:r>
              <w:rPr>
                <w:rFonts w:hint="eastAsia" w:ascii="宋体" w:hAnsi="宋体" w:cs="Arial"/>
                <w:kern w:val="0"/>
                <w:sz w:val="20"/>
                <w:szCs w:val="20"/>
                <w:highlight w:val="none"/>
              </w:rPr>
              <w:t>、植物绿化符合标准，及时更换，严格遵守采购人的相关管理制度。</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房</w:t>
            </w:r>
            <w:r>
              <w:rPr>
                <w:rFonts w:hint="eastAsia" w:ascii="宋体" w:hAnsi="宋体" w:cs="宋体"/>
                <w:kern w:val="0"/>
                <w:sz w:val="20"/>
                <w:szCs w:val="20"/>
                <w:highlight w:val="none"/>
                <w:lang w:eastAsia="zh-CN"/>
              </w:rPr>
              <w:t>间</w:t>
            </w:r>
            <w:r>
              <w:rPr>
                <w:rFonts w:hint="eastAsia" w:ascii="宋体" w:hAnsi="宋体" w:cs="宋体"/>
                <w:kern w:val="0"/>
                <w:sz w:val="20"/>
                <w:szCs w:val="20"/>
                <w:highlight w:val="none"/>
              </w:rPr>
              <w:t>用餐管理</w:t>
            </w:r>
            <w:r>
              <w:rPr>
                <w:rFonts w:hint="eastAsia" w:ascii="宋体" w:hAnsi="宋体" w:cs="Arial"/>
                <w:kern w:val="0"/>
                <w:sz w:val="20"/>
                <w:szCs w:val="20"/>
                <w:highlight w:val="none"/>
                <w:lang w:val="en-US" w:eastAsia="zh-CN"/>
              </w:rPr>
              <w:t>13</w:t>
            </w:r>
            <w:r>
              <w:rPr>
                <w:rFonts w:hint="eastAsia" w:ascii="宋体" w:hAnsi="宋体" w:cs="宋体"/>
                <w:kern w:val="0"/>
                <w:sz w:val="20"/>
                <w:szCs w:val="20"/>
                <w:highlight w:val="none"/>
              </w:rPr>
              <w:t>分</w:t>
            </w:r>
          </w:p>
        </w:tc>
        <w:tc>
          <w:tcPr>
            <w:tcW w:w="127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综合方面</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从业人员持有效的健康证上岗。</w:t>
            </w:r>
          </w:p>
        </w:tc>
        <w:tc>
          <w:tcPr>
            <w:tcW w:w="78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1604"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　</w:t>
            </w:r>
          </w:p>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　</w:t>
            </w:r>
          </w:p>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　</w:t>
            </w:r>
          </w:p>
          <w:p>
            <w:pPr>
              <w:spacing w:line="240" w:lineRule="exact"/>
              <w:jc w:val="center"/>
              <w:rPr>
                <w:rFonts w:ascii="宋体" w:hAnsi="宋体" w:cs="宋体"/>
                <w:kern w:val="0"/>
                <w:sz w:val="20"/>
                <w:szCs w:val="20"/>
                <w:highlight w:val="none"/>
              </w:rPr>
            </w:pPr>
            <w:r>
              <w:rPr>
                <w:rFonts w:ascii="宋体" w:hAnsi="宋体" w:cs="Arial"/>
                <w:kern w:val="0"/>
                <w:sz w:val="20"/>
                <w:szCs w:val="20"/>
                <w:highlight w:val="none"/>
              </w:rPr>
              <w:t>　</w:t>
            </w:r>
          </w:p>
        </w:tc>
        <w:tc>
          <w:tcPr>
            <w:tcW w:w="761" w:type="dxa"/>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餐厅、房</w:t>
            </w:r>
            <w:r>
              <w:rPr>
                <w:rFonts w:hint="eastAsia" w:ascii="宋体" w:hAnsi="宋体" w:cs="宋体"/>
                <w:kern w:val="0"/>
                <w:sz w:val="20"/>
                <w:szCs w:val="20"/>
                <w:highlight w:val="none"/>
                <w:lang w:eastAsia="zh-CN"/>
              </w:rPr>
              <w:t>间</w:t>
            </w:r>
            <w:r>
              <w:rPr>
                <w:rFonts w:hint="eastAsia" w:ascii="宋体" w:hAnsi="宋体" w:cs="宋体"/>
                <w:kern w:val="0"/>
                <w:sz w:val="20"/>
                <w:szCs w:val="20"/>
                <w:highlight w:val="none"/>
              </w:rPr>
              <w:t>清扫，工作车干净整洁，物品工具齐全、物品摆放整齐有序。</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做好与其它部门的协调工作，严格遵守采购人的相关管理制度。</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工作间内不得闲聊、大声喧哗、看书报、休息、吃东西、存放私人物品；没节约水电等能源，没随手关灯、关门。</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工勤人员当值期间应化淡装、不准佩带各种饰物，如项链、手链、耳环、戒指等；应保持面容清洁、头发整洁、发型美观、大方；面带笑容、亲切和蔼、端庄稳重、不卑不亢。</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反映意见渠道畅通，有投诉意见箱，公布投诉电话，有记录，有改进，有回音。采纳合理化建议，对存在的问题及时整改。</w:t>
            </w:r>
          </w:p>
        </w:tc>
        <w:tc>
          <w:tcPr>
            <w:tcW w:w="78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房</w:t>
            </w:r>
            <w:r>
              <w:rPr>
                <w:rFonts w:hint="eastAsia" w:ascii="宋体" w:hAnsi="宋体" w:cs="宋体"/>
                <w:kern w:val="0"/>
                <w:sz w:val="20"/>
                <w:szCs w:val="20"/>
                <w:highlight w:val="none"/>
                <w:lang w:eastAsia="zh-CN"/>
              </w:rPr>
              <w:t>间</w:t>
            </w:r>
            <w:r>
              <w:rPr>
                <w:rFonts w:hint="eastAsia" w:ascii="宋体" w:hAnsi="宋体" w:cs="宋体"/>
                <w:kern w:val="0"/>
                <w:sz w:val="20"/>
                <w:szCs w:val="20"/>
                <w:highlight w:val="none"/>
              </w:rPr>
              <w:t>方面</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铺床：铺床单，甩单定位，不偏离中心线，正面向上，包角：四个角均匀，紧密，床两侧塞进床垫部分不少</w:t>
            </w:r>
            <w:r>
              <w:rPr>
                <w:rFonts w:ascii="宋体" w:hAnsi="宋体" w:cs="Arial"/>
                <w:kern w:val="0"/>
                <w:sz w:val="20"/>
                <w:szCs w:val="20"/>
                <w:highlight w:val="none"/>
              </w:rPr>
              <w:t>15</w:t>
            </w:r>
            <w:r>
              <w:rPr>
                <w:rFonts w:hint="eastAsia" w:ascii="宋体" w:hAnsi="宋体" w:cs="宋体"/>
                <w:kern w:val="0"/>
                <w:sz w:val="20"/>
                <w:szCs w:val="20"/>
                <w:highlight w:val="none"/>
              </w:rPr>
              <w:t>厘米，床头床位不少于</w:t>
            </w:r>
            <w:r>
              <w:rPr>
                <w:rFonts w:ascii="宋体" w:hAnsi="宋体" w:cs="Arial"/>
                <w:kern w:val="0"/>
                <w:sz w:val="20"/>
                <w:szCs w:val="20"/>
                <w:highlight w:val="none"/>
              </w:rPr>
              <w:t>15</w:t>
            </w:r>
            <w:r>
              <w:rPr>
                <w:rFonts w:hint="eastAsia" w:ascii="宋体" w:hAnsi="宋体" w:cs="宋体"/>
                <w:kern w:val="0"/>
                <w:sz w:val="20"/>
                <w:szCs w:val="20"/>
                <w:highlight w:val="none"/>
              </w:rPr>
              <w:t>厘米；套枕头：四角饱满，挺括；</w:t>
            </w:r>
            <w:r>
              <w:rPr>
                <w:rFonts w:ascii="宋体" w:hAnsi="宋体" w:cs="Arial"/>
                <w:kern w:val="0"/>
                <w:sz w:val="20"/>
                <w:szCs w:val="20"/>
                <w:highlight w:val="none"/>
              </w:rPr>
              <w:t xml:space="preserve"> </w:t>
            </w:r>
            <w:r>
              <w:rPr>
                <w:rFonts w:hint="eastAsia" w:ascii="宋体" w:hAnsi="宋体" w:cs="宋体"/>
                <w:kern w:val="0"/>
                <w:sz w:val="20"/>
                <w:szCs w:val="20"/>
                <w:highlight w:val="none"/>
              </w:rPr>
              <w:t>放枕头：中线与被套中线重合，枕头开口处于床头柜相反，与床两侧距离相等。</w:t>
            </w:r>
          </w:p>
        </w:tc>
        <w:tc>
          <w:tcPr>
            <w:tcW w:w="78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Arial"/>
                <w:kern w:val="0"/>
                <w:sz w:val="20"/>
                <w:szCs w:val="20"/>
                <w:highlight w:val="none"/>
              </w:rPr>
            </w:pPr>
            <w:r>
              <w:rPr>
                <w:rFonts w:ascii="宋体" w:hAnsi="宋体" w:cs="Arial"/>
                <w:kern w:val="0"/>
                <w:sz w:val="20"/>
                <w:szCs w:val="20"/>
                <w:highlight w:val="none"/>
              </w:rPr>
              <w:t>　</w:t>
            </w: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卫生间：面盆、浴盆、马桶（干净无毛发、无污垢）；镜子（光亮干净无水迹污迹）；墙面地面（无污渍，无杂物）；布草及物品布放齐全，摆放有序。</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擦尘，布放房间物品：擦放有序，从上到下，从左到右，抹布使用有序；房间物品补充齐全，摆放有序。</w:t>
            </w:r>
          </w:p>
        </w:tc>
        <w:tc>
          <w:tcPr>
            <w:tcW w:w="78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餐厅方面</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餐厅内水、暖、照明、冷气、通风、洗手设施齐全、功能正常完好；餐桌干净无油渍、无残留物，座位干净牢固。</w:t>
            </w:r>
          </w:p>
        </w:tc>
        <w:tc>
          <w:tcPr>
            <w:tcW w:w="78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Arial"/>
                <w:kern w:val="0"/>
                <w:sz w:val="20"/>
                <w:szCs w:val="20"/>
                <w:highlight w:val="none"/>
              </w:rPr>
            </w:pPr>
            <w:r>
              <w:rPr>
                <w:rFonts w:ascii="宋体" w:hAnsi="宋体" w:cs="Arial"/>
                <w:kern w:val="0"/>
                <w:sz w:val="20"/>
                <w:szCs w:val="20"/>
                <w:highlight w:val="none"/>
              </w:rPr>
              <w:t>　</w:t>
            </w: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卫生管理档案制度：①有专人负责，专人保管；②档案应每年进行一次整理；③档案内容：卫生申请基础资料、卫生机构、各项制度、各种记录、个人健康、卫生知识培训、索证资料、餐具消毒自检记录、检验报告等。</w:t>
            </w:r>
            <w:r>
              <w:rPr>
                <w:rFonts w:ascii="宋体" w:hAnsi="宋体" w:cs="Arial"/>
                <w:kern w:val="0"/>
                <w:sz w:val="20"/>
                <w:szCs w:val="20"/>
                <w:highlight w:val="none"/>
              </w:rPr>
              <w:t xml:space="preserve">      </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了解每天用餐，接待餐的预定情况并做好接待工作。</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工作人员做好餐前准备、餐中服务及餐后的清洁工作，做到微笑，细心、热情，提高服务质量。</w:t>
            </w:r>
          </w:p>
        </w:tc>
        <w:tc>
          <w:tcPr>
            <w:tcW w:w="78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Arial"/>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left"/>
              <w:rPr>
                <w:rFonts w:ascii="宋体" w:hAnsi="宋体" w:cs="Arial"/>
                <w:kern w:val="0"/>
                <w:sz w:val="20"/>
                <w:szCs w:val="20"/>
                <w:highlight w:val="none"/>
              </w:rPr>
            </w:pP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布草方面</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及时做好布草更换、清洗，包括所有房</w:t>
            </w:r>
            <w:r>
              <w:rPr>
                <w:rFonts w:hint="eastAsia" w:ascii="宋体" w:hAnsi="宋体" w:cs="宋体"/>
                <w:kern w:val="0"/>
                <w:sz w:val="20"/>
                <w:szCs w:val="20"/>
                <w:highlight w:val="none"/>
                <w:lang w:eastAsia="zh-CN"/>
              </w:rPr>
              <w:t>间</w:t>
            </w:r>
            <w:r>
              <w:rPr>
                <w:rFonts w:hint="eastAsia" w:ascii="宋体" w:hAnsi="宋体" w:cs="宋体"/>
                <w:kern w:val="0"/>
                <w:sz w:val="20"/>
                <w:szCs w:val="20"/>
                <w:highlight w:val="none"/>
              </w:rPr>
              <w:t>、餐厅的布草清洗、消毒、烘干、烫熨、归集。</w:t>
            </w:r>
          </w:p>
        </w:tc>
        <w:tc>
          <w:tcPr>
            <w:tcW w:w="78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1</w:t>
            </w:r>
            <w:r>
              <w:rPr>
                <w:rFonts w:hint="eastAsia" w:ascii="宋体" w:hAnsi="宋体" w:cs="Arial"/>
                <w:kern w:val="0"/>
                <w:sz w:val="20"/>
                <w:szCs w:val="20"/>
                <w:highlight w:val="none"/>
              </w:rPr>
              <w:t>分</w:t>
            </w:r>
          </w:p>
        </w:tc>
        <w:tc>
          <w:tcPr>
            <w:tcW w:w="160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761" w:type="dxa"/>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Arial"/>
                <w:kern w:val="0"/>
                <w:sz w:val="20"/>
                <w:szCs w:val="20"/>
                <w:highlight w:val="none"/>
              </w:rPr>
            </w:pPr>
            <w:r>
              <w:rPr>
                <w:rFonts w:ascii="宋体" w:hAnsi="宋体" w:cs="Arial"/>
                <w:kern w:val="0"/>
                <w:sz w:val="20"/>
                <w:szCs w:val="20"/>
                <w:highlight w:val="none"/>
              </w:rPr>
              <w:t>　</w:t>
            </w:r>
          </w:p>
        </w:tc>
        <w:tc>
          <w:tcPr>
            <w:tcW w:w="762"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会务培训管理</w:t>
            </w:r>
            <w:r>
              <w:rPr>
                <w:rFonts w:ascii="宋体" w:hAnsi="宋体" w:cs="Arial"/>
                <w:kern w:val="0"/>
                <w:sz w:val="20"/>
                <w:szCs w:val="20"/>
                <w:highlight w:val="none"/>
              </w:rPr>
              <w:t>8</w:t>
            </w:r>
            <w:r>
              <w:rPr>
                <w:rFonts w:hint="eastAsia" w:ascii="宋体" w:hAnsi="宋体" w:cs="宋体"/>
                <w:kern w:val="0"/>
                <w:sz w:val="20"/>
                <w:szCs w:val="20"/>
                <w:highlight w:val="none"/>
              </w:rPr>
              <w:t>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会议、培训等活动前准备：会议（培训）开始前</w:t>
            </w:r>
            <w:r>
              <w:rPr>
                <w:rFonts w:ascii="宋体" w:hAnsi="宋体" w:cs="Arial"/>
                <w:kern w:val="0"/>
                <w:sz w:val="20"/>
                <w:szCs w:val="20"/>
                <w:highlight w:val="none"/>
              </w:rPr>
              <w:t>1</w:t>
            </w:r>
            <w:r>
              <w:rPr>
                <w:rFonts w:hint="eastAsia" w:ascii="宋体" w:hAnsi="宋体" w:cs="宋体"/>
                <w:kern w:val="0"/>
                <w:sz w:val="20"/>
                <w:szCs w:val="20"/>
                <w:highlight w:val="none"/>
              </w:rPr>
              <w:t>小时，打开会议室门窗进行通风。若夏天高温，在会议开始前</w:t>
            </w:r>
            <w:r>
              <w:rPr>
                <w:rFonts w:ascii="宋体" w:hAnsi="宋体" w:cs="Arial"/>
                <w:kern w:val="0"/>
                <w:sz w:val="20"/>
                <w:szCs w:val="20"/>
                <w:highlight w:val="none"/>
              </w:rPr>
              <w:t>20</w:t>
            </w:r>
            <w:r>
              <w:rPr>
                <w:rFonts w:hint="eastAsia" w:ascii="宋体" w:hAnsi="宋体" w:cs="宋体"/>
                <w:kern w:val="0"/>
                <w:sz w:val="20"/>
                <w:szCs w:val="20"/>
                <w:highlight w:val="none"/>
              </w:rPr>
              <w:t>分钟关上门窗，打开空调，调至适宜温度。</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ascii="宋体" w:hAnsi="宋体" w:cs="Arial"/>
                <w:kern w:val="0"/>
                <w:sz w:val="20"/>
                <w:szCs w:val="20"/>
                <w:highlight w:val="none"/>
              </w:rPr>
              <w:t>8</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2</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布置活动（会场、教室等）场地，备好座位、器材、茶具茶水等设施用品。保证开水供应，于活动开始前</w:t>
            </w:r>
            <w:r>
              <w:rPr>
                <w:rFonts w:ascii="宋体" w:hAnsi="宋体" w:cs="Arial"/>
                <w:kern w:val="0"/>
                <w:sz w:val="20"/>
                <w:szCs w:val="20"/>
                <w:highlight w:val="none"/>
              </w:rPr>
              <w:t>10</w:t>
            </w:r>
            <w:r>
              <w:rPr>
                <w:rFonts w:hint="eastAsia" w:ascii="宋体" w:hAnsi="宋体" w:cs="宋体"/>
                <w:kern w:val="0"/>
                <w:sz w:val="20"/>
                <w:szCs w:val="20"/>
                <w:highlight w:val="none"/>
              </w:rPr>
              <w:t>分钟将茶水准备到位。</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会议、培训等活动中服务工作：参会人员入场后，举止大方的递上茶水；参加活动人员到齐后，将会议室（教室）茶水添加一遍后，每隔</w:t>
            </w:r>
            <w:r>
              <w:rPr>
                <w:rFonts w:ascii="宋体" w:hAnsi="宋体" w:cs="Arial"/>
                <w:kern w:val="0"/>
                <w:sz w:val="20"/>
                <w:szCs w:val="20"/>
                <w:highlight w:val="none"/>
              </w:rPr>
              <w:t>10~15</w:t>
            </w:r>
            <w:r>
              <w:rPr>
                <w:rFonts w:hint="eastAsia" w:ascii="宋体" w:hAnsi="宋体" w:cs="宋体"/>
                <w:kern w:val="0"/>
                <w:sz w:val="20"/>
                <w:szCs w:val="20"/>
                <w:highlight w:val="none"/>
              </w:rPr>
              <w:t>分钟添加茶水，直到活动结束。服务中要做到三轻（走路轻、讲话轻、动作轻）；严格遵守采购人的相关管理制度。</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会议、培训等活动后工作：清洁会场（教室），关好电源、门窗。</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厨房管理</w:t>
            </w:r>
            <w:r>
              <w:rPr>
                <w:rFonts w:hint="eastAsia" w:ascii="宋体" w:hAnsi="宋体" w:cs="Arial"/>
                <w:kern w:val="0"/>
                <w:sz w:val="20"/>
                <w:szCs w:val="20"/>
                <w:highlight w:val="none"/>
                <w:lang w:val="en-US" w:eastAsia="zh-CN"/>
              </w:rPr>
              <w:t>14</w:t>
            </w:r>
            <w:r>
              <w:rPr>
                <w:rFonts w:hint="eastAsia" w:ascii="宋体" w:hAnsi="宋体" w:cs="宋体"/>
                <w:kern w:val="0"/>
                <w:sz w:val="20"/>
                <w:szCs w:val="20"/>
                <w:highlight w:val="none"/>
              </w:rPr>
              <w:t>分</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操作及卫生</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kern w:val="0"/>
                <w:sz w:val="20"/>
                <w:szCs w:val="20"/>
                <w:highlight w:val="none"/>
              </w:rPr>
            </w:pPr>
            <w:r>
              <w:rPr>
                <w:rFonts w:hint="eastAsia" w:ascii="宋体" w:hAnsi="宋体" w:cs="Arial"/>
                <w:kern w:val="0"/>
                <w:sz w:val="20"/>
                <w:szCs w:val="20"/>
                <w:highlight w:val="none"/>
              </w:rPr>
              <w:t>厨房所有工作人员必须严格执行《食品卫生法》，以确保食品卫生，持有效的健康证上岗。服装要干净，整洁、工作时间不得裸背敞胸，穿便装和怪服；厨房烹调加工食物用过的废水必须及时排除；墙壁、门窗应坚固美观，所有孔、洞、缝、隙应予填实密封，并保持整洁，以免蟑螂、老鼠隐身躲藏或进出；定期清洗抽油烟设备；工作厨台、橱柜下内侧及厨房死角，应特别注意清扫，防止残留食物腐蚀；食物应在工作台上操作加工，并将生熟食物分开处理</w:t>
            </w:r>
            <w:r>
              <w:rPr>
                <w:rFonts w:hint="eastAsia" w:ascii="宋体" w:hAnsi="宋体" w:cs="Arial"/>
                <w:kern w:val="0"/>
                <w:sz w:val="20"/>
                <w:szCs w:val="20"/>
                <w:highlight w:val="none"/>
                <w:lang w:eastAsia="zh-CN"/>
              </w:rPr>
              <w:t>。</w:t>
            </w:r>
            <w:r>
              <w:rPr>
                <w:rFonts w:hint="eastAsia" w:ascii="宋体" w:hAnsi="宋体" w:cs="Arial"/>
                <w:kern w:val="0"/>
                <w:sz w:val="20"/>
                <w:szCs w:val="20"/>
                <w:highlight w:val="none"/>
              </w:rPr>
              <w:t>刀、菜墩、抹布等必须保持清洁、卫生；食物应保持新鲜、清洁、卫生，并于清扫后分类用塑料袋包紧，或装在盖容器内分别储放冷藏区或冷冻区、要确定做到勿将食物在生活常温中暴露太久；调味品应以适当容器装盛，使用后随即加盖，所有器皿及菜均不得与地面或污垢接触；应备有带盖污物桶，潲水桶，潲水当日倒除，不在厨房隔夜，如需要隔夜清除，则应用桶盖隔离，潲水桶四周应经常保持干净；工作时，工作衣帽应穿戴整洁，不得留长发、长指甲，工作时避免让手接触或沾染成品食物与盛器；在厨房工作时，不得在工作区域抽烟；厨房清洁扫除工作应每日数次，至少二次清洁完毕，用具应集中处置，杀虫剂应与洗涤剂分开放置，并指定专人管理。</w:t>
            </w:r>
            <w:r>
              <w:rPr>
                <w:rFonts w:ascii="宋体" w:hAnsi="宋体" w:cs="Arial"/>
                <w:kern w:val="0"/>
                <w:sz w:val="20"/>
                <w:szCs w:val="20"/>
                <w:highlight w:val="none"/>
              </w:rPr>
              <w:t xml:space="preserve">                                                   </w:t>
            </w:r>
            <w:r>
              <w:rPr>
                <w:rFonts w:hint="eastAsia" w:ascii="宋体" w:hAnsi="宋体" w:cs="Arial"/>
                <w:kern w:val="0"/>
                <w:sz w:val="20"/>
                <w:szCs w:val="20"/>
                <w:highlight w:val="none"/>
              </w:rPr>
              <w:t>食品原材料管理：根据生产程序标准，实行烹饪原料先进先出原则，合理使用原料，避免先后程序</w:t>
            </w:r>
            <w:r>
              <w:rPr>
                <w:rFonts w:hint="eastAsia" w:ascii="宋体" w:hAnsi="宋体" w:cs="Arial"/>
                <w:kern w:val="0"/>
                <w:sz w:val="20"/>
                <w:szCs w:val="20"/>
                <w:highlight w:val="none"/>
                <w:lang w:eastAsia="zh-CN"/>
              </w:rPr>
              <w:t>不</w:t>
            </w:r>
            <w:r>
              <w:rPr>
                <w:rFonts w:hint="eastAsia" w:ascii="宋体" w:hAnsi="宋体" w:cs="Arial"/>
                <w:kern w:val="0"/>
                <w:sz w:val="20"/>
                <w:szCs w:val="20"/>
                <w:highlight w:val="none"/>
              </w:rPr>
              <w:t>分，先入库房原料搁置不用；高档原料派专人保管，严格按量使用。其它原料同样做到按量使用，物尽其用；不得使用霉变，有异味等一切变质的烹饪原料。对原料做到先入先出；严格履行原料进入，原料烹煮和菜品供应程序，确保菜品操作流程正常运转。</w:t>
            </w:r>
            <w:r>
              <w:rPr>
                <w:rFonts w:ascii="宋体" w:hAnsi="宋体" w:cs="Arial"/>
                <w:kern w:val="0"/>
                <w:sz w:val="20"/>
                <w:szCs w:val="20"/>
                <w:highlight w:val="none"/>
              </w:rPr>
              <w:t xml:space="preserve">                                                         </w:t>
            </w:r>
            <w:r>
              <w:rPr>
                <w:rFonts w:hint="eastAsia" w:ascii="宋体" w:hAnsi="宋体" w:cs="Arial"/>
                <w:kern w:val="0"/>
                <w:sz w:val="20"/>
                <w:szCs w:val="20"/>
                <w:highlight w:val="none"/>
              </w:rPr>
              <w:t>严格遵守采购人的相关管理制度。</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8</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根据每次检查的实际情况每发现一处不符合扣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消防安全</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发现电气设备接头不牢或发生故障时，应及时保修，修复后才能使用；不能超负荷使用电气设备；各种电器设备在不用时或用完后切断电源；易燃物贮藏应远离热源；每天清洗净残油脂；煮锅或炸锅不能超容量或超温度使用；每天清洗干净炉罩炉灶，每周至少清洗一次抽油烟机滤网；下班关闭完能源开关；全体人员掌握处理意外事故的最初控制方法和报警方法；</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4</w:t>
            </w:r>
            <w:r>
              <w:rPr>
                <w:rFonts w:hint="eastAsia" w:ascii="宋体" w:hAnsi="宋体" w:cs="Arial"/>
                <w:kern w:val="0"/>
                <w:sz w:val="20"/>
                <w:szCs w:val="20"/>
                <w:highlight w:val="none"/>
              </w:rPr>
              <w:t>分</w:t>
            </w: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其他方面</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经常研究、创新变换菜单，负责每天的菜谱，采购计划，对采购物品的验收</w:t>
            </w:r>
            <w:r>
              <w:rPr>
                <w:rFonts w:hint="eastAsia" w:ascii="宋体" w:hAnsi="宋体" w:cs="宋体"/>
                <w:kern w:val="0"/>
                <w:sz w:val="20"/>
                <w:szCs w:val="20"/>
                <w:highlight w:val="none"/>
                <w:lang w:eastAsia="zh-CN"/>
              </w:rPr>
              <w:t>。</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rPr>
              <w:t>2分</w:t>
            </w: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tcBorders>
              <w:top w:val="nil"/>
              <w:left w:val="nil"/>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50" w:hRule="atLeast"/>
          <w:jc w:val="center"/>
        </w:trPr>
        <w:tc>
          <w:tcPr>
            <w:tcW w:w="703" w:type="dxa"/>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食堂管理</w:t>
            </w:r>
            <w:r>
              <w:rPr>
                <w:rFonts w:hint="eastAsia" w:ascii="宋体" w:hAnsi="宋体" w:cs="宋体"/>
                <w:kern w:val="0"/>
                <w:sz w:val="20"/>
                <w:szCs w:val="20"/>
                <w:highlight w:val="none"/>
                <w:lang w:val="en-US" w:eastAsia="zh-CN"/>
              </w:rPr>
              <w:t>8</w:t>
            </w:r>
            <w:r>
              <w:rPr>
                <w:rFonts w:hint="eastAsia" w:ascii="宋体" w:hAnsi="宋体" w:cs="宋体"/>
                <w:kern w:val="0"/>
                <w:sz w:val="20"/>
                <w:szCs w:val="20"/>
                <w:highlight w:val="none"/>
              </w:rPr>
              <w:t>分</w:t>
            </w:r>
          </w:p>
        </w:tc>
        <w:tc>
          <w:tcPr>
            <w:tcW w:w="127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从业人员持有效的健康证上岗。</w:t>
            </w:r>
          </w:p>
        </w:tc>
        <w:tc>
          <w:tcPr>
            <w:tcW w:w="78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r>
              <w:rPr>
                <w:rFonts w:hint="eastAsia" w:ascii="宋体" w:hAnsi="宋体" w:cs="Arial"/>
                <w:kern w:val="0"/>
                <w:sz w:val="20"/>
                <w:szCs w:val="20"/>
                <w:highlight w:val="none"/>
                <w:lang w:val="en-US" w:eastAsia="zh-CN"/>
              </w:rPr>
              <w:t>8</w:t>
            </w:r>
            <w:r>
              <w:rPr>
                <w:rFonts w:hint="eastAsia" w:ascii="宋体" w:hAnsi="宋体" w:cs="Arial"/>
                <w:kern w:val="0"/>
                <w:sz w:val="20"/>
                <w:szCs w:val="20"/>
                <w:highlight w:val="none"/>
              </w:rPr>
              <w:t>分</w:t>
            </w:r>
          </w:p>
        </w:tc>
        <w:tc>
          <w:tcPr>
            <w:tcW w:w="1604"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每发现一处不符合扣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nil"/>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restart"/>
            <w:tcBorders>
              <w:top w:val="nil"/>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工作人员着装整洁，化淡妆，挂牌上岗，不佩带各种饰物，如项链、手链、耳环、戒指等，热情服务，态度和蔼，文明用语，无争吵现象。</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饭堂内水、暖、照明、冷气、通风、洗手设施齐全、功能正常完好；地面干净无积水、无污渍，卫生打扫彻底无死角；餐桌干净无油渍、无残留物，座位干净牢固。</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工作间内不得闲聊、大声喧哗、看书报、休息、吃东西、存放私人物品；没节约水电等能源，没随手关灯、关门。</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卫生管理档案制度：①有专人负责，专人保管；</w:t>
            </w:r>
            <w:r>
              <w:rPr>
                <w:rFonts w:ascii="宋体" w:hAnsi="宋体" w:cs="Arial"/>
                <w:kern w:val="0"/>
                <w:sz w:val="20"/>
                <w:szCs w:val="20"/>
                <w:highlight w:val="none"/>
              </w:rPr>
              <w:t xml:space="preserve"> </w:t>
            </w:r>
            <w:r>
              <w:rPr>
                <w:rFonts w:hint="eastAsia" w:ascii="宋体" w:hAnsi="宋体" w:cs="宋体"/>
                <w:kern w:val="0"/>
                <w:sz w:val="20"/>
                <w:szCs w:val="20"/>
                <w:highlight w:val="none"/>
              </w:rPr>
              <w:t>②档案应每年进行一次整理；③档案内容：卫生申请基础资料、卫生机构、各项制度、各种记录、个人健康、卫生知识培训、索证资料、餐具消毒自检记录、检验报告等。</w:t>
            </w:r>
            <w:r>
              <w:rPr>
                <w:rFonts w:ascii="宋体" w:hAnsi="宋体" w:cs="Arial"/>
                <w:kern w:val="0"/>
                <w:sz w:val="20"/>
                <w:szCs w:val="20"/>
                <w:highlight w:val="none"/>
              </w:rPr>
              <w:t xml:space="preserve">      </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了解每天用餐，接待餐的预定情况并做好接待工作。</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反映意见渠道畅通，有投诉意见箱，公布投诉电话，有记录，有改进，有回音。</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采纳合理化建议，对饭堂存在的问题及时整改。</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制度健全，岗位责任制公示上墙，有员工手册。</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0"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严格遵守采购人的相关管理制度。</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660" w:hRule="atLeast"/>
          <w:jc w:val="center"/>
        </w:trPr>
        <w:tc>
          <w:tcPr>
            <w:tcW w:w="703" w:type="dxa"/>
            <w:vMerge w:val="continue"/>
            <w:tcBorders>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kern w:val="0"/>
                <w:sz w:val="20"/>
                <w:szCs w:val="20"/>
                <w:highlight w:val="none"/>
              </w:rPr>
              <w:t>工作人员做好餐前准备、餐中服务及餐后的清洁工作，做到微笑，细心、热情，提高服务质量。</w:t>
            </w:r>
          </w:p>
        </w:tc>
        <w:tc>
          <w:tcPr>
            <w:tcW w:w="78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kern w:val="0"/>
                <w:sz w:val="20"/>
                <w:szCs w:val="20"/>
                <w:highlight w:val="none"/>
              </w:rPr>
            </w:pPr>
          </w:p>
        </w:tc>
        <w:tc>
          <w:tcPr>
            <w:tcW w:w="160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bottom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restart"/>
            <w:tcBorders>
              <w:top w:val="nil"/>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车辆运维管理　</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　</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安全方面　</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color w:val="000000"/>
                <w:kern w:val="0"/>
                <w:sz w:val="20"/>
                <w:szCs w:val="20"/>
                <w:highlight w:val="none"/>
              </w:rPr>
              <w:t>严格执行《中华人民共和国道路交通安全法》；做好行车前的安全检查；确保不出现交通事故。</w:t>
            </w:r>
          </w:p>
        </w:tc>
        <w:tc>
          <w:tcPr>
            <w:tcW w:w="78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Arial"/>
                <w:kern w:val="0"/>
                <w:sz w:val="20"/>
                <w:szCs w:val="20"/>
                <w:highlight w:val="none"/>
              </w:rPr>
            </w:pPr>
            <w:r>
              <w:rPr>
                <w:rFonts w:hint="eastAsia" w:ascii="宋体" w:hAnsi="宋体" w:cs="Arial"/>
                <w:kern w:val="0"/>
                <w:sz w:val="20"/>
                <w:szCs w:val="20"/>
                <w:highlight w:val="none"/>
                <w:lang w:val="en-US" w:eastAsia="zh-CN"/>
              </w:rPr>
              <w:t>2</w:t>
            </w:r>
            <w:r>
              <w:rPr>
                <w:rFonts w:hint="eastAsia" w:ascii="宋体" w:hAnsi="宋体" w:cs="Arial"/>
                <w:kern w:val="0"/>
                <w:sz w:val="20"/>
                <w:szCs w:val="20"/>
                <w:highlight w:val="none"/>
              </w:rPr>
              <w:t>分</w:t>
            </w:r>
          </w:p>
        </w:tc>
        <w:tc>
          <w:tcPr>
            <w:tcW w:w="1604"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安全方面及运维方面每发现一处不符合扣</w:t>
            </w:r>
            <w:r>
              <w:rPr>
                <w:rFonts w:hint="eastAsia" w:ascii="宋体" w:hAnsi="宋体" w:cs="Arial"/>
                <w:kern w:val="0"/>
                <w:sz w:val="20"/>
                <w:szCs w:val="20"/>
                <w:highlight w:val="none"/>
              </w:rPr>
              <w:t>2</w:t>
            </w:r>
            <w:r>
              <w:rPr>
                <w:rFonts w:hint="eastAsia" w:ascii="宋体" w:hAnsi="宋体" w:cs="宋体"/>
                <w:kern w:val="0"/>
                <w:sz w:val="20"/>
                <w:szCs w:val="20"/>
                <w:highlight w:val="none"/>
              </w:rPr>
              <w:t>分，保洁方面每发现一处不符合扣</w:t>
            </w:r>
            <w:r>
              <w:rPr>
                <w:rFonts w:hint="eastAsia" w:ascii="宋体" w:hAnsi="宋体" w:cs="宋体"/>
                <w:kern w:val="0"/>
                <w:sz w:val="20"/>
                <w:szCs w:val="20"/>
                <w:highlight w:val="none"/>
                <w:lang w:val="en-US" w:eastAsia="zh-CN"/>
              </w:rPr>
              <w:t>0.5</w:t>
            </w:r>
            <w:r>
              <w:rPr>
                <w:rFonts w:hint="eastAsia" w:ascii="宋体" w:hAnsi="宋体" w:cs="宋体"/>
                <w:kern w:val="0"/>
                <w:sz w:val="20"/>
                <w:szCs w:val="20"/>
                <w:highlight w:val="none"/>
              </w:rPr>
              <w:t>分</w:t>
            </w:r>
          </w:p>
        </w:tc>
        <w:tc>
          <w:tcPr>
            <w:tcW w:w="761" w:type="dxa"/>
            <w:vMerge w:val="restart"/>
            <w:tcBorders>
              <w:top w:val="nil"/>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restart"/>
            <w:tcBorders>
              <w:top w:val="nil"/>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运维方面</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highlight w:val="none"/>
              </w:rPr>
            </w:pPr>
            <w:r>
              <w:rPr>
                <w:rFonts w:hint="eastAsia" w:ascii="宋体" w:hAnsi="宋体" w:cs="宋体"/>
                <w:color w:val="000000"/>
                <w:kern w:val="0"/>
                <w:sz w:val="20"/>
                <w:szCs w:val="20"/>
                <w:highlight w:val="none"/>
              </w:rPr>
              <w:t>车辆及时加油，并及时做好车辆的维修、保养、保险、年审等的经办。</w:t>
            </w:r>
          </w:p>
        </w:tc>
        <w:tc>
          <w:tcPr>
            <w:tcW w:w="78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Arial"/>
                <w:kern w:val="0"/>
                <w:sz w:val="20"/>
                <w:szCs w:val="20"/>
                <w:highlight w:val="none"/>
              </w:rPr>
            </w:pPr>
          </w:p>
        </w:tc>
        <w:tc>
          <w:tcPr>
            <w:tcW w:w="160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保洁方面</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定期做好车辆保洁，确保车辆的卫生、干净。</w:t>
            </w:r>
          </w:p>
        </w:tc>
        <w:tc>
          <w:tcPr>
            <w:tcW w:w="78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Arial"/>
                <w:kern w:val="0"/>
                <w:sz w:val="20"/>
                <w:szCs w:val="20"/>
                <w:highlight w:val="none"/>
              </w:rPr>
            </w:pPr>
          </w:p>
        </w:tc>
        <w:tc>
          <w:tcPr>
            <w:tcW w:w="160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p>
        </w:tc>
        <w:tc>
          <w:tcPr>
            <w:tcW w:w="761" w:type="dxa"/>
            <w:vMerge w:val="continue"/>
            <w:tcBorders>
              <w:left w:val="single" w:color="auto" w:sz="4" w:space="0"/>
              <w:bottom w:val="single" w:color="auto" w:sz="4" w:space="0"/>
              <w:right w:val="single" w:color="auto" w:sz="8" w:space="0"/>
            </w:tcBorders>
            <w:shd w:val="clear" w:color="auto" w:fill="auto"/>
          </w:tcPr>
          <w:p>
            <w:pPr>
              <w:widowControl/>
              <w:spacing w:line="240" w:lineRule="exact"/>
              <w:rPr>
                <w:rFonts w:hint="eastAsia" w:ascii="宋体" w:hAnsi="宋体" w:cs="宋体"/>
                <w:kern w:val="0"/>
                <w:sz w:val="20"/>
                <w:szCs w:val="20"/>
                <w:highlight w:val="none"/>
              </w:rPr>
            </w:pPr>
          </w:p>
        </w:tc>
        <w:tc>
          <w:tcPr>
            <w:tcW w:w="762" w:type="dxa"/>
            <w:vMerge w:val="continue"/>
            <w:tcBorders>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808" w:hRule="atLeast"/>
          <w:jc w:val="center"/>
        </w:trPr>
        <w:tc>
          <w:tcPr>
            <w:tcW w:w="703"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文书服务管理　</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　</w:t>
            </w:r>
          </w:p>
        </w:tc>
        <w:tc>
          <w:tcPr>
            <w:tcW w:w="1276" w:type="dxa"/>
            <w:tcBorders>
              <w:top w:val="single" w:color="auto" w:sz="4" w:space="0"/>
              <w:left w:val="single" w:color="auto" w:sz="4" w:space="0"/>
              <w:bottom w:val="single" w:color="auto" w:sz="6"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工作内容</w:t>
            </w:r>
          </w:p>
        </w:tc>
        <w:tc>
          <w:tcPr>
            <w:tcW w:w="3812" w:type="dxa"/>
            <w:gridSpan w:val="2"/>
            <w:tcBorders>
              <w:top w:val="single" w:color="auto" w:sz="4" w:space="0"/>
              <w:left w:val="nil"/>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按时完成工作任务，相关的</w:t>
            </w:r>
            <w:r>
              <w:rPr>
                <w:rFonts w:hint="eastAsia" w:ascii="宋体" w:hAnsi="宋体" w:cs="宋体"/>
                <w:color w:val="000000"/>
                <w:kern w:val="0"/>
                <w:sz w:val="20"/>
                <w:szCs w:val="20"/>
                <w:highlight w:val="none"/>
              </w:rPr>
              <w:t>资料编织、打印、整理、归档等不出现错漏。</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Arial"/>
                <w:kern w:val="0"/>
                <w:sz w:val="20"/>
                <w:szCs w:val="20"/>
                <w:highlight w:val="none"/>
              </w:rPr>
            </w:pPr>
            <w:r>
              <w:rPr>
                <w:rFonts w:hint="eastAsia" w:ascii="宋体" w:hAnsi="宋体" w:cs="Arial"/>
                <w:kern w:val="0"/>
                <w:sz w:val="20"/>
                <w:szCs w:val="20"/>
                <w:highlight w:val="none"/>
                <w:lang w:val="en-US" w:eastAsia="zh-CN"/>
              </w:rPr>
              <w:t>2</w:t>
            </w:r>
            <w:r>
              <w:rPr>
                <w:rFonts w:hint="eastAsia" w:ascii="宋体" w:hAnsi="宋体" w:cs="Arial"/>
                <w:kern w:val="0"/>
                <w:sz w:val="20"/>
                <w:szCs w:val="20"/>
                <w:highlight w:val="none"/>
              </w:rPr>
              <w:t>分</w:t>
            </w:r>
          </w:p>
        </w:tc>
        <w:tc>
          <w:tcPr>
            <w:tcW w:w="1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出现涉密情况本项不得分，发现其他一处不符合扣</w:t>
            </w:r>
            <w:r>
              <w:rPr>
                <w:rFonts w:hint="eastAsia" w:ascii="宋体" w:hAnsi="宋体" w:cs="宋体"/>
                <w:kern w:val="0"/>
                <w:sz w:val="20"/>
                <w:szCs w:val="20"/>
                <w:highlight w:val="none"/>
                <w:lang w:val="en-US" w:eastAsia="zh-CN"/>
              </w:rPr>
              <w:t>0.5</w:t>
            </w:r>
            <w:r>
              <w:rPr>
                <w:rFonts w:hint="eastAsia" w:ascii="宋体" w:hAnsi="宋体" w:cs="宋体"/>
                <w:kern w:val="0"/>
                <w:sz w:val="20"/>
                <w:szCs w:val="20"/>
                <w:highlight w:val="none"/>
              </w:rPr>
              <w:t>分</w:t>
            </w:r>
          </w:p>
        </w:tc>
        <w:tc>
          <w:tcPr>
            <w:tcW w:w="761"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nil"/>
              <w:left w:val="single" w:color="auto" w:sz="4" w:space="0"/>
              <w:bottom w:val="single" w:color="auto" w:sz="4"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1276"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保密工作</w:t>
            </w:r>
          </w:p>
        </w:tc>
        <w:tc>
          <w:tcPr>
            <w:tcW w:w="381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highlight w:val="none"/>
              </w:rPr>
            </w:pPr>
            <w:r>
              <w:rPr>
                <w:rFonts w:hint="eastAsia" w:ascii="宋体" w:hAnsi="宋体" w:cs="宋体"/>
                <w:color w:val="000000"/>
                <w:kern w:val="0"/>
                <w:sz w:val="20"/>
                <w:szCs w:val="20"/>
                <w:highlight w:val="none"/>
              </w:rPr>
              <w:t>做好涉及工作的保密。</w:t>
            </w: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40" w:hRule="atLeast"/>
          <w:jc w:val="center"/>
        </w:trPr>
        <w:tc>
          <w:tcPr>
            <w:tcW w:w="70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宋体" w:hAnsi="宋体" w:cs="宋体"/>
                <w:sz w:val="20"/>
                <w:szCs w:val="20"/>
                <w:highlight w:val="none"/>
              </w:rPr>
            </w:pPr>
            <w:r>
              <w:rPr>
                <w:rFonts w:hint="eastAsia" w:ascii="宋体" w:hAnsi="宋体" w:cs="宋体"/>
                <w:kern w:val="0"/>
                <w:sz w:val="20"/>
                <w:szCs w:val="20"/>
                <w:highlight w:val="none"/>
              </w:rPr>
              <w:t>上次考核整改情况</w:t>
            </w:r>
            <w:r>
              <w:rPr>
                <w:rFonts w:hint="eastAsia" w:ascii="宋体" w:hAnsi="宋体" w:cs="宋体"/>
                <w:kern w:val="0"/>
                <w:sz w:val="20"/>
                <w:szCs w:val="20"/>
                <w:highlight w:val="none"/>
                <w:lang w:val="en-US" w:eastAsia="zh-CN"/>
              </w:rPr>
              <w:t>6</w:t>
            </w:r>
            <w:r>
              <w:rPr>
                <w:rFonts w:hint="eastAsia" w:ascii="宋体" w:hAnsi="宋体" w:cs="宋体"/>
                <w:kern w:val="0"/>
                <w:sz w:val="20"/>
                <w:szCs w:val="20"/>
                <w:highlight w:val="none"/>
              </w:rPr>
              <w:t>分</w:t>
            </w:r>
          </w:p>
        </w:tc>
        <w:tc>
          <w:tcPr>
            <w:tcW w:w="5088"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宋体" w:hAnsi="宋体" w:cs="宋体"/>
                <w:sz w:val="20"/>
                <w:szCs w:val="20"/>
                <w:highlight w:val="none"/>
              </w:rPr>
            </w:pPr>
            <w:r>
              <w:rPr>
                <w:rFonts w:hint="eastAsia" w:ascii="宋体" w:hAnsi="宋体" w:cs="宋体"/>
                <w:kern w:val="0"/>
                <w:sz w:val="20"/>
                <w:szCs w:val="20"/>
                <w:highlight w:val="none"/>
              </w:rPr>
              <w:t>按要求做好上次考核不合格事项的整改工作。</w:t>
            </w:r>
          </w:p>
        </w:tc>
        <w:tc>
          <w:tcPr>
            <w:tcW w:w="78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Arial"/>
                <w:sz w:val="20"/>
                <w:szCs w:val="20"/>
                <w:highlight w:val="none"/>
              </w:rPr>
            </w:pPr>
            <w:r>
              <w:rPr>
                <w:rFonts w:hint="eastAsia" w:ascii="宋体" w:hAnsi="宋体" w:cs="Arial"/>
                <w:kern w:val="0"/>
                <w:sz w:val="20"/>
                <w:szCs w:val="20"/>
                <w:highlight w:val="none"/>
                <w:lang w:val="en-US" w:eastAsia="zh-CN"/>
              </w:rPr>
              <w:t>6</w:t>
            </w:r>
            <w:r>
              <w:rPr>
                <w:rFonts w:hint="eastAsia" w:ascii="宋体" w:hAnsi="宋体" w:cs="Arial"/>
                <w:kern w:val="0"/>
                <w:sz w:val="20"/>
                <w:szCs w:val="20"/>
                <w:highlight w:val="none"/>
              </w:rPr>
              <w:t>分</w:t>
            </w:r>
          </w:p>
        </w:tc>
        <w:tc>
          <w:tcPr>
            <w:tcW w:w="160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宋体" w:hAnsi="宋体" w:cs="宋体"/>
                <w:sz w:val="20"/>
                <w:szCs w:val="20"/>
                <w:highlight w:val="none"/>
              </w:rPr>
            </w:pPr>
            <w:r>
              <w:rPr>
                <w:rFonts w:hint="eastAsia" w:ascii="宋体" w:hAnsi="宋体" w:cs="宋体"/>
                <w:kern w:val="0"/>
                <w:sz w:val="20"/>
                <w:szCs w:val="20"/>
                <w:highlight w:val="none"/>
              </w:rPr>
              <w:t>每发现一项整改不合格扣</w:t>
            </w:r>
            <w:r>
              <w:rPr>
                <w:rFonts w:ascii="宋体" w:hAnsi="宋体" w:cs="Arial"/>
                <w:kern w:val="0"/>
                <w:sz w:val="20"/>
                <w:szCs w:val="20"/>
                <w:highlight w:val="none"/>
              </w:rPr>
              <w:t>1</w:t>
            </w:r>
            <w:r>
              <w:rPr>
                <w:rFonts w:hint="eastAsia" w:ascii="宋体" w:hAnsi="宋体" w:cs="宋体"/>
                <w:kern w:val="0"/>
                <w:sz w:val="20"/>
                <w:szCs w:val="20"/>
                <w:highlight w:val="none"/>
              </w:rPr>
              <w:t>分</w:t>
            </w:r>
          </w:p>
        </w:tc>
        <w:tc>
          <w:tcPr>
            <w:tcW w:w="761" w:type="dxa"/>
            <w:vMerge w:val="restart"/>
            <w:tcBorders>
              <w:top w:val="single" w:color="auto" w:sz="8" w:space="0"/>
              <w:left w:val="single" w:color="auto" w:sz="8" w:space="0"/>
              <w:bottom w:val="single" w:color="auto" w:sz="8" w:space="0"/>
              <w:right w:val="single" w:color="auto" w:sz="8" w:space="0"/>
            </w:tcBorders>
            <w:shd w:val="clear" w:color="auto" w:fill="auto"/>
          </w:tcPr>
          <w:p>
            <w:pPr>
              <w:widowControl/>
              <w:spacing w:line="240" w:lineRule="exact"/>
              <w:rPr>
                <w:rFonts w:ascii="宋体" w:hAnsi="宋体" w:cs="宋体"/>
                <w:kern w:val="0"/>
                <w:sz w:val="20"/>
                <w:szCs w:val="20"/>
                <w:highlight w:val="none"/>
              </w:rPr>
            </w:pPr>
            <w:r>
              <w:rPr>
                <w:rFonts w:hint="eastAsia" w:ascii="宋体" w:hAnsi="宋体" w:cs="宋体"/>
                <w:kern w:val="0"/>
                <w:sz w:val="20"/>
                <w:szCs w:val="20"/>
                <w:highlight w:val="none"/>
              </w:rPr>
              <w:t>　</w:t>
            </w:r>
          </w:p>
        </w:tc>
        <w:tc>
          <w:tcPr>
            <w:tcW w:w="762" w:type="dxa"/>
            <w:vMerge w:val="restart"/>
            <w:tcBorders>
              <w:top w:val="single" w:color="auto" w:sz="8" w:space="0"/>
              <w:left w:val="single" w:color="auto" w:sz="8" w:space="0"/>
              <w:bottom w:val="single" w:color="auto" w:sz="8" w:space="0"/>
              <w:right w:val="single" w:color="auto" w:sz="8" w:space="0"/>
            </w:tcBorders>
            <w:shd w:val="clear" w:color="auto" w:fill="auto"/>
          </w:tcPr>
          <w:p>
            <w:pPr>
              <w:widowControl/>
              <w:spacing w:line="240" w:lineRule="exac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508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8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312" w:hRule="atLeast"/>
          <w:jc w:val="center"/>
        </w:trPr>
        <w:tc>
          <w:tcPr>
            <w:tcW w:w="70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508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8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240" w:hRule="atLeast"/>
          <w:jc w:val="center"/>
        </w:trPr>
        <w:tc>
          <w:tcPr>
            <w:tcW w:w="70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508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8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Arial"/>
                <w:kern w:val="0"/>
                <w:sz w:val="20"/>
                <w:szCs w:val="20"/>
                <w:highlight w:val="none"/>
              </w:rPr>
            </w:pPr>
          </w:p>
        </w:tc>
        <w:tc>
          <w:tcPr>
            <w:tcW w:w="160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gridAfter w:val="1"/>
          <w:wAfter w:w="7" w:type="dxa"/>
          <w:trHeight w:val="454" w:hRule="atLeast"/>
          <w:jc w:val="center"/>
        </w:trPr>
        <w:tc>
          <w:tcPr>
            <w:tcW w:w="70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合计</w:t>
            </w:r>
          </w:p>
        </w:tc>
        <w:tc>
          <w:tcPr>
            <w:tcW w:w="7479"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eastAsia" w:ascii="宋体" w:hAnsi="宋体" w:cs="宋体"/>
                <w:kern w:val="0"/>
                <w:sz w:val="20"/>
                <w:szCs w:val="20"/>
                <w:highlight w:val="none"/>
              </w:rPr>
            </w:pPr>
            <w:r>
              <w:rPr>
                <w:rFonts w:hint="eastAsia" w:ascii="宋体" w:hAnsi="宋体" w:cs="宋体"/>
                <w:kern w:val="0"/>
                <w:sz w:val="20"/>
                <w:szCs w:val="20"/>
                <w:highlight w:val="none"/>
              </w:rPr>
              <w:t>――</w:t>
            </w:r>
          </w:p>
        </w:tc>
        <w:tc>
          <w:tcPr>
            <w:tcW w:w="7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c>
          <w:tcPr>
            <w:tcW w:w="762"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1693" w:hRule="atLeast"/>
          <w:jc w:val="center"/>
        </w:trPr>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采购方签章</w:t>
            </w:r>
          </w:p>
        </w:tc>
        <w:tc>
          <w:tcPr>
            <w:tcW w:w="3646" w:type="dxa"/>
            <w:gridSpan w:val="2"/>
            <w:tcBorders>
              <w:top w:val="single" w:color="auto" w:sz="8" w:space="0"/>
              <w:left w:val="single" w:color="auto" w:sz="8" w:space="0"/>
              <w:bottom w:val="single" w:color="auto" w:sz="8" w:space="0"/>
              <w:right w:val="single" w:color="auto" w:sz="8" w:space="0"/>
            </w:tcBorders>
            <w:shd w:val="clear" w:color="auto" w:fill="auto"/>
            <w:vAlign w:val="bottom"/>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代表人：</w:t>
            </w:r>
          </w:p>
          <w:p>
            <w:pPr>
              <w:widowControl/>
              <w:spacing w:line="240" w:lineRule="exact"/>
              <w:jc w:val="left"/>
              <w:rPr>
                <w:rFonts w:hint="eastAsia" w:ascii="宋体" w:hAnsi="宋体" w:cs="宋体"/>
                <w:kern w:val="0"/>
                <w:sz w:val="20"/>
                <w:szCs w:val="20"/>
                <w:highlight w:val="none"/>
              </w:rPr>
            </w:pPr>
          </w:p>
          <w:p>
            <w:pPr>
              <w:widowControl/>
              <w:spacing w:line="240" w:lineRule="exact"/>
              <w:jc w:val="left"/>
              <w:rPr>
                <w:rFonts w:hint="eastAsia" w:ascii="宋体" w:hAnsi="宋体" w:cs="宋体"/>
                <w:kern w:val="0"/>
                <w:sz w:val="20"/>
                <w:szCs w:val="20"/>
                <w:highlight w:val="none"/>
              </w:rPr>
            </w:pPr>
          </w:p>
          <w:p>
            <w:pPr>
              <w:widowControl/>
              <w:spacing w:line="240" w:lineRule="exact"/>
              <w:jc w:val="right"/>
              <w:rPr>
                <w:rFonts w:ascii="宋体" w:hAnsi="宋体" w:cs="宋体"/>
                <w:kern w:val="0"/>
                <w:sz w:val="20"/>
                <w:szCs w:val="20"/>
                <w:highlight w:val="none"/>
              </w:rPr>
            </w:pP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年</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月</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日</w:t>
            </w:r>
          </w:p>
        </w:tc>
        <w:tc>
          <w:tcPr>
            <w:tcW w:w="14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kern w:val="0"/>
                <w:sz w:val="20"/>
                <w:szCs w:val="20"/>
                <w:highlight w:val="none"/>
              </w:rPr>
            </w:pPr>
            <w:r>
              <w:rPr>
                <w:rFonts w:hint="eastAsia" w:ascii="宋体" w:hAnsi="宋体" w:cs="宋体"/>
                <w:kern w:val="0"/>
                <w:sz w:val="20"/>
                <w:szCs w:val="20"/>
                <w:highlight w:val="none"/>
              </w:rPr>
              <w:t>承包方签章</w:t>
            </w:r>
          </w:p>
        </w:tc>
        <w:tc>
          <w:tcPr>
            <w:tcW w:w="3921" w:type="dxa"/>
            <w:gridSpan w:val="5"/>
            <w:tcBorders>
              <w:top w:val="single" w:color="auto" w:sz="8" w:space="0"/>
              <w:left w:val="single" w:color="auto" w:sz="8" w:space="0"/>
              <w:bottom w:val="single" w:color="auto" w:sz="8" w:space="0"/>
              <w:right w:val="single" w:color="auto" w:sz="8" w:space="0"/>
            </w:tcBorders>
            <w:shd w:val="clear" w:color="auto" w:fill="auto"/>
            <w:vAlign w:val="bottom"/>
          </w:tcPr>
          <w:p>
            <w:pPr>
              <w:widowControl/>
              <w:spacing w:line="240" w:lineRule="exact"/>
              <w:jc w:val="left"/>
              <w:rPr>
                <w:rFonts w:hint="eastAsia" w:ascii="宋体" w:hAnsi="宋体" w:cs="宋体"/>
                <w:kern w:val="0"/>
                <w:sz w:val="20"/>
                <w:szCs w:val="20"/>
                <w:highlight w:val="none"/>
              </w:rPr>
            </w:pPr>
            <w:r>
              <w:rPr>
                <w:rFonts w:hint="eastAsia" w:ascii="宋体" w:hAnsi="宋体" w:cs="宋体"/>
                <w:kern w:val="0"/>
                <w:sz w:val="20"/>
                <w:szCs w:val="20"/>
                <w:highlight w:val="none"/>
              </w:rPr>
              <w:t>代表人：</w:t>
            </w:r>
          </w:p>
          <w:p>
            <w:pPr>
              <w:widowControl/>
              <w:spacing w:line="240" w:lineRule="exact"/>
              <w:jc w:val="left"/>
              <w:rPr>
                <w:rFonts w:hint="eastAsia" w:ascii="宋体" w:hAnsi="宋体" w:cs="宋体"/>
                <w:kern w:val="0"/>
                <w:sz w:val="20"/>
                <w:szCs w:val="20"/>
                <w:highlight w:val="none"/>
              </w:rPr>
            </w:pPr>
          </w:p>
          <w:p>
            <w:pPr>
              <w:widowControl/>
              <w:spacing w:line="240" w:lineRule="exact"/>
              <w:jc w:val="left"/>
              <w:rPr>
                <w:rFonts w:hint="eastAsia" w:ascii="宋体" w:hAnsi="宋体" w:cs="宋体"/>
                <w:kern w:val="0"/>
                <w:sz w:val="20"/>
                <w:szCs w:val="20"/>
                <w:highlight w:val="none"/>
              </w:rPr>
            </w:pPr>
          </w:p>
          <w:p>
            <w:pPr>
              <w:widowControl/>
              <w:spacing w:line="240" w:lineRule="exact"/>
              <w:jc w:val="right"/>
              <w:rPr>
                <w:rFonts w:ascii="宋体" w:hAnsi="宋体" w:cs="宋体"/>
                <w:kern w:val="0"/>
                <w:sz w:val="20"/>
                <w:szCs w:val="20"/>
                <w:highlight w:val="none"/>
              </w:rPr>
            </w:pP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年</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月</w:t>
            </w:r>
            <w:r>
              <w:rPr>
                <w:rFonts w:ascii="宋体" w:hAnsi="宋体" w:cs="Arial"/>
                <w:kern w:val="0"/>
                <w:sz w:val="20"/>
                <w:szCs w:val="20"/>
                <w:highlight w:val="none"/>
              </w:rPr>
              <w:t xml:space="preserve">  </w:t>
            </w:r>
            <w:r>
              <w:rPr>
                <w:rFonts w:hint="eastAsia" w:ascii="宋体" w:hAnsi="宋体" w:cs="Arial"/>
                <w:kern w:val="0"/>
                <w:sz w:val="20"/>
                <w:szCs w:val="20"/>
                <w:highlight w:val="none"/>
              </w:rPr>
              <w:t xml:space="preserve"> </w:t>
            </w:r>
            <w:r>
              <w:rPr>
                <w:rFonts w:hint="eastAsia" w:ascii="宋体" w:hAnsi="宋体" w:cs="宋体"/>
                <w:kern w:val="0"/>
                <w:sz w:val="20"/>
                <w:szCs w:val="20"/>
                <w:highlight w:val="none"/>
              </w:rPr>
              <w:t>日</w:t>
            </w:r>
          </w:p>
        </w:tc>
      </w:tr>
    </w:tbl>
    <w:p>
      <w:pPr>
        <w:spacing w:line="360" w:lineRule="auto"/>
        <w:rPr>
          <w:rFonts w:hint="eastAsia"/>
          <w:highlight w:val="none"/>
        </w:rPr>
      </w:pPr>
    </w:p>
    <w:p>
      <w:pPr>
        <w:rPr>
          <w:highlight w:val="none"/>
        </w:rPr>
      </w:pPr>
    </w:p>
    <w:p>
      <w:pPr>
        <w:spacing w:line="360" w:lineRule="auto"/>
        <w:ind w:firstLine="480" w:firstLineChars="200"/>
        <w:rPr>
          <w:rFonts w:hAnsi="宋体" w:cs="宋体"/>
          <w:color w:val="000000"/>
          <w:highlight w:val="none"/>
        </w:rPr>
      </w:pPr>
    </w:p>
    <w:p>
      <w:pPr>
        <w:pStyle w:val="26"/>
        <w:tabs>
          <w:tab w:val="right" w:leader="dot" w:pos="9628"/>
        </w:tabs>
        <w:spacing w:before="0" w:after="0" w:line="360" w:lineRule="auto"/>
        <w:rPr>
          <w:rFonts w:ascii="宋体" w:hAnsi="宋体" w:cs="宋体"/>
          <w:highlight w:val="none"/>
        </w:rPr>
        <w:sectPr>
          <w:pgSz w:w="11907" w:h="16840"/>
          <w:pgMar w:top="1440" w:right="1800" w:bottom="1440" w:left="1800" w:header="737" w:footer="737" w:gutter="0"/>
          <w:pgNumType w:fmt="decimal"/>
          <w:cols w:space="720" w:num="1"/>
          <w:docGrid w:linePitch="312" w:charSpace="0"/>
        </w:sectPr>
      </w:pPr>
    </w:p>
    <w:p>
      <w:pPr>
        <w:pStyle w:val="26"/>
        <w:tabs>
          <w:tab w:val="right" w:leader="dot" w:pos="9628"/>
        </w:tabs>
        <w:spacing w:before="0" w:after="0" w:line="360" w:lineRule="auto"/>
        <w:rPr>
          <w:rFonts w:ascii="宋体" w:hAnsi="宋体" w:cs="宋体"/>
          <w:highlight w:val="none"/>
        </w:rPr>
      </w:pPr>
    </w:p>
    <w:p>
      <w:pPr>
        <w:spacing w:line="360" w:lineRule="auto"/>
        <w:rPr>
          <w:rFonts w:ascii="宋体" w:hAnsi="宋体" w:cs="宋体"/>
          <w:sz w:val="28"/>
          <w:highlight w:val="none"/>
        </w:rPr>
      </w:pPr>
    </w:p>
    <w:p>
      <w:pPr>
        <w:pStyle w:val="26"/>
        <w:tabs>
          <w:tab w:val="right" w:leader="dot" w:pos="9628"/>
        </w:tabs>
        <w:spacing w:before="0" w:after="0" w:line="360" w:lineRule="auto"/>
        <w:rPr>
          <w:rFonts w:ascii="宋体" w:hAnsi="宋体" w:cs="宋体"/>
          <w:highlight w:val="none"/>
        </w:rPr>
      </w:pPr>
    </w:p>
    <w:p>
      <w:pPr>
        <w:pStyle w:val="2"/>
        <w:keepLines w:val="0"/>
        <w:spacing w:before="0" w:after="0" w:line="360" w:lineRule="auto"/>
        <w:ind w:right="5"/>
        <w:jc w:val="center"/>
        <w:rPr>
          <w:rFonts w:ascii="宋体" w:hAnsi="宋体" w:cs="宋体"/>
          <w:highlight w:val="none"/>
        </w:rPr>
      </w:pPr>
      <w:bookmarkStart w:id="53" w:name="_Toc6546"/>
      <w:r>
        <w:rPr>
          <w:rFonts w:hint="eastAsia" w:ascii="宋体" w:hAnsi="宋体" w:cs="宋体"/>
          <w:kern w:val="2"/>
          <w:highlight w:val="none"/>
        </w:rPr>
        <w:t>第五</w:t>
      </w:r>
      <w:bookmarkStart w:id="54" w:name="_Toc10525535"/>
      <w:r>
        <w:rPr>
          <w:rFonts w:hint="eastAsia" w:ascii="宋体" w:hAnsi="宋体" w:cs="宋体"/>
          <w:kern w:val="2"/>
          <w:highlight w:val="none"/>
        </w:rPr>
        <w:t xml:space="preserve">部分 </w:t>
      </w:r>
      <w:bookmarkEnd w:id="50"/>
      <w:bookmarkEnd w:id="51"/>
      <w:bookmarkEnd w:id="52"/>
      <w:bookmarkEnd w:id="54"/>
      <w:r>
        <w:rPr>
          <w:rFonts w:hint="eastAsia" w:ascii="宋体" w:hAnsi="宋体" w:cs="宋体"/>
          <w:kern w:val="2"/>
          <w:highlight w:val="none"/>
        </w:rPr>
        <w:t xml:space="preserve"> 投标文件格式</w:t>
      </w:r>
      <w:bookmarkEnd w:id="53"/>
    </w:p>
    <w:p>
      <w:pPr>
        <w:spacing w:line="360" w:lineRule="auto"/>
        <w:rPr>
          <w:rFonts w:ascii="宋体" w:hAnsi="宋体" w:cs="宋体"/>
          <w:highlight w:val="none"/>
        </w:rPr>
      </w:pPr>
    </w:p>
    <w:p>
      <w:pPr>
        <w:pStyle w:val="19"/>
        <w:ind w:firstLine="0"/>
        <w:jc w:val="both"/>
        <w:rPr>
          <w:rFonts w:hAnsi="宋体" w:cs="宋体"/>
          <w:b/>
          <w:sz w:val="32"/>
          <w:szCs w:val="32"/>
          <w:highlight w:val="none"/>
        </w:rPr>
      </w:pPr>
      <w:r>
        <w:rPr>
          <w:rFonts w:hint="eastAsia" w:hAnsi="宋体" w:cs="宋体"/>
          <w:highlight w:val="none"/>
        </w:rPr>
        <w:br w:type="page"/>
      </w:r>
    </w:p>
    <w:p>
      <w:pPr>
        <w:pStyle w:val="19"/>
        <w:tabs>
          <w:tab w:val="left" w:pos="1260"/>
        </w:tabs>
        <w:jc w:val="center"/>
        <w:rPr>
          <w:rFonts w:hAnsi="宋体" w:cs="宋体"/>
          <w:highlight w:val="none"/>
        </w:rPr>
      </w:pPr>
    </w:p>
    <w:p>
      <w:pPr>
        <w:pStyle w:val="19"/>
        <w:tabs>
          <w:tab w:val="left" w:pos="1260"/>
        </w:tabs>
        <w:jc w:val="center"/>
        <w:rPr>
          <w:rFonts w:hAnsi="宋体" w:cs="宋体"/>
          <w:b/>
          <w:sz w:val="52"/>
          <w:highlight w:val="none"/>
        </w:rPr>
      </w:pPr>
    </w:p>
    <w:p>
      <w:pPr>
        <w:pStyle w:val="19"/>
        <w:tabs>
          <w:tab w:val="left" w:pos="1260"/>
        </w:tabs>
        <w:jc w:val="center"/>
        <w:rPr>
          <w:rFonts w:hAnsi="宋体" w:cs="宋体"/>
          <w:highlight w:val="none"/>
        </w:rPr>
      </w:pPr>
    </w:p>
    <w:p>
      <w:pPr>
        <w:pStyle w:val="19"/>
        <w:jc w:val="center"/>
        <w:rPr>
          <w:rFonts w:hAnsi="宋体" w:cs="宋体"/>
          <w:b/>
          <w:sz w:val="48"/>
          <w:highlight w:val="none"/>
        </w:rPr>
      </w:pPr>
    </w:p>
    <w:p>
      <w:pPr>
        <w:pStyle w:val="19"/>
        <w:tabs>
          <w:tab w:val="left" w:pos="1260"/>
        </w:tabs>
        <w:jc w:val="center"/>
        <w:rPr>
          <w:rFonts w:hAnsi="宋体" w:cs="宋体"/>
          <w:b/>
          <w:spacing w:val="100"/>
          <w:w w:val="110"/>
          <w:sz w:val="48"/>
          <w:szCs w:val="48"/>
          <w:highlight w:val="none"/>
        </w:rPr>
      </w:pPr>
      <w:r>
        <w:rPr>
          <w:rFonts w:hint="eastAsia" w:hAnsi="宋体" w:cs="宋体"/>
          <w:b/>
          <w:spacing w:val="100"/>
          <w:w w:val="110"/>
          <w:sz w:val="48"/>
          <w:szCs w:val="48"/>
          <w:highlight w:val="none"/>
        </w:rPr>
        <w:t>投标文件</w:t>
      </w:r>
    </w:p>
    <w:p>
      <w:pPr>
        <w:pStyle w:val="19"/>
        <w:jc w:val="center"/>
        <w:rPr>
          <w:rFonts w:hAnsi="宋体" w:cs="宋体"/>
          <w:b/>
          <w:sz w:val="48"/>
          <w:szCs w:val="48"/>
          <w:highlight w:val="none"/>
        </w:rPr>
      </w:pPr>
      <w:r>
        <w:rPr>
          <w:rFonts w:hint="eastAsia" w:hAnsi="宋体" w:cs="宋体"/>
          <w:b/>
          <w:sz w:val="48"/>
          <w:szCs w:val="48"/>
          <w:highlight w:val="none"/>
        </w:rPr>
        <w:t>（正本/副本）</w:t>
      </w:r>
    </w:p>
    <w:p>
      <w:pPr>
        <w:pStyle w:val="19"/>
        <w:jc w:val="center"/>
        <w:rPr>
          <w:rFonts w:hAnsi="宋体" w:cs="宋体"/>
          <w:b/>
          <w:sz w:val="28"/>
          <w:szCs w:val="28"/>
          <w:highlight w:val="none"/>
        </w:rPr>
      </w:pPr>
    </w:p>
    <w:p>
      <w:pPr>
        <w:pStyle w:val="19"/>
        <w:ind w:firstLine="1105" w:firstLineChars="344"/>
        <w:rPr>
          <w:rFonts w:hAnsi="宋体" w:cs="宋体"/>
          <w:b/>
          <w:sz w:val="32"/>
          <w:szCs w:val="32"/>
          <w:highlight w:val="none"/>
        </w:rPr>
      </w:pPr>
    </w:p>
    <w:p>
      <w:pPr>
        <w:spacing w:line="360" w:lineRule="auto"/>
        <w:ind w:left="1762" w:leftChars="428" w:hanging="735" w:hangingChars="244"/>
        <w:rPr>
          <w:rFonts w:ascii="宋体" w:hAnsi="宋体" w:cs="宋体"/>
          <w:b/>
          <w:sz w:val="30"/>
          <w:szCs w:val="30"/>
          <w:highlight w:val="none"/>
        </w:rPr>
      </w:pPr>
      <w:r>
        <w:rPr>
          <w:rFonts w:hint="eastAsia" w:ascii="宋体" w:hAnsi="宋体" w:cs="宋体"/>
          <w:b/>
          <w:bCs/>
          <w:sz w:val="30"/>
          <w:szCs w:val="30"/>
          <w:highlight w:val="none"/>
        </w:rPr>
        <w:t xml:space="preserve">项目名称： </w:t>
      </w:r>
    </w:p>
    <w:p>
      <w:pPr>
        <w:spacing w:line="360" w:lineRule="auto"/>
        <w:ind w:firstLine="904" w:firstLineChars="300"/>
        <w:rPr>
          <w:rFonts w:ascii="宋体" w:hAnsi="宋体" w:cs="宋体"/>
          <w:b/>
          <w:sz w:val="30"/>
          <w:szCs w:val="30"/>
          <w:highlight w:val="none"/>
        </w:rPr>
      </w:pPr>
      <w:r>
        <w:rPr>
          <w:rFonts w:hint="eastAsia" w:ascii="宋体" w:hAnsi="宋体" w:cs="宋体"/>
          <w:b/>
          <w:bCs/>
          <w:sz w:val="30"/>
          <w:szCs w:val="30"/>
          <w:highlight w:val="none"/>
        </w:rPr>
        <w:t xml:space="preserve">采购代理编号： </w:t>
      </w:r>
    </w:p>
    <w:p>
      <w:pPr>
        <w:spacing w:line="360" w:lineRule="auto"/>
        <w:rPr>
          <w:rFonts w:ascii="宋体" w:hAnsi="宋体" w:cs="宋体"/>
          <w:b/>
          <w:bCs/>
          <w:sz w:val="30"/>
          <w:szCs w:val="30"/>
          <w:highlight w:val="none"/>
        </w:rPr>
      </w:pPr>
    </w:p>
    <w:p>
      <w:pPr>
        <w:pStyle w:val="19"/>
        <w:ind w:firstLine="843" w:firstLineChars="300"/>
        <w:rPr>
          <w:rFonts w:hAnsi="宋体" w:cs="宋体"/>
          <w:b/>
          <w:sz w:val="28"/>
          <w:szCs w:val="28"/>
          <w:highlight w:val="none"/>
        </w:rPr>
      </w:pPr>
    </w:p>
    <w:p>
      <w:pPr>
        <w:pStyle w:val="19"/>
        <w:ind w:firstLine="843" w:firstLineChars="300"/>
        <w:rPr>
          <w:rFonts w:hAnsi="宋体" w:cs="宋体"/>
          <w:b/>
          <w:sz w:val="28"/>
          <w:szCs w:val="28"/>
          <w:highlight w:val="none"/>
        </w:rPr>
      </w:pPr>
    </w:p>
    <w:p>
      <w:pPr>
        <w:pStyle w:val="19"/>
        <w:rPr>
          <w:rFonts w:hAnsi="宋体" w:cs="宋体"/>
          <w:b/>
          <w:sz w:val="28"/>
          <w:szCs w:val="28"/>
          <w:highlight w:val="none"/>
        </w:rPr>
      </w:pPr>
    </w:p>
    <w:p>
      <w:pPr>
        <w:pStyle w:val="19"/>
        <w:ind w:firstLine="843" w:firstLineChars="300"/>
        <w:rPr>
          <w:rFonts w:hAnsi="宋体" w:cs="宋体"/>
          <w:b/>
          <w:sz w:val="28"/>
          <w:szCs w:val="28"/>
          <w:highlight w:val="none"/>
        </w:rPr>
      </w:pPr>
    </w:p>
    <w:p>
      <w:pPr>
        <w:pStyle w:val="19"/>
        <w:ind w:firstLine="1899" w:firstLineChars="591"/>
        <w:rPr>
          <w:rFonts w:hAnsi="宋体" w:cs="宋体"/>
          <w:b/>
          <w:sz w:val="32"/>
          <w:szCs w:val="32"/>
          <w:highlight w:val="none"/>
        </w:rPr>
      </w:pPr>
      <w:r>
        <w:rPr>
          <w:rFonts w:hint="eastAsia" w:hAnsi="宋体" w:cs="宋体"/>
          <w:b/>
          <w:sz w:val="32"/>
          <w:szCs w:val="32"/>
          <w:highlight w:val="none"/>
        </w:rPr>
        <w:t>投标人名称（盖章）：</w:t>
      </w:r>
    </w:p>
    <w:p>
      <w:pPr>
        <w:pStyle w:val="19"/>
        <w:ind w:firstLine="1899" w:firstLineChars="591"/>
        <w:rPr>
          <w:rFonts w:hAnsi="宋体" w:cs="宋体"/>
          <w:b/>
          <w:sz w:val="44"/>
          <w:highlight w:val="none"/>
        </w:rPr>
      </w:pPr>
      <w:r>
        <w:rPr>
          <w:rFonts w:hint="eastAsia" w:hAnsi="宋体" w:cs="宋体"/>
          <w:b/>
          <w:sz w:val="32"/>
          <w:szCs w:val="32"/>
          <w:highlight w:val="none"/>
        </w:rPr>
        <w:t>日期：  年  月  日</w:t>
      </w:r>
    </w:p>
    <w:p>
      <w:pPr>
        <w:spacing w:line="360" w:lineRule="auto"/>
        <w:jc w:val="center"/>
        <w:rPr>
          <w:rFonts w:ascii="宋体" w:hAnsi="宋体" w:cs="宋体"/>
          <w:b/>
          <w:sz w:val="44"/>
          <w:highlight w:val="none"/>
        </w:rPr>
      </w:pPr>
    </w:p>
    <w:p>
      <w:pPr>
        <w:spacing w:line="360" w:lineRule="auto"/>
        <w:jc w:val="center"/>
        <w:rPr>
          <w:rFonts w:ascii="宋体" w:hAnsi="宋体" w:cs="宋体"/>
          <w:b/>
          <w:sz w:val="44"/>
          <w:highlight w:val="none"/>
        </w:rPr>
      </w:pPr>
    </w:p>
    <w:p>
      <w:pPr>
        <w:rPr>
          <w:rFonts w:ascii="宋体" w:hAnsi="宋体" w:cs="宋体"/>
          <w:b/>
          <w:sz w:val="44"/>
          <w:highlight w:val="none"/>
        </w:rPr>
      </w:pPr>
    </w:p>
    <w:p>
      <w:pPr>
        <w:pStyle w:val="39"/>
        <w:ind w:left="0" w:firstLine="0" w:firstLineChars="0"/>
        <w:rPr>
          <w:rFonts w:cs="宋体"/>
          <w:b/>
          <w:sz w:val="44"/>
          <w:highlight w:val="none"/>
        </w:rPr>
      </w:pPr>
    </w:p>
    <w:p>
      <w:pPr>
        <w:jc w:val="center"/>
        <w:rPr>
          <w:rFonts w:ascii="宋体" w:hAnsi="宋体" w:cs="宋体"/>
          <w:b/>
          <w:sz w:val="44"/>
          <w:highlight w:val="none"/>
        </w:rPr>
      </w:pPr>
      <w:r>
        <w:rPr>
          <w:rFonts w:hint="eastAsia" w:ascii="宋体" w:hAnsi="宋体" w:cs="宋体"/>
          <w:b/>
          <w:sz w:val="44"/>
          <w:highlight w:val="none"/>
        </w:rPr>
        <w:t>目    录</w:t>
      </w:r>
    </w:p>
    <w:p>
      <w:pPr>
        <w:pStyle w:val="19"/>
        <w:spacing w:line="480" w:lineRule="exact"/>
        <w:rPr>
          <w:rFonts w:hAnsi="宋体" w:cs="宋体"/>
          <w:highlight w:val="none"/>
        </w:rPr>
      </w:pPr>
    </w:p>
    <w:p>
      <w:pPr>
        <w:pStyle w:val="19"/>
        <w:spacing w:line="480" w:lineRule="exact"/>
        <w:rPr>
          <w:rFonts w:hAnsi="宋体" w:cs="宋体"/>
          <w:highlight w:val="none"/>
        </w:rPr>
      </w:pPr>
      <w:r>
        <w:rPr>
          <w:rFonts w:hint="eastAsia" w:hAnsi="宋体" w:cs="宋体"/>
          <w:highlight w:val="none"/>
        </w:rPr>
        <w:t>一、自查表</w:t>
      </w:r>
    </w:p>
    <w:p>
      <w:pPr>
        <w:pStyle w:val="19"/>
        <w:spacing w:line="480" w:lineRule="exact"/>
        <w:rPr>
          <w:rFonts w:hAnsi="宋体" w:cs="宋体"/>
          <w:highlight w:val="none"/>
        </w:rPr>
      </w:pPr>
      <w:r>
        <w:rPr>
          <w:rFonts w:hint="eastAsia" w:hAnsi="宋体" w:cs="宋体"/>
          <w:highlight w:val="none"/>
        </w:rPr>
        <w:t>二、投标函</w:t>
      </w:r>
    </w:p>
    <w:p>
      <w:pPr>
        <w:pStyle w:val="19"/>
        <w:spacing w:line="480" w:lineRule="exact"/>
        <w:rPr>
          <w:rFonts w:hAnsi="宋体" w:cs="宋体"/>
          <w:highlight w:val="none"/>
        </w:rPr>
      </w:pPr>
      <w:r>
        <w:rPr>
          <w:rFonts w:hint="eastAsia" w:hAnsi="宋体" w:cs="宋体"/>
          <w:highlight w:val="none"/>
        </w:rPr>
        <w:t>三、法定代表人（或负责人）证明书</w:t>
      </w:r>
    </w:p>
    <w:p>
      <w:pPr>
        <w:pStyle w:val="19"/>
        <w:spacing w:line="480" w:lineRule="exact"/>
        <w:rPr>
          <w:rFonts w:hAnsi="宋体" w:cs="宋体"/>
          <w:highlight w:val="none"/>
        </w:rPr>
      </w:pPr>
      <w:r>
        <w:rPr>
          <w:rFonts w:hint="eastAsia" w:hAnsi="宋体" w:cs="宋体"/>
          <w:highlight w:val="none"/>
        </w:rPr>
        <w:t>四、法定代表人（或负责人）授权委托书</w:t>
      </w:r>
    </w:p>
    <w:p>
      <w:pPr>
        <w:pStyle w:val="19"/>
        <w:spacing w:line="480" w:lineRule="exact"/>
        <w:rPr>
          <w:rFonts w:hAnsi="宋体" w:cs="宋体"/>
          <w:highlight w:val="none"/>
        </w:rPr>
      </w:pPr>
      <w:r>
        <w:rPr>
          <w:rFonts w:hint="eastAsia" w:hAnsi="宋体" w:cs="宋体"/>
          <w:highlight w:val="none"/>
        </w:rPr>
        <w:t>五、资格证明文件</w:t>
      </w:r>
    </w:p>
    <w:p>
      <w:pPr>
        <w:pStyle w:val="19"/>
        <w:spacing w:line="480" w:lineRule="exact"/>
        <w:rPr>
          <w:rFonts w:hAnsi="宋体" w:cs="宋体"/>
          <w:highlight w:val="none"/>
        </w:rPr>
      </w:pPr>
      <w:bookmarkStart w:id="55" w:name="_Hlk64654020"/>
      <w:r>
        <w:rPr>
          <w:rFonts w:hint="eastAsia" w:hAnsi="宋体" w:cs="宋体"/>
          <w:highlight w:val="none"/>
        </w:rPr>
        <w:t>六、商务部分</w:t>
      </w:r>
    </w:p>
    <w:p>
      <w:pPr>
        <w:pStyle w:val="19"/>
        <w:spacing w:line="480" w:lineRule="exact"/>
        <w:rPr>
          <w:rFonts w:hAnsi="宋体" w:cs="宋体"/>
          <w:highlight w:val="none"/>
        </w:rPr>
      </w:pPr>
      <w:r>
        <w:rPr>
          <w:rFonts w:hint="eastAsia" w:hAnsi="宋体" w:cs="宋体"/>
          <w:highlight w:val="none"/>
        </w:rPr>
        <w:t>七、技术部分</w:t>
      </w:r>
    </w:p>
    <w:p>
      <w:pPr>
        <w:pStyle w:val="19"/>
        <w:spacing w:line="480" w:lineRule="exact"/>
        <w:rPr>
          <w:highlight w:val="none"/>
        </w:rPr>
      </w:pPr>
      <w:r>
        <w:rPr>
          <w:rFonts w:hint="eastAsia" w:hAnsi="宋体" w:cs="宋体"/>
          <w:highlight w:val="none"/>
        </w:rPr>
        <w:t>八、</w:t>
      </w:r>
      <w:r>
        <w:rPr>
          <w:rFonts w:hint="eastAsia"/>
          <w:highlight w:val="none"/>
        </w:rPr>
        <w:t>价格部分</w:t>
      </w:r>
    </w:p>
    <w:p>
      <w:pPr>
        <w:pStyle w:val="19"/>
        <w:spacing w:line="480" w:lineRule="exact"/>
        <w:rPr>
          <w:highlight w:val="none"/>
        </w:rPr>
      </w:pPr>
      <w:r>
        <w:rPr>
          <w:rFonts w:hint="eastAsia"/>
          <w:highlight w:val="none"/>
        </w:rPr>
        <w:t>九、</w:t>
      </w:r>
      <w:r>
        <w:rPr>
          <w:rFonts w:hint="eastAsia" w:hAnsi="宋体" w:cs="宋体"/>
          <w:highlight w:val="none"/>
        </w:rPr>
        <w:t>其他文件</w:t>
      </w:r>
    </w:p>
    <w:bookmarkEnd w:id="55"/>
    <w:p>
      <w:pPr>
        <w:pStyle w:val="19"/>
        <w:spacing w:line="480" w:lineRule="exact"/>
        <w:rPr>
          <w:rFonts w:hAnsi="宋体" w:cs="宋体"/>
          <w:highlight w:val="none"/>
        </w:rPr>
      </w:pPr>
    </w:p>
    <w:p>
      <w:pPr>
        <w:spacing w:line="360" w:lineRule="auto"/>
        <w:jc w:val="center"/>
        <w:outlineLvl w:val="1"/>
        <w:rPr>
          <w:rFonts w:ascii="宋体" w:hAnsi="宋体" w:cs="宋体"/>
          <w:sz w:val="21"/>
          <w:szCs w:val="21"/>
          <w:highlight w:val="none"/>
        </w:rPr>
      </w:pPr>
      <w:r>
        <w:rPr>
          <w:rFonts w:hint="eastAsia" w:ascii="宋体" w:hAnsi="宋体" w:cs="宋体"/>
          <w:highlight w:val="none"/>
        </w:rPr>
        <w:br w:type="page"/>
      </w:r>
      <w:bookmarkStart w:id="56" w:name="_Toc202251699"/>
      <w:bookmarkStart w:id="57" w:name="_Toc202816995"/>
      <w:bookmarkStart w:id="58" w:name="_Toc202251074"/>
      <w:bookmarkStart w:id="59" w:name="_Toc202820350"/>
      <w:bookmarkStart w:id="60" w:name="_Toc202819877"/>
      <w:bookmarkStart w:id="61" w:name="_Toc202254104"/>
      <w:bookmarkStart w:id="62" w:name="_Toc202252033"/>
      <w:r>
        <w:rPr>
          <w:rFonts w:hint="eastAsia" w:ascii="宋体" w:hAnsi="宋体" w:cs="宋体"/>
          <w:b/>
          <w:sz w:val="32"/>
          <w:szCs w:val="32"/>
          <w:highlight w:val="none"/>
        </w:rPr>
        <w:t>一、自查表</w:t>
      </w:r>
      <w:bookmarkEnd w:id="56"/>
      <w:bookmarkEnd w:id="57"/>
      <w:bookmarkEnd w:id="58"/>
      <w:bookmarkEnd w:id="59"/>
      <w:bookmarkEnd w:id="60"/>
      <w:bookmarkEnd w:id="61"/>
      <w:bookmarkEnd w:id="62"/>
    </w:p>
    <w:p>
      <w:pPr>
        <w:spacing w:line="360" w:lineRule="auto"/>
        <w:jc w:val="center"/>
        <w:rPr>
          <w:rFonts w:ascii="宋体" w:hAnsi="宋体" w:cs="宋体"/>
          <w:b/>
          <w:sz w:val="30"/>
          <w:szCs w:val="30"/>
          <w:highlight w:val="none"/>
        </w:rPr>
      </w:pPr>
      <w:bookmarkStart w:id="63" w:name="_Hlk33088609"/>
      <w:r>
        <w:rPr>
          <w:rFonts w:hint="eastAsia" w:ascii="宋体" w:hAnsi="宋体" w:cs="宋体"/>
          <w:b/>
          <w:sz w:val="30"/>
          <w:szCs w:val="30"/>
          <w:highlight w:val="none"/>
        </w:rPr>
        <w:t>1.1资格性自查表</w:t>
      </w:r>
      <w:bookmarkEnd w:id="63"/>
    </w:p>
    <w:tbl>
      <w:tblPr>
        <w:tblStyle w:val="40"/>
        <w:tblW w:w="4995" w:type="pct"/>
        <w:jc w:val="center"/>
        <w:tblLayout w:type="autofit"/>
        <w:tblCellMar>
          <w:top w:w="0" w:type="dxa"/>
          <w:left w:w="108" w:type="dxa"/>
          <w:bottom w:w="0" w:type="dxa"/>
          <w:right w:w="108" w:type="dxa"/>
        </w:tblCellMar>
      </w:tblPr>
      <w:tblGrid>
        <w:gridCol w:w="609"/>
        <w:gridCol w:w="1208"/>
        <w:gridCol w:w="4471"/>
        <w:gridCol w:w="1095"/>
        <w:gridCol w:w="1131"/>
      </w:tblGrid>
      <w:tr>
        <w:tblPrEx>
          <w:tblCellMar>
            <w:top w:w="0" w:type="dxa"/>
            <w:left w:w="108" w:type="dxa"/>
            <w:bottom w:w="0" w:type="dxa"/>
            <w:right w:w="108" w:type="dxa"/>
          </w:tblCellMar>
        </w:tblPrEx>
        <w:trPr>
          <w:trHeight w:val="28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序号</w:t>
            </w:r>
          </w:p>
        </w:tc>
        <w:tc>
          <w:tcPr>
            <w:tcW w:w="709" w:type="pct"/>
            <w:tcBorders>
              <w:top w:val="single" w:color="auto" w:sz="4" w:space="0"/>
              <w:left w:val="nil"/>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审查内容</w:t>
            </w:r>
          </w:p>
        </w:tc>
        <w:tc>
          <w:tcPr>
            <w:tcW w:w="2625" w:type="pct"/>
            <w:tcBorders>
              <w:top w:val="single" w:color="auto" w:sz="4" w:space="0"/>
              <w:left w:val="nil"/>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审查标准</w:t>
            </w:r>
          </w:p>
        </w:tc>
        <w:tc>
          <w:tcPr>
            <w:tcW w:w="643" w:type="pct"/>
            <w:tcBorders>
              <w:top w:val="single" w:color="auto" w:sz="4" w:space="0"/>
              <w:left w:val="nil"/>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自查结论</w:t>
            </w:r>
          </w:p>
        </w:tc>
        <w:tc>
          <w:tcPr>
            <w:tcW w:w="664" w:type="pct"/>
            <w:tcBorders>
              <w:top w:val="single" w:color="auto" w:sz="4" w:space="0"/>
              <w:left w:val="nil"/>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证明材料对应页码</w:t>
            </w:r>
          </w:p>
        </w:tc>
      </w:tr>
      <w:tr>
        <w:tblPrEx>
          <w:tblCellMar>
            <w:top w:w="0" w:type="dxa"/>
            <w:left w:w="108" w:type="dxa"/>
            <w:bottom w:w="0" w:type="dxa"/>
            <w:right w:w="108" w:type="dxa"/>
          </w:tblCellMar>
        </w:tblPrEx>
        <w:trPr>
          <w:trHeight w:val="1745" w:hRule="atLeast"/>
          <w:jc w:val="center"/>
        </w:trPr>
        <w:tc>
          <w:tcPr>
            <w:tcW w:w="358" w:type="pct"/>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1</w:t>
            </w:r>
          </w:p>
        </w:tc>
        <w:tc>
          <w:tcPr>
            <w:tcW w:w="709" w:type="pct"/>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投标人具备《中华人民共和国政府采购法》第二十二条所规定的条件</w:t>
            </w:r>
          </w:p>
        </w:tc>
        <w:tc>
          <w:tcPr>
            <w:tcW w:w="2625"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在中华人民共和国境内注册的法人或其他组织或自然人，参加投标时提交有效的营业执照（或事业法人登记证或身份证等相关证明）副本复印件。分支机构参加投标的，须提供总公司和分公司营业执照副本复印件，总公司出具给分支机构的授权书</w:t>
            </w:r>
          </w:p>
        </w:tc>
        <w:tc>
          <w:tcPr>
            <w:tcW w:w="643"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1301" w:hRule="atLeast"/>
          <w:jc w:val="center"/>
        </w:trPr>
        <w:tc>
          <w:tcPr>
            <w:tcW w:w="358" w:type="pct"/>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2</w:t>
            </w:r>
          </w:p>
        </w:tc>
        <w:tc>
          <w:tcPr>
            <w:tcW w:w="709" w:type="pct"/>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sz w:val="22"/>
                <w:szCs w:val="20"/>
                <w:highlight w:val="none"/>
              </w:rPr>
            </w:pPr>
          </w:p>
        </w:tc>
        <w:tc>
          <w:tcPr>
            <w:tcW w:w="2625"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提供投标文件提交截止时间前 6 个月内至少一个月依法缴纳税收和社会保障资金的相关材料复印件；如依法免税或不需要缴纳社会保障资金的，须提供相应证明材料复印件。</w:t>
            </w:r>
          </w:p>
        </w:tc>
        <w:tc>
          <w:tcPr>
            <w:tcW w:w="643"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882" w:hRule="atLeast"/>
          <w:jc w:val="center"/>
        </w:trPr>
        <w:tc>
          <w:tcPr>
            <w:tcW w:w="358" w:type="pct"/>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3</w:t>
            </w:r>
          </w:p>
        </w:tc>
        <w:tc>
          <w:tcPr>
            <w:tcW w:w="709" w:type="pct"/>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sz w:val="22"/>
                <w:szCs w:val="20"/>
                <w:highlight w:val="none"/>
              </w:rPr>
            </w:pPr>
          </w:p>
        </w:tc>
        <w:tc>
          <w:tcPr>
            <w:tcW w:w="2625"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提供2020年度或2021年度财务状况报告(新成立不足一年的公司提供成立至今的月或季度财务报表复印件)或基本开户行出具的资信证明</w:t>
            </w:r>
          </w:p>
        </w:tc>
        <w:tc>
          <w:tcPr>
            <w:tcW w:w="643"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1122" w:hRule="atLeast"/>
          <w:jc w:val="center"/>
        </w:trPr>
        <w:tc>
          <w:tcPr>
            <w:tcW w:w="358" w:type="pct"/>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4</w:t>
            </w:r>
          </w:p>
        </w:tc>
        <w:tc>
          <w:tcPr>
            <w:tcW w:w="709" w:type="pct"/>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sz w:val="22"/>
                <w:szCs w:val="20"/>
                <w:highlight w:val="none"/>
              </w:rPr>
            </w:pPr>
          </w:p>
        </w:tc>
        <w:tc>
          <w:tcPr>
            <w:tcW w:w="2625"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履行合同所必需的设备和专业技术能力：按投标文件格式填报设备及专业技术能力情况</w:t>
            </w:r>
          </w:p>
        </w:tc>
        <w:tc>
          <w:tcPr>
            <w:tcW w:w="643"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990" w:hRule="atLeast"/>
          <w:jc w:val="center"/>
        </w:trPr>
        <w:tc>
          <w:tcPr>
            <w:tcW w:w="358" w:type="pct"/>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5</w:t>
            </w:r>
          </w:p>
        </w:tc>
        <w:tc>
          <w:tcPr>
            <w:tcW w:w="709" w:type="pct"/>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p>
        </w:tc>
        <w:tc>
          <w:tcPr>
            <w:tcW w:w="2625"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参加政府采购活动前3年内，在经营活动中没有重大违法记录：参照投标函相关承诺格式内容。重大违法记录，是指供应商因违法经营受到刑事处罚或者责令停产停业、吊销许可证或者执照、较大数额罚款等行政处罚。（</w:t>
            </w:r>
            <w:r>
              <w:rPr>
                <w:rFonts w:hint="eastAsia" w:ascii="宋体" w:hAnsi="宋体" w:cs="宋体"/>
                <w:sz w:val="22"/>
                <w:szCs w:val="20"/>
                <w:highlight w:val="none"/>
                <w:lang w:eastAsia="zh-CN"/>
              </w:rPr>
              <w:t>根据财库〔2022〕3号文，“较大数额罚款”认定为200万元以上的罚款，法律、行政法规以及国务院有关部门明确规定相关领域“较大数额罚款”标准高于200万元的，从其规定</w:t>
            </w:r>
            <w:r>
              <w:rPr>
                <w:rFonts w:hint="eastAsia" w:ascii="宋体" w:hAnsi="宋体" w:cs="宋体"/>
                <w:sz w:val="22"/>
                <w:szCs w:val="20"/>
                <w:highlight w:val="none"/>
              </w:rPr>
              <w:t>）</w:t>
            </w:r>
          </w:p>
        </w:tc>
        <w:tc>
          <w:tcPr>
            <w:tcW w:w="643"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1220" w:hRule="atLeast"/>
          <w:jc w:val="center"/>
        </w:trPr>
        <w:tc>
          <w:tcPr>
            <w:tcW w:w="358" w:type="pct"/>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6</w:t>
            </w:r>
          </w:p>
        </w:tc>
        <w:tc>
          <w:tcPr>
            <w:tcW w:w="70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落实政府采购政策需满足的资格要求</w:t>
            </w:r>
          </w:p>
        </w:tc>
        <w:tc>
          <w:tcPr>
            <w:tcW w:w="26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本项目专门面向中小企业，所属行业为</w:t>
            </w:r>
            <w:r>
              <w:rPr>
                <w:rFonts w:hint="eastAsia" w:ascii="宋体" w:hAnsi="宋体" w:cs="宋体"/>
                <w:sz w:val="22"/>
                <w:szCs w:val="20"/>
                <w:highlight w:val="none"/>
                <w:lang w:eastAsia="zh-CN"/>
              </w:rPr>
              <w:t>物业管理行业</w:t>
            </w:r>
            <w:r>
              <w:rPr>
                <w:rFonts w:hint="eastAsia" w:ascii="宋体" w:hAnsi="宋体" w:cs="宋体"/>
                <w:sz w:val="22"/>
                <w:szCs w:val="20"/>
                <w:highlight w:val="none"/>
              </w:rPr>
              <w:t>。供应商须提供符合本项目采购标的对应行业的政策划分标准。监狱企业、残疾人福利单位视同小型、微型企业。（注：中小企业以供应商填写的《中小企业声明函》（见投标文件格式）为判定标准，残疾人福利性单位以供应商填写的《残疾人福利性单位声明函》（见投标文件格式）为判定标准，监狱企业须供应商提供由省级以上监狱管理局、戒毒管理局（含新疆生产建设兵团）出具的属于监狱企业的证明文件，否则不予认定。）</w:t>
            </w:r>
          </w:p>
        </w:tc>
        <w:tc>
          <w:tcPr>
            <w:tcW w:w="64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1220" w:hRule="atLeast"/>
          <w:jc w:val="center"/>
        </w:trPr>
        <w:tc>
          <w:tcPr>
            <w:tcW w:w="358" w:type="pct"/>
            <w:tcBorders>
              <w:top w:val="nil"/>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7</w:t>
            </w:r>
          </w:p>
        </w:tc>
        <w:tc>
          <w:tcPr>
            <w:tcW w:w="70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p>
        </w:tc>
        <w:tc>
          <w:tcPr>
            <w:tcW w:w="26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供应商为中型企业的，必须承诺中标后分包给小微企业，且小微企业承担部分须达到整体合同金额的18%或以上，投标时提供《分包意向协议书》</w:t>
            </w:r>
          </w:p>
        </w:tc>
        <w:tc>
          <w:tcPr>
            <w:tcW w:w="64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nil"/>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1220"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8</w:t>
            </w:r>
          </w:p>
        </w:tc>
        <w:tc>
          <w:tcPr>
            <w:tcW w:w="70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符合《中华人民共和国政府采购法实施条例》第十八条的规定</w:t>
            </w:r>
          </w:p>
        </w:tc>
        <w:tc>
          <w:tcPr>
            <w:tcW w:w="26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单位负责人为同一人或者存在直接控股、管理关系的不同供应商，不得参加同一合同项下的政府采购活动；</w:t>
            </w:r>
          </w:p>
        </w:tc>
        <w:tc>
          <w:tcPr>
            <w:tcW w:w="64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1149"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9</w:t>
            </w:r>
          </w:p>
        </w:tc>
        <w:tc>
          <w:tcPr>
            <w:tcW w:w="70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p>
        </w:tc>
        <w:tc>
          <w:tcPr>
            <w:tcW w:w="26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除单一来源采购项目外，为采购项目提供整体设计、规范编制或者项目管理、监理、检测等服务的供应商，不得再参加该采购项目的其他采购活动；</w:t>
            </w:r>
          </w:p>
        </w:tc>
        <w:tc>
          <w:tcPr>
            <w:tcW w:w="643" w:type="pct"/>
            <w:tcBorders>
              <w:top w:val="single" w:color="auto" w:sz="4" w:space="0"/>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single" w:color="auto" w:sz="4" w:space="0"/>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90"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0"/>
                <w:highlight w:val="none"/>
                <w:lang w:val="en-US" w:eastAsia="zh-CN"/>
              </w:rPr>
            </w:pPr>
            <w:r>
              <w:rPr>
                <w:rFonts w:hint="eastAsia" w:ascii="宋体" w:hAnsi="宋体" w:cs="宋体"/>
                <w:sz w:val="22"/>
                <w:szCs w:val="20"/>
                <w:highlight w:val="none"/>
              </w:rPr>
              <w:t>1</w:t>
            </w:r>
            <w:r>
              <w:rPr>
                <w:rFonts w:hint="eastAsia" w:ascii="宋体" w:hAnsi="宋体" w:cs="宋体"/>
                <w:sz w:val="22"/>
                <w:szCs w:val="20"/>
                <w:highlight w:val="none"/>
                <w:lang w:val="en-US" w:eastAsia="zh-CN"/>
              </w:rPr>
              <w:t>0</w:t>
            </w:r>
          </w:p>
        </w:tc>
        <w:tc>
          <w:tcPr>
            <w:tcW w:w="7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信用记录</w:t>
            </w:r>
          </w:p>
        </w:tc>
        <w:tc>
          <w:tcPr>
            <w:tcW w:w="2625"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供应商未被列入“信用中国”网站(www.creditchina.gov.cn)</w:t>
            </w:r>
            <w:r>
              <w:rPr>
                <w:rFonts w:hint="eastAsia" w:ascii="宋体" w:hAnsi="宋体" w:cs="宋体"/>
                <w:sz w:val="22"/>
                <w:szCs w:val="20"/>
                <w:highlight w:val="none"/>
                <w:lang w:eastAsia="zh-CN"/>
              </w:rPr>
              <w:t>“记录失信被执行人或税收违法黑名单”</w:t>
            </w:r>
            <w:r>
              <w:rPr>
                <w:rFonts w:hint="eastAsia" w:ascii="宋体" w:hAnsi="宋体" w:cs="宋体"/>
                <w:sz w:val="22"/>
                <w:szCs w:val="20"/>
                <w:highlight w:val="none"/>
              </w:rPr>
              <w:t>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tc>
        <w:tc>
          <w:tcPr>
            <w:tcW w:w="64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r>
        <w:tblPrEx>
          <w:tblCellMar>
            <w:top w:w="0" w:type="dxa"/>
            <w:left w:w="108" w:type="dxa"/>
            <w:bottom w:w="0" w:type="dxa"/>
            <w:right w:w="108" w:type="dxa"/>
          </w:tblCellMar>
        </w:tblPrEx>
        <w:trPr>
          <w:trHeight w:val="766"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0"/>
                <w:highlight w:val="none"/>
                <w:lang w:val="en-US" w:eastAsia="zh-CN"/>
              </w:rPr>
            </w:pPr>
            <w:r>
              <w:rPr>
                <w:rFonts w:hint="eastAsia" w:ascii="宋体" w:hAnsi="宋体" w:cs="宋体"/>
                <w:sz w:val="22"/>
                <w:szCs w:val="20"/>
                <w:highlight w:val="none"/>
              </w:rPr>
              <w:t>1</w:t>
            </w:r>
            <w:r>
              <w:rPr>
                <w:rFonts w:hint="eastAsia" w:ascii="宋体" w:hAnsi="宋体" w:cs="宋体"/>
                <w:sz w:val="22"/>
                <w:szCs w:val="20"/>
                <w:highlight w:val="none"/>
                <w:lang w:val="en-US" w:eastAsia="zh-CN"/>
              </w:rPr>
              <w:t>1</w:t>
            </w:r>
          </w:p>
        </w:tc>
        <w:tc>
          <w:tcPr>
            <w:tcW w:w="709" w:type="pct"/>
            <w:tcBorders>
              <w:top w:val="single" w:color="auto" w:sz="4" w:space="0"/>
              <w:left w:val="nil"/>
              <w:bottom w:val="single" w:color="auto" w:sz="4" w:space="0"/>
              <w:right w:val="single" w:color="auto" w:sz="4" w:space="0"/>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联合体</w:t>
            </w:r>
          </w:p>
        </w:tc>
        <w:tc>
          <w:tcPr>
            <w:tcW w:w="2625" w:type="pct"/>
            <w:tcBorders>
              <w:top w:val="single" w:color="auto" w:sz="4" w:space="0"/>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本项目不允许联合体</w:t>
            </w:r>
          </w:p>
        </w:tc>
        <w:tc>
          <w:tcPr>
            <w:tcW w:w="643" w:type="pct"/>
            <w:tcBorders>
              <w:top w:val="single" w:color="auto" w:sz="4" w:space="0"/>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□通过</w:t>
            </w:r>
          </w:p>
          <w:p>
            <w:pPr>
              <w:rPr>
                <w:rFonts w:ascii="宋体" w:hAnsi="宋体" w:cs="宋体"/>
                <w:sz w:val="22"/>
                <w:szCs w:val="20"/>
                <w:highlight w:val="none"/>
              </w:rPr>
            </w:pPr>
            <w:r>
              <w:rPr>
                <w:rFonts w:hint="eastAsia" w:ascii="宋体" w:hAnsi="宋体" w:cs="宋体"/>
                <w:sz w:val="22"/>
                <w:szCs w:val="20"/>
                <w:highlight w:val="none"/>
              </w:rPr>
              <w:t>□不通过</w:t>
            </w:r>
          </w:p>
        </w:tc>
        <w:tc>
          <w:tcPr>
            <w:tcW w:w="664" w:type="pct"/>
            <w:tcBorders>
              <w:top w:val="single" w:color="auto" w:sz="4" w:space="0"/>
              <w:left w:val="nil"/>
              <w:bottom w:val="single" w:color="auto" w:sz="4" w:space="0"/>
              <w:right w:val="single" w:color="auto" w:sz="4" w:space="0"/>
            </w:tcBorders>
            <w:vAlign w:val="center"/>
          </w:tcPr>
          <w:p>
            <w:pPr>
              <w:rPr>
                <w:rFonts w:ascii="宋体" w:hAnsi="宋体" w:cs="宋体"/>
                <w:sz w:val="22"/>
                <w:szCs w:val="20"/>
                <w:highlight w:val="none"/>
              </w:rPr>
            </w:pPr>
            <w:r>
              <w:rPr>
                <w:rFonts w:hint="eastAsia" w:ascii="宋体" w:hAnsi="宋体" w:cs="宋体"/>
                <w:sz w:val="22"/>
                <w:szCs w:val="20"/>
                <w:highlight w:val="none"/>
              </w:rPr>
              <w:t>见投标文件第（）页</w:t>
            </w:r>
          </w:p>
        </w:tc>
      </w:tr>
    </w:tbl>
    <w:p>
      <w:pPr>
        <w:rPr>
          <w:rFonts w:ascii="宋体" w:hAnsi="宋体" w:cs="宋体"/>
          <w:highlight w:val="none"/>
        </w:rPr>
      </w:pPr>
    </w:p>
    <w:p>
      <w:pPr>
        <w:pStyle w:val="11"/>
        <w:spacing w:line="360" w:lineRule="exact"/>
        <w:rPr>
          <w:rFonts w:ascii="宋体" w:hAnsi="宋体" w:cs="宋体"/>
          <w:b/>
          <w:bCs/>
          <w:sz w:val="24"/>
          <w:highlight w:val="none"/>
        </w:rPr>
      </w:pPr>
      <w:r>
        <w:rPr>
          <w:rFonts w:hint="eastAsia" w:ascii="宋体" w:hAnsi="宋体" w:cs="宋体"/>
          <w:sz w:val="24"/>
          <w:highlight w:val="none"/>
        </w:rPr>
        <w:t>注：以上材料将作为供应商合格性和有效性审核的重要内容之一，供应商必须严格按照其内容及序列要求在响应文件中对应如实提供，对缺漏和不符合项将会直接导致无效响应！</w:t>
      </w:r>
      <w:r>
        <w:rPr>
          <w:rFonts w:hint="eastAsia" w:ascii="宋体" w:hAnsi="宋体" w:cs="宋体"/>
          <w:b/>
          <w:bCs/>
          <w:sz w:val="24"/>
          <w:highlight w:val="none"/>
        </w:rPr>
        <w:t>在对应的□打“√”。</w:t>
      </w:r>
    </w:p>
    <w:p>
      <w:pPr>
        <w:adjustRightInd w:val="0"/>
        <w:snapToGrid w:val="0"/>
        <w:spacing w:line="300" w:lineRule="auto"/>
        <w:rPr>
          <w:rFonts w:ascii="宋体" w:hAnsi="宋体" w:cs="宋体"/>
          <w:szCs w:val="21"/>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pStyle w:val="34"/>
        <w:rPr>
          <w:highlight w:val="none"/>
        </w:rPr>
      </w:pPr>
    </w:p>
    <w:p>
      <w:pPr>
        <w:spacing w:line="360" w:lineRule="auto"/>
        <w:rPr>
          <w:rFonts w:ascii="宋体" w:hAnsi="宋体" w:cs="宋体"/>
          <w:b/>
          <w:sz w:val="32"/>
          <w:szCs w:val="32"/>
          <w:highlight w:val="none"/>
        </w:rPr>
        <w:sectPr>
          <w:pgSz w:w="11907" w:h="16840"/>
          <w:pgMar w:top="1440" w:right="1800" w:bottom="1440" w:left="1800" w:header="737" w:footer="737" w:gutter="0"/>
          <w:pgNumType w:fmt="decimal"/>
          <w:cols w:space="720" w:num="1"/>
          <w:docGrid w:linePitch="312" w:charSpace="0"/>
        </w:sectPr>
      </w:pP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1.2符合性自查表</w:t>
      </w:r>
    </w:p>
    <w:tbl>
      <w:tblPr>
        <w:tblStyle w:val="40"/>
        <w:tblW w:w="4994" w:type="pct"/>
        <w:jc w:val="center"/>
        <w:tblLayout w:type="autofit"/>
        <w:tblCellMar>
          <w:top w:w="0" w:type="dxa"/>
          <w:left w:w="108" w:type="dxa"/>
          <w:bottom w:w="0" w:type="dxa"/>
          <w:right w:w="108" w:type="dxa"/>
        </w:tblCellMar>
      </w:tblPr>
      <w:tblGrid>
        <w:gridCol w:w="700"/>
        <w:gridCol w:w="1519"/>
        <w:gridCol w:w="3567"/>
        <w:gridCol w:w="1252"/>
        <w:gridCol w:w="1475"/>
      </w:tblGrid>
      <w:tr>
        <w:tblPrEx>
          <w:tblCellMar>
            <w:top w:w="0" w:type="dxa"/>
            <w:left w:w="108" w:type="dxa"/>
            <w:bottom w:w="0" w:type="dxa"/>
            <w:right w:w="108" w:type="dxa"/>
          </w:tblCellMar>
        </w:tblPrEx>
        <w:trPr>
          <w:trHeight w:val="964"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序号</w:t>
            </w:r>
          </w:p>
        </w:tc>
        <w:tc>
          <w:tcPr>
            <w:tcW w:w="892" w:type="pct"/>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审查内容</w:t>
            </w:r>
          </w:p>
        </w:tc>
        <w:tc>
          <w:tcPr>
            <w:tcW w:w="2094" w:type="pct"/>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审查标准</w:t>
            </w:r>
          </w:p>
        </w:tc>
        <w:tc>
          <w:tcPr>
            <w:tcW w:w="735" w:type="pct"/>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自查结论</w:t>
            </w:r>
          </w:p>
        </w:tc>
        <w:tc>
          <w:tcPr>
            <w:tcW w:w="866" w:type="pct"/>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证明材料对应页码</w:t>
            </w:r>
          </w:p>
        </w:tc>
      </w:tr>
      <w:tr>
        <w:tblPrEx>
          <w:tblCellMar>
            <w:top w:w="0" w:type="dxa"/>
            <w:left w:w="108" w:type="dxa"/>
            <w:bottom w:w="0" w:type="dxa"/>
            <w:right w:w="108" w:type="dxa"/>
          </w:tblCellMar>
        </w:tblPrEx>
        <w:trPr>
          <w:trHeight w:val="964" w:hRule="atLeast"/>
          <w:jc w:val="center"/>
        </w:trPr>
        <w:tc>
          <w:tcPr>
            <w:tcW w:w="411"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1</w:t>
            </w:r>
          </w:p>
        </w:tc>
        <w:tc>
          <w:tcPr>
            <w:tcW w:w="892"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投标函</w:t>
            </w:r>
          </w:p>
        </w:tc>
        <w:tc>
          <w:tcPr>
            <w:tcW w:w="2094"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按对应格式文件填写、签署、盖章、有效</w:t>
            </w:r>
          </w:p>
        </w:tc>
        <w:tc>
          <w:tcPr>
            <w:tcW w:w="735"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□通过</w:t>
            </w:r>
          </w:p>
          <w:p>
            <w:pPr>
              <w:rPr>
                <w:rFonts w:ascii="宋体" w:hAnsi="宋体" w:cs="宋体"/>
                <w:highlight w:val="none"/>
              </w:rPr>
            </w:pPr>
            <w:r>
              <w:rPr>
                <w:rFonts w:hint="eastAsia" w:ascii="宋体" w:hAnsi="宋体" w:cs="宋体"/>
                <w:highlight w:val="none"/>
              </w:rPr>
              <w:t>□不通过</w:t>
            </w:r>
          </w:p>
        </w:tc>
        <w:tc>
          <w:tcPr>
            <w:tcW w:w="866"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szCs w:val="21"/>
                <w:highlight w:val="none"/>
              </w:rPr>
              <w:t>见投标文件第（）页</w:t>
            </w:r>
          </w:p>
        </w:tc>
      </w:tr>
      <w:tr>
        <w:tblPrEx>
          <w:tblCellMar>
            <w:top w:w="0" w:type="dxa"/>
            <w:left w:w="108" w:type="dxa"/>
            <w:bottom w:w="0" w:type="dxa"/>
            <w:right w:w="108" w:type="dxa"/>
          </w:tblCellMar>
        </w:tblPrEx>
        <w:trPr>
          <w:trHeight w:val="1164" w:hRule="atLeast"/>
          <w:jc w:val="center"/>
        </w:trPr>
        <w:tc>
          <w:tcPr>
            <w:tcW w:w="411"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2</w:t>
            </w:r>
          </w:p>
        </w:tc>
        <w:tc>
          <w:tcPr>
            <w:tcW w:w="892"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lang w:eastAsia="zh-CN"/>
              </w:rPr>
              <w:t>法定代表人（或负责人）证明书及授权委托书</w:t>
            </w:r>
          </w:p>
        </w:tc>
        <w:tc>
          <w:tcPr>
            <w:tcW w:w="2094"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按对应格式文件填写、签署、盖章、有效</w:t>
            </w:r>
          </w:p>
        </w:tc>
        <w:tc>
          <w:tcPr>
            <w:tcW w:w="735"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□通过</w:t>
            </w:r>
          </w:p>
          <w:p>
            <w:pPr>
              <w:rPr>
                <w:rFonts w:ascii="宋体" w:hAnsi="宋体" w:cs="宋体"/>
                <w:highlight w:val="none"/>
              </w:rPr>
            </w:pPr>
            <w:r>
              <w:rPr>
                <w:rFonts w:hint="eastAsia" w:ascii="宋体" w:hAnsi="宋体" w:cs="宋体"/>
                <w:highlight w:val="none"/>
              </w:rPr>
              <w:t>□不通过</w:t>
            </w:r>
          </w:p>
        </w:tc>
        <w:tc>
          <w:tcPr>
            <w:tcW w:w="866"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szCs w:val="21"/>
                <w:highlight w:val="none"/>
              </w:rPr>
              <w:t>见投标文件第（）页</w:t>
            </w:r>
          </w:p>
        </w:tc>
      </w:tr>
      <w:tr>
        <w:tblPrEx>
          <w:tblCellMar>
            <w:top w:w="0" w:type="dxa"/>
            <w:left w:w="108" w:type="dxa"/>
            <w:bottom w:w="0" w:type="dxa"/>
            <w:right w:w="108" w:type="dxa"/>
          </w:tblCellMar>
        </w:tblPrEx>
        <w:trPr>
          <w:trHeight w:val="1148" w:hRule="atLeast"/>
          <w:jc w:val="center"/>
        </w:trPr>
        <w:tc>
          <w:tcPr>
            <w:tcW w:w="411"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3</w:t>
            </w:r>
          </w:p>
        </w:tc>
        <w:tc>
          <w:tcPr>
            <w:tcW w:w="892"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报价要求</w:t>
            </w:r>
          </w:p>
        </w:tc>
        <w:tc>
          <w:tcPr>
            <w:tcW w:w="2094" w:type="pct"/>
            <w:tcBorders>
              <w:top w:val="nil"/>
              <w:left w:val="nil"/>
              <w:bottom w:val="single" w:color="auto" w:sz="4" w:space="0"/>
              <w:right w:val="single" w:color="auto" w:sz="4" w:space="0"/>
            </w:tcBorders>
            <w:vAlign w:val="center"/>
          </w:tcPr>
          <w:p>
            <w:pPr>
              <w:pStyle w:val="119"/>
              <w:rPr>
                <w:rFonts w:ascii="宋体" w:hAnsi="宋体" w:eastAsia="宋体" w:cs="宋体"/>
                <w:color w:val="auto"/>
                <w:highlight w:val="none"/>
              </w:rPr>
            </w:pPr>
            <w:r>
              <w:rPr>
                <w:rFonts w:hint="eastAsia" w:ascii="宋体" w:hAnsi="宋体" w:eastAsia="宋体" w:cs="宋体"/>
                <w:color w:val="auto"/>
                <w:highlight w:val="none"/>
              </w:rPr>
              <w:t>1）报价未超过本项目最高限价规定；</w:t>
            </w:r>
          </w:p>
          <w:p>
            <w:pPr>
              <w:pStyle w:val="119"/>
              <w:rPr>
                <w:rFonts w:ascii="宋体" w:hAnsi="宋体" w:eastAsia="宋体" w:cs="宋体"/>
                <w:color w:val="auto"/>
                <w:highlight w:val="none"/>
              </w:rPr>
            </w:pPr>
            <w:r>
              <w:rPr>
                <w:rFonts w:hint="eastAsia" w:ascii="宋体" w:hAnsi="宋体" w:eastAsia="宋体" w:cs="宋体"/>
                <w:color w:val="auto"/>
                <w:highlight w:val="none"/>
              </w:rPr>
              <w:t>2）对本项目内全部内容进行报价；</w:t>
            </w:r>
          </w:p>
          <w:p>
            <w:pPr>
              <w:pStyle w:val="119"/>
              <w:rPr>
                <w:rFonts w:ascii="宋体" w:hAnsi="宋体" w:eastAsia="宋体" w:cs="宋体"/>
                <w:color w:val="auto"/>
                <w:highlight w:val="none"/>
              </w:rPr>
            </w:pPr>
            <w:r>
              <w:rPr>
                <w:rFonts w:hint="eastAsia" w:ascii="宋体" w:hAnsi="宋体" w:eastAsia="宋体" w:cs="宋体"/>
                <w:color w:val="auto"/>
                <w:highlight w:val="none"/>
              </w:rPr>
              <w:t>3）报价不低于成本价,且是唯一确定的；</w:t>
            </w:r>
          </w:p>
        </w:tc>
        <w:tc>
          <w:tcPr>
            <w:tcW w:w="735"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□通过</w:t>
            </w:r>
          </w:p>
          <w:p>
            <w:pPr>
              <w:rPr>
                <w:rFonts w:ascii="宋体" w:hAnsi="宋体" w:cs="宋体"/>
                <w:highlight w:val="none"/>
              </w:rPr>
            </w:pPr>
            <w:r>
              <w:rPr>
                <w:rFonts w:hint="eastAsia" w:ascii="宋体" w:hAnsi="宋体" w:cs="宋体"/>
                <w:highlight w:val="none"/>
              </w:rPr>
              <w:t>□不通过</w:t>
            </w:r>
          </w:p>
        </w:tc>
        <w:tc>
          <w:tcPr>
            <w:tcW w:w="866"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szCs w:val="21"/>
                <w:highlight w:val="none"/>
              </w:rPr>
              <w:t>见投标文件第（）页</w:t>
            </w:r>
          </w:p>
        </w:tc>
      </w:tr>
      <w:tr>
        <w:tblPrEx>
          <w:tblCellMar>
            <w:top w:w="0" w:type="dxa"/>
            <w:left w:w="108" w:type="dxa"/>
            <w:bottom w:w="0" w:type="dxa"/>
            <w:right w:w="108" w:type="dxa"/>
          </w:tblCellMar>
        </w:tblPrEx>
        <w:trPr>
          <w:trHeight w:val="964" w:hRule="atLeast"/>
          <w:jc w:val="center"/>
        </w:trPr>
        <w:tc>
          <w:tcPr>
            <w:tcW w:w="411"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4</w:t>
            </w:r>
          </w:p>
        </w:tc>
        <w:tc>
          <w:tcPr>
            <w:tcW w:w="892"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有效期</w:t>
            </w:r>
          </w:p>
        </w:tc>
        <w:tc>
          <w:tcPr>
            <w:tcW w:w="2094" w:type="pct"/>
            <w:tcBorders>
              <w:top w:val="nil"/>
              <w:left w:val="nil"/>
              <w:bottom w:val="single" w:color="auto" w:sz="4" w:space="0"/>
              <w:right w:val="single" w:color="auto" w:sz="4" w:space="0"/>
            </w:tcBorders>
            <w:vAlign w:val="center"/>
          </w:tcPr>
          <w:p>
            <w:pPr>
              <w:pStyle w:val="119"/>
              <w:rPr>
                <w:rFonts w:ascii="宋体" w:hAnsi="宋体" w:eastAsia="宋体" w:cs="宋体"/>
                <w:color w:val="auto"/>
                <w:highlight w:val="none"/>
              </w:rPr>
            </w:pPr>
            <w:r>
              <w:rPr>
                <w:rFonts w:hint="eastAsia" w:ascii="宋体" w:hAnsi="宋体" w:eastAsia="宋体" w:cs="宋体"/>
                <w:color w:val="auto"/>
                <w:highlight w:val="none"/>
              </w:rPr>
              <w:t>递交投标文件截止日起90天</w:t>
            </w:r>
          </w:p>
        </w:tc>
        <w:tc>
          <w:tcPr>
            <w:tcW w:w="735"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□通过</w:t>
            </w:r>
          </w:p>
          <w:p>
            <w:pPr>
              <w:rPr>
                <w:rFonts w:ascii="宋体" w:hAnsi="宋体" w:cs="宋体"/>
                <w:highlight w:val="none"/>
              </w:rPr>
            </w:pPr>
            <w:r>
              <w:rPr>
                <w:rFonts w:hint="eastAsia" w:ascii="宋体" w:hAnsi="宋体" w:cs="宋体"/>
                <w:highlight w:val="none"/>
              </w:rPr>
              <w:t>□不通过</w:t>
            </w:r>
          </w:p>
        </w:tc>
        <w:tc>
          <w:tcPr>
            <w:tcW w:w="866"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szCs w:val="21"/>
                <w:highlight w:val="none"/>
              </w:rPr>
              <w:t>见投标文件第（）页</w:t>
            </w:r>
          </w:p>
        </w:tc>
      </w:tr>
      <w:tr>
        <w:tblPrEx>
          <w:tblCellMar>
            <w:top w:w="0" w:type="dxa"/>
            <w:left w:w="108" w:type="dxa"/>
            <w:bottom w:w="0" w:type="dxa"/>
            <w:right w:w="108" w:type="dxa"/>
          </w:tblCellMar>
        </w:tblPrEx>
        <w:trPr>
          <w:trHeight w:val="964" w:hRule="atLeast"/>
          <w:jc w:val="center"/>
        </w:trPr>
        <w:tc>
          <w:tcPr>
            <w:tcW w:w="411"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5</w:t>
            </w:r>
          </w:p>
        </w:tc>
        <w:tc>
          <w:tcPr>
            <w:tcW w:w="892"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投标文件</w:t>
            </w:r>
          </w:p>
        </w:tc>
        <w:tc>
          <w:tcPr>
            <w:tcW w:w="2094" w:type="pct"/>
            <w:tcBorders>
              <w:top w:val="nil"/>
              <w:left w:val="nil"/>
              <w:bottom w:val="single" w:color="auto" w:sz="4" w:space="0"/>
              <w:right w:val="single" w:color="auto" w:sz="4" w:space="0"/>
            </w:tcBorders>
            <w:vAlign w:val="center"/>
          </w:tcPr>
          <w:p>
            <w:pPr>
              <w:pStyle w:val="119"/>
              <w:rPr>
                <w:rFonts w:ascii="宋体" w:hAnsi="宋体" w:eastAsia="宋体" w:cs="宋体"/>
                <w:color w:val="auto"/>
                <w:highlight w:val="none"/>
              </w:rPr>
            </w:pPr>
            <w:r>
              <w:rPr>
                <w:rFonts w:hint="eastAsia" w:ascii="宋体" w:hAnsi="宋体" w:eastAsia="宋体" w:cs="宋体"/>
                <w:color w:val="auto"/>
                <w:highlight w:val="none"/>
              </w:rPr>
              <w:t>投标文件完整，无重大错漏，按照招标文件规定要求签署、盖章</w:t>
            </w:r>
          </w:p>
        </w:tc>
        <w:tc>
          <w:tcPr>
            <w:tcW w:w="735"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□通过</w:t>
            </w:r>
          </w:p>
          <w:p>
            <w:pPr>
              <w:rPr>
                <w:rFonts w:ascii="宋体" w:hAnsi="宋体" w:cs="宋体"/>
                <w:highlight w:val="none"/>
              </w:rPr>
            </w:pPr>
            <w:r>
              <w:rPr>
                <w:rFonts w:hint="eastAsia" w:ascii="宋体" w:hAnsi="宋体" w:cs="宋体"/>
                <w:highlight w:val="none"/>
              </w:rPr>
              <w:t>□不通过</w:t>
            </w:r>
          </w:p>
        </w:tc>
        <w:tc>
          <w:tcPr>
            <w:tcW w:w="866"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szCs w:val="21"/>
                <w:highlight w:val="none"/>
              </w:rPr>
              <w:t>见投标文件第（）页</w:t>
            </w:r>
          </w:p>
        </w:tc>
      </w:tr>
      <w:tr>
        <w:tblPrEx>
          <w:tblCellMar>
            <w:top w:w="0" w:type="dxa"/>
            <w:left w:w="108" w:type="dxa"/>
            <w:bottom w:w="0" w:type="dxa"/>
            <w:right w:w="108" w:type="dxa"/>
          </w:tblCellMar>
        </w:tblPrEx>
        <w:trPr>
          <w:trHeight w:val="964" w:hRule="atLeast"/>
          <w:jc w:val="center"/>
        </w:trPr>
        <w:tc>
          <w:tcPr>
            <w:tcW w:w="411"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6</w:t>
            </w:r>
          </w:p>
        </w:tc>
        <w:tc>
          <w:tcPr>
            <w:tcW w:w="892"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实质响应</w:t>
            </w:r>
          </w:p>
        </w:tc>
        <w:tc>
          <w:tcPr>
            <w:tcW w:w="2094" w:type="pct"/>
            <w:tcBorders>
              <w:top w:val="nil"/>
              <w:left w:val="nil"/>
              <w:bottom w:val="single" w:color="auto" w:sz="4" w:space="0"/>
              <w:right w:val="single" w:color="auto" w:sz="4" w:space="0"/>
            </w:tcBorders>
            <w:vAlign w:val="center"/>
          </w:tcPr>
          <w:p>
            <w:pPr>
              <w:pStyle w:val="119"/>
              <w:rPr>
                <w:rFonts w:ascii="宋体" w:hAnsi="宋体" w:eastAsia="宋体" w:cs="宋体"/>
                <w:color w:val="auto"/>
                <w:highlight w:val="none"/>
              </w:rPr>
            </w:pPr>
            <w:r>
              <w:rPr>
                <w:rFonts w:hint="eastAsia" w:ascii="宋体" w:hAnsi="宋体" w:eastAsia="宋体" w:cs="宋体"/>
                <w:bCs/>
                <w:color w:val="auto"/>
                <w:highlight w:val="none"/>
              </w:rPr>
              <w:t>投标文件对招标文件中标注★号条款</w:t>
            </w:r>
            <w:r>
              <w:rPr>
                <w:rFonts w:hint="eastAsia" w:ascii="宋体" w:hAnsi="宋体" w:eastAsia="宋体" w:cs="宋体"/>
                <w:color w:val="auto"/>
                <w:highlight w:val="none"/>
              </w:rPr>
              <w:t>实质性响应（如有要求）</w:t>
            </w:r>
          </w:p>
        </w:tc>
        <w:tc>
          <w:tcPr>
            <w:tcW w:w="735"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□通过</w:t>
            </w:r>
          </w:p>
          <w:p>
            <w:pPr>
              <w:rPr>
                <w:rFonts w:ascii="宋体" w:hAnsi="宋体" w:cs="宋体"/>
                <w:highlight w:val="none"/>
              </w:rPr>
            </w:pPr>
            <w:r>
              <w:rPr>
                <w:rFonts w:hint="eastAsia" w:ascii="宋体" w:hAnsi="宋体" w:cs="宋体"/>
                <w:highlight w:val="none"/>
              </w:rPr>
              <w:t>□不通过</w:t>
            </w:r>
          </w:p>
        </w:tc>
        <w:tc>
          <w:tcPr>
            <w:tcW w:w="866"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szCs w:val="21"/>
                <w:highlight w:val="none"/>
              </w:rPr>
              <w:t>见投标文件第（）页</w:t>
            </w:r>
          </w:p>
        </w:tc>
      </w:tr>
      <w:tr>
        <w:tblPrEx>
          <w:tblCellMar>
            <w:top w:w="0" w:type="dxa"/>
            <w:left w:w="108" w:type="dxa"/>
            <w:bottom w:w="0" w:type="dxa"/>
            <w:right w:w="108" w:type="dxa"/>
          </w:tblCellMar>
        </w:tblPrEx>
        <w:trPr>
          <w:trHeight w:val="1627" w:hRule="atLeast"/>
          <w:jc w:val="center"/>
        </w:trPr>
        <w:tc>
          <w:tcPr>
            <w:tcW w:w="411" w:type="pct"/>
            <w:tcBorders>
              <w:top w:val="nil"/>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7</w:t>
            </w:r>
          </w:p>
        </w:tc>
        <w:tc>
          <w:tcPr>
            <w:tcW w:w="892" w:type="pct"/>
            <w:tcBorders>
              <w:top w:val="nil"/>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其他</w:t>
            </w:r>
          </w:p>
        </w:tc>
        <w:tc>
          <w:tcPr>
            <w:tcW w:w="2094"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1）投标文件中没有采购人不能接受的附加条件；</w:t>
            </w:r>
          </w:p>
          <w:p>
            <w:pPr>
              <w:rPr>
                <w:rFonts w:ascii="宋体" w:hAnsi="宋体" w:cs="宋体"/>
                <w:highlight w:val="none"/>
              </w:rPr>
            </w:pPr>
            <w:r>
              <w:rPr>
                <w:rFonts w:hint="eastAsia" w:ascii="宋体" w:hAnsi="宋体" w:cs="宋体"/>
                <w:highlight w:val="none"/>
              </w:rPr>
              <w:t>2）投标人不存在法律、法规和招标文件规定的其他无效情形；</w:t>
            </w:r>
          </w:p>
        </w:tc>
        <w:tc>
          <w:tcPr>
            <w:tcW w:w="735"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□通过</w:t>
            </w:r>
          </w:p>
          <w:p>
            <w:pPr>
              <w:rPr>
                <w:rFonts w:ascii="宋体" w:hAnsi="宋体" w:cs="宋体"/>
                <w:highlight w:val="none"/>
              </w:rPr>
            </w:pPr>
            <w:r>
              <w:rPr>
                <w:rFonts w:hint="eastAsia" w:ascii="宋体" w:hAnsi="宋体" w:cs="宋体"/>
                <w:highlight w:val="none"/>
              </w:rPr>
              <w:t>□不通过</w:t>
            </w:r>
          </w:p>
        </w:tc>
        <w:tc>
          <w:tcPr>
            <w:tcW w:w="866" w:type="pct"/>
            <w:tcBorders>
              <w:top w:val="nil"/>
              <w:left w:val="nil"/>
              <w:bottom w:val="single" w:color="auto" w:sz="4" w:space="0"/>
              <w:right w:val="single" w:color="auto" w:sz="4" w:space="0"/>
            </w:tcBorders>
            <w:vAlign w:val="center"/>
          </w:tcPr>
          <w:p>
            <w:pPr>
              <w:rPr>
                <w:rFonts w:ascii="宋体" w:hAnsi="宋体" w:cs="宋体"/>
                <w:highlight w:val="none"/>
              </w:rPr>
            </w:pPr>
            <w:r>
              <w:rPr>
                <w:rFonts w:hint="eastAsia" w:ascii="宋体" w:hAnsi="宋体" w:cs="宋体"/>
                <w:szCs w:val="21"/>
                <w:highlight w:val="none"/>
              </w:rPr>
              <w:t>见投标文件第（）页</w:t>
            </w:r>
          </w:p>
        </w:tc>
      </w:tr>
    </w:tbl>
    <w:p>
      <w:pPr>
        <w:pStyle w:val="11"/>
        <w:spacing w:line="360" w:lineRule="exact"/>
        <w:rPr>
          <w:rFonts w:ascii="宋体" w:hAnsi="宋体" w:cs="宋体"/>
          <w:sz w:val="24"/>
          <w:highlight w:val="none"/>
        </w:rPr>
      </w:pPr>
      <w:r>
        <w:rPr>
          <w:rFonts w:hint="eastAsia" w:ascii="宋体" w:hAnsi="宋体" w:cs="宋体"/>
          <w:sz w:val="24"/>
          <w:highlight w:val="none"/>
        </w:rPr>
        <w:t>注：以上材料将作为供应商合格性和有效性审核的重要内容之一，供应商必须严格按照其内容及序列要求在响应文件中对应如实提供，对缺漏和不符合项将会直接导致无效响应！</w:t>
      </w:r>
      <w:r>
        <w:rPr>
          <w:rFonts w:hint="eastAsia" w:ascii="宋体" w:hAnsi="宋体" w:cs="宋体"/>
          <w:b/>
          <w:bCs/>
          <w:sz w:val="24"/>
          <w:highlight w:val="none"/>
        </w:rPr>
        <w:t>在对应的□打“√”。</w:t>
      </w:r>
    </w:p>
    <w:p>
      <w:pPr>
        <w:adjustRightInd w:val="0"/>
        <w:snapToGrid w:val="0"/>
        <w:spacing w:line="300" w:lineRule="auto"/>
        <w:rPr>
          <w:rFonts w:ascii="宋体" w:hAnsi="宋体" w:cs="宋体"/>
          <w:szCs w:val="21"/>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pStyle w:val="64"/>
        <w:rPr>
          <w:highlight w:val="none"/>
        </w:rPr>
      </w:pPr>
    </w:p>
    <w:p>
      <w:pPr>
        <w:adjustRightInd w:val="0"/>
        <w:snapToGrid w:val="0"/>
        <w:spacing w:line="300" w:lineRule="auto"/>
        <w:rPr>
          <w:rFonts w:ascii="宋体" w:hAnsi="宋体" w:cs="宋体"/>
          <w:highlight w:val="none"/>
        </w:rPr>
        <w:sectPr>
          <w:pgSz w:w="11907" w:h="16840"/>
          <w:pgMar w:top="1440" w:right="1800" w:bottom="1440" w:left="1800" w:header="737" w:footer="737" w:gutter="0"/>
          <w:pgNumType w:fmt="decimal"/>
          <w:cols w:space="720" w:num="1"/>
          <w:docGrid w:linePitch="312" w:charSpace="0"/>
        </w:sectPr>
      </w:pP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1.3技术、商务评审自查表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4981"/>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1" w:type="pct"/>
            <w:vAlign w:val="center"/>
          </w:tcPr>
          <w:p>
            <w:pPr>
              <w:pStyle w:val="144"/>
              <w:adjustRightInd/>
              <w:spacing w:before="0" w:after="0" w:line="300" w:lineRule="exact"/>
              <w:textAlignment w:val="auto"/>
              <w:rPr>
                <w:rFonts w:ascii="宋体" w:hAnsi="宋体" w:cs="宋体"/>
                <w:spacing w:val="0"/>
                <w:kern w:val="2"/>
                <w:sz w:val="21"/>
                <w:highlight w:val="none"/>
              </w:rPr>
            </w:pPr>
            <w:r>
              <w:rPr>
                <w:rFonts w:hint="eastAsia" w:ascii="宋体" w:hAnsi="宋体" w:cs="宋体"/>
                <w:spacing w:val="0"/>
                <w:kern w:val="2"/>
                <w:sz w:val="21"/>
                <w:highlight w:val="none"/>
              </w:rPr>
              <w:t>评审分项</w:t>
            </w:r>
          </w:p>
        </w:tc>
        <w:tc>
          <w:tcPr>
            <w:tcW w:w="2922" w:type="pct"/>
            <w:vAlign w:val="center"/>
          </w:tcPr>
          <w:p>
            <w:pPr>
              <w:pStyle w:val="144"/>
              <w:adjustRightInd/>
              <w:spacing w:before="0" w:after="0" w:line="300" w:lineRule="exact"/>
              <w:textAlignment w:val="auto"/>
              <w:rPr>
                <w:rFonts w:ascii="宋体" w:hAnsi="宋体" w:cs="宋体"/>
                <w:spacing w:val="0"/>
                <w:kern w:val="2"/>
                <w:sz w:val="21"/>
                <w:highlight w:val="none"/>
              </w:rPr>
            </w:pPr>
            <w:r>
              <w:rPr>
                <w:rFonts w:hint="eastAsia" w:ascii="宋体" w:hAnsi="宋体" w:cs="宋体"/>
                <w:spacing w:val="0"/>
                <w:kern w:val="2"/>
                <w:sz w:val="21"/>
                <w:highlight w:val="none"/>
              </w:rPr>
              <w:t>评分标准</w:t>
            </w:r>
          </w:p>
        </w:tc>
        <w:tc>
          <w:tcPr>
            <w:tcW w:w="1295" w:type="pct"/>
            <w:vAlign w:val="center"/>
          </w:tcPr>
          <w:p>
            <w:pPr>
              <w:pStyle w:val="144"/>
              <w:adjustRightInd/>
              <w:spacing w:before="0" w:after="0" w:line="300" w:lineRule="exact"/>
              <w:textAlignment w:val="auto"/>
              <w:rPr>
                <w:rFonts w:ascii="宋体" w:hAnsi="宋体" w:cs="宋体"/>
                <w:spacing w:val="0"/>
                <w:kern w:val="2"/>
                <w:sz w:val="21"/>
                <w:highlight w:val="none"/>
              </w:rPr>
            </w:pPr>
            <w:r>
              <w:rPr>
                <w:rFonts w:hint="eastAsia" w:ascii="宋体" w:hAnsi="宋体" w:cs="宋体"/>
                <w:spacing w:val="0"/>
                <w:kern w:val="2"/>
                <w:sz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1" w:type="pct"/>
            <w:vAlign w:val="center"/>
          </w:tcPr>
          <w:p>
            <w:pPr>
              <w:pStyle w:val="109"/>
              <w:spacing w:line="300" w:lineRule="exact"/>
              <w:jc w:val="both"/>
              <w:rPr>
                <w:rFonts w:ascii="宋体" w:hAnsi="宋体" w:cs="宋体"/>
                <w:sz w:val="21"/>
                <w:highlight w:val="none"/>
              </w:rPr>
            </w:pPr>
          </w:p>
        </w:tc>
        <w:tc>
          <w:tcPr>
            <w:tcW w:w="2922" w:type="pct"/>
            <w:vAlign w:val="center"/>
          </w:tcPr>
          <w:p>
            <w:pPr>
              <w:pStyle w:val="28"/>
              <w:spacing w:line="300" w:lineRule="exact"/>
              <w:rPr>
                <w:rFonts w:ascii="宋体" w:hAnsi="宋体" w:cs="宋体"/>
                <w:i/>
                <w:highlight w:val="none"/>
              </w:rPr>
            </w:pPr>
          </w:p>
        </w:tc>
        <w:tc>
          <w:tcPr>
            <w:tcW w:w="1295" w:type="pct"/>
            <w:vAlign w:val="center"/>
          </w:tcPr>
          <w:p>
            <w:pPr>
              <w:pStyle w:val="28"/>
              <w:spacing w:line="300" w:lineRule="exact"/>
              <w:rPr>
                <w:rFonts w:ascii="宋体" w:hAnsi="宋体" w:cs="宋体"/>
                <w:highlight w:val="none"/>
              </w:rPr>
            </w:pPr>
            <w:r>
              <w:rPr>
                <w:rFonts w:hint="eastAsia" w:ascii="宋体" w:hAnsi="宋体" w:cs="宋体"/>
                <w:highlight w:val="none"/>
              </w:rPr>
              <w:t>见</w:t>
            </w:r>
            <w:r>
              <w:rPr>
                <w:rFonts w:hint="eastAsia" w:ascii="宋体" w:hAnsi="宋体" w:cs="宋体"/>
                <w:szCs w:val="21"/>
                <w:highlight w:val="none"/>
              </w:rPr>
              <w:t>投标文件</w:t>
            </w:r>
            <w:r>
              <w:rPr>
                <w:rFonts w:hint="eastAsia" w:ascii="宋体" w:hAnsi="宋体" w:cs="宋体"/>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1" w:type="pct"/>
            <w:vAlign w:val="center"/>
          </w:tcPr>
          <w:p>
            <w:pPr>
              <w:spacing w:line="300" w:lineRule="exact"/>
              <w:rPr>
                <w:rFonts w:ascii="宋体" w:hAnsi="宋体" w:cs="宋体"/>
                <w:highlight w:val="none"/>
              </w:rPr>
            </w:pPr>
          </w:p>
        </w:tc>
        <w:tc>
          <w:tcPr>
            <w:tcW w:w="2922" w:type="pct"/>
            <w:vAlign w:val="center"/>
          </w:tcPr>
          <w:p>
            <w:pPr>
              <w:pStyle w:val="28"/>
              <w:spacing w:line="300" w:lineRule="exact"/>
              <w:rPr>
                <w:rFonts w:ascii="宋体" w:hAnsi="宋体" w:cs="宋体"/>
                <w:highlight w:val="none"/>
              </w:rPr>
            </w:pPr>
          </w:p>
        </w:tc>
        <w:tc>
          <w:tcPr>
            <w:tcW w:w="1295" w:type="pct"/>
            <w:vAlign w:val="center"/>
          </w:tcPr>
          <w:p>
            <w:pPr>
              <w:pStyle w:val="28"/>
              <w:spacing w:line="300" w:lineRule="exact"/>
              <w:rPr>
                <w:rFonts w:ascii="宋体" w:hAnsi="宋体" w:cs="宋体"/>
                <w:highlight w:val="none"/>
              </w:rPr>
            </w:pPr>
            <w:r>
              <w:rPr>
                <w:rFonts w:hint="eastAsia" w:ascii="宋体" w:hAnsi="宋体" w:cs="宋体"/>
                <w:highlight w:val="none"/>
              </w:rPr>
              <w:t>见</w:t>
            </w:r>
            <w:r>
              <w:rPr>
                <w:rFonts w:hint="eastAsia" w:ascii="宋体" w:hAnsi="宋体" w:cs="宋体"/>
                <w:szCs w:val="21"/>
                <w:highlight w:val="none"/>
              </w:rPr>
              <w:t>投标文件</w:t>
            </w:r>
            <w:r>
              <w:rPr>
                <w:rFonts w:hint="eastAsia" w:ascii="宋体" w:hAnsi="宋体" w:cs="宋体"/>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1" w:type="pct"/>
            <w:vAlign w:val="center"/>
          </w:tcPr>
          <w:p>
            <w:pPr>
              <w:spacing w:line="300" w:lineRule="exact"/>
              <w:rPr>
                <w:rFonts w:ascii="宋体" w:hAnsi="宋体" w:cs="宋体"/>
                <w:highlight w:val="none"/>
              </w:rPr>
            </w:pPr>
          </w:p>
        </w:tc>
        <w:tc>
          <w:tcPr>
            <w:tcW w:w="2922" w:type="pct"/>
            <w:vAlign w:val="center"/>
          </w:tcPr>
          <w:p>
            <w:pPr>
              <w:pStyle w:val="28"/>
              <w:spacing w:line="300" w:lineRule="exact"/>
              <w:rPr>
                <w:rFonts w:ascii="宋体" w:hAnsi="宋体" w:cs="宋体"/>
                <w:i/>
                <w:highlight w:val="none"/>
              </w:rPr>
            </w:pPr>
          </w:p>
        </w:tc>
        <w:tc>
          <w:tcPr>
            <w:tcW w:w="1295" w:type="pct"/>
            <w:vAlign w:val="center"/>
          </w:tcPr>
          <w:p>
            <w:pPr>
              <w:pStyle w:val="28"/>
              <w:spacing w:line="300" w:lineRule="exact"/>
              <w:rPr>
                <w:rFonts w:ascii="宋体" w:hAnsi="宋体" w:cs="宋体"/>
                <w:highlight w:val="none"/>
              </w:rPr>
            </w:pPr>
            <w:r>
              <w:rPr>
                <w:rFonts w:hint="eastAsia" w:ascii="宋体" w:hAnsi="宋体" w:cs="宋体"/>
                <w:highlight w:val="none"/>
              </w:rPr>
              <w:t>见</w:t>
            </w:r>
            <w:r>
              <w:rPr>
                <w:rFonts w:hint="eastAsia" w:ascii="宋体" w:hAnsi="宋体" w:cs="宋体"/>
                <w:szCs w:val="21"/>
                <w:highlight w:val="none"/>
              </w:rPr>
              <w:t>投标文件</w:t>
            </w:r>
            <w:r>
              <w:rPr>
                <w:rFonts w:hint="eastAsia" w:ascii="宋体" w:hAnsi="宋体" w:cs="宋体"/>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1" w:type="pct"/>
            <w:vAlign w:val="center"/>
          </w:tcPr>
          <w:p>
            <w:pPr>
              <w:spacing w:line="300" w:lineRule="exact"/>
              <w:rPr>
                <w:rFonts w:ascii="宋体" w:hAnsi="宋体" w:cs="宋体"/>
                <w:highlight w:val="none"/>
              </w:rPr>
            </w:pPr>
          </w:p>
        </w:tc>
        <w:tc>
          <w:tcPr>
            <w:tcW w:w="2922" w:type="pct"/>
            <w:vAlign w:val="center"/>
          </w:tcPr>
          <w:p>
            <w:pPr>
              <w:pStyle w:val="28"/>
              <w:spacing w:line="300" w:lineRule="exact"/>
              <w:rPr>
                <w:rFonts w:ascii="宋体" w:hAnsi="宋体" w:cs="宋体"/>
                <w:highlight w:val="none"/>
              </w:rPr>
            </w:pPr>
          </w:p>
        </w:tc>
        <w:tc>
          <w:tcPr>
            <w:tcW w:w="1295" w:type="pct"/>
            <w:vAlign w:val="center"/>
          </w:tcPr>
          <w:p>
            <w:pPr>
              <w:pStyle w:val="28"/>
              <w:spacing w:line="300" w:lineRule="exact"/>
              <w:rPr>
                <w:rFonts w:ascii="宋体" w:hAnsi="宋体" w:cs="宋体"/>
                <w:highlight w:val="none"/>
              </w:rPr>
            </w:pPr>
            <w:r>
              <w:rPr>
                <w:rFonts w:hint="eastAsia" w:ascii="宋体" w:hAnsi="宋体" w:cs="宋体"/>
                <w:highlight w:val="none"/>
              </w:rPr>
              <w:t>见</w:t>
            </w:r>
            <w:r>
              <w:rPr>
                <w:rFonts w:hint="eastAsia" w:ascii="宋体" w:hAnsi="宋体" w:cs="宋体"/>
                <w:szCs w:val="21"/>
                <w:highlight w:val="none"/>
              </w:rPr>
              <w:t>投标文件</w:t>
            </w:r>
            <w:r>
              <w:rPr>
                <w:rFonts w:hint="eastAsia" w:ascii="宋体" w:hAnsi="宋体" w:cs="宋体"/>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1" w:type="pct"/>
            <w:vAlign w:val="center"/>
          </w:tcPr>
          <w:p>
            <w:pPr>
              <w:spacing w:line="300" w:lineRule="exact"/>
              <w:rPr>
                <w:rFonts w:ascii="宋体" w:hAnsi="宋体" w:cs="宋体"/>
                <w:highlight w:val="none"/>
              </w:rPr>
            </w:pPr>
          </w:p>
        </w:tc>
        <w:tc>
          <w:tcPr>
            <w:tcW w:w="2922" w:type="pct"/>
            <w:vAlign w:val="center"/>
          </w:tcPr>
          <w:p>
            <w:pPr>
              <w:pStyle w:val="28"/>
              <w:spacing w:line="300" w:lineRule="exact"/>
              <w:rPr>
                <w:rFonts w:ascii="宋体" w:hAnsi="宋体" w:cs="宋体"/>
                <w:highlight w:val="none"/>
              </w:rPr>
            </w:pPr>
          </w:p>
        </w:tc>
        <w:tc>
          <w:tcPr>
            <w:tcW w:w="1295" w:type="pct"/>
            <w:vAlign w:val="center"/>
          </w:tcPr>
          <w:p>
            <w:pPr>
              <w:pStyle w:val="28"/>
              <w:spacing w:line="300" w:lineRule="exact"/>
              <w:rPr>
                <w:rFonts w:ascii="宋体" w:hAnsi="宋体" w:cs="宋体"/>
                <w:highlight w:val="none"/>
              </w:rPr>
            </w:pPr>
            <w:r>
              <w:rPr>
                <w:rFonts w:hint="eastAsia" w:ascii="宋体" w:hAnsi="宋体" w:cs="宋体"/>
                <w:highlight w:val="none"/>
              </w:rPr>
              <w:t>见</w:t>
            </w:r>
            <w:r>
              <w:rPr>
                <w:rFonts w:hint="eastAsia" w:ascii="宋体" w:hAnsi="宋体" w:cs="宋体"/>
                <w:szCs w:val="21"/>
                <w:highlight w:val="none"/>
              </w:rPr>
              <w:t>投标文件</w:t>
            </w:r>
            <w:r>
              <w:rPr>
                <w:rFonts w:hint="eastAsia" w:ascii="宋体" w:hAnsi="宋体" w:cs="宋体"/>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1" w:type="pct"/>
            <w:vAlign w:val="center"/>
          </w:tcPr>
          <w:p>
            <w:pPr>
              <w:spacing w:line="300" w:lineRule="exact"/>
              <w:rPr>
                <w:rFonts w:ascii="宋体" w:hAnsi="宋体" w:cs="宋体"/>
                <w:highlight w:val="none"/>
              </w:rPr>
            </w:pPr>
          </w:p>
        </w:tc>
        <w:tc>
          <w:tcPr>
            <w:tcW w:w="2922" w:type="pct"/>
            <w:vAlign w:val="center"/>
          </w:tcPr>
          <w:p>
            <w:pPr>
              <w:pStyle w:val="28"/>
              <w:spacing w:line="300" w:lineRule="exact"/>
              <w:rPr>
                <w:rFonts w:ascii="宋体" w:hAnsi="宋体" w:cs="宋体"/>
                <w:highlight w:val="none"/>
              </w:rPr>
            </w:pPr>
          </w:p>
        </w:tc>
        <w:tc>
          <w:tcPr>
            <w:tcW w:w="1295" w:type="pct"/>
            <w:vAlign w:val="center"/>
          </w:tcPr>
          <w:p>
            <w:pPr>
              <w:pStyle w:val="28"/>
              <w:spacing w:line="300" w:lineRule="exact"/>
              <w:rPr>
                <w:rFonts w:ascii="宋体" w:hAnsi="宋体" w:cs="宋体"/>
                <w:highlight w:val="none"/>
              </w:rPr>
            </w:pPr>
            <w:r>
              <w:rPr>
                <w:rFonts w:hint="eastAsia" w:ascii="宋体" w:hAnsi="宋体" w:cs="宋体"/>
                <w:highlight w:val="none"/>
              </w:rPr>
              <w:t>见</w:t>
            </w:r>
            <w:r>
              <w:rPr>
                <w:rFonts w:hint="eastAsia" w:ascii="宋体" w:hAnsi="宋体" w:cs="宋体"/>
                <w:szCs w:val="21"/>
                <w:highlight w:val="none"/>
              </w:rPr>
              <w:t>投标文件</w:t>
            </w:r>
            <w:r>
              <w:rPr>
                <w:rFonts w:hint="eastAsia" w:ascii="宋体" w:hAnsi="宋体" w:cs="宋体"/>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1" w:type="pct"/>
            <w:vAlign w:val="center"/>
          </w:tcPr>
          <w:p>
            <w:pPr>
              <w:spacing w:line="300" w:lineRule="exact"/>
              <w:jc w:val="center"/>
              <w:rPr>
                <w:rFonts w:ascii="宋体" w:hAnsi="宋体" w:cs="宋体"/>
                <w:highlight w:val="none"/>
              </w:rPr>
            </w:pPr>
          </w:p>
        </w:tc>
        <w:tc>
          <w:tcPr>
            <w:tcW w:w="2922" w:type="pct"/>
            <w:vAlign w:val="center"/>
          </w:tcPr>
          <w:p>
            <w:pPr>
              <w:pStyle w:val="28"/>
              <w:spacing w:line="300" w:lineRule="exact"/>
              <w:rPr>
                <w:rFonts w:ascii="宋体" w:hAnsi="宋体" w:cs="宋体"/>
                <w:highlight w:val="none"/>
              </w:rPr>
            </w:pPr>
          </w:p>
        </w:tc>
        <w:tc>
          <w:tcPr>
            <w:tcW w:w="1295" w:type="pct"/>
            <w:vAlign w:val="center"/>
          </w:tcPr>
          <w:p>
            <w:pPr>
              <w:pStyle w:val="28"/>
              <w:spacing w:line="300" w:lineRule="exact"/>
              <w:rPr>
                <w:rFonts w:ascii="宋体" w:hAnsi="宋体" w:cs="宋体"/>
                <w:highlight w:val="none"/>
              </w:rPr>
            </w:pPr>
            <w:r>
              <w:rPr>
                <w:rFonts w:hint="eastAsia" w:ascii="宋体" w:hAnsi="宋体" w:cs="宋体"/>
                <w:highlight w:val="none"/>
              </w:rPr>
              <w:t>见</w:t>
            </w:r>
            <w:r>
              <w:rPr>
                <w:rFonts w:hint="eastAsia" w:ascii="宋体" w:hAnsi="宋体" w:cs="宋体"/>
                <w:szCs w:val="21"/>
                <w:highlight w:val="none"/>
              </w:rPr>
              <w:t>投标文件</w:t>
            </w:r>
            <w:r>
              <w:rPr>
                <w:rFonts w:hint="eastAsia" w:ascii="宋体" w:hAnsi="宋体" w:cs="宋体"/>
                <w:highlight w:val="none"/>
              </w:rPr>
              <w:t>第（）页</w:t>
            </w:r>
          </w:p>
        </w:tc>
      </w:tr>
    </w:tbl>
    <w:p>
      <w:pPr>
        <w:adjustRightInd w:val="0"/>
        <w:snapToGrid w:val="0"/>
        <w:spacing w:line="300" w:lineRule="auto"/>
        <w:rPr>
          <w:rFonts w:ascii="宋体" w:hAnsi="宋体" w:cs="宋体"/>
          <w:szCs w:val="21"/>
          <w:highlight w:val="none"/>
        </w:rPr>
      </w:pPr>
    </w:p>
    <w:p>
      <w:pPr>
        <w:adjustRightInd w:val="0"/>
        <w:snapToGrid w:val="0"/>
        <w:spacing w:line="300" w:lineRule="auto"/>
        <w:rPr>
          <w:rFonts w:ascii="宋体" w:hAnsi="宋体" w:cs="宋体"/>
          <w:szCs w:val="21"/>
          <w:highlight w:val="none"/>
        </w:rPr>
      </w:pPr>
      <w:r>
        <w:rPr>
          <w:rFonts w:hint="eastAsia" w:ascii="宋体" w:hAnsi="宋体" w:cs="宋体"/>
          <w:szCs w:val="21"/>
          <w:highlight w:val="none"/>
        </w:rPr>
        <w:t>注：投标人应对照第三部分投标人须知中商务、技术评分表的内容，列明各评审分项在投标文件中所在位置，以便查对。</w:t>
      </w:r>
    </w:p>
    <w:p>
      <w:pPr>
        <w:pStyle w:val="64"/>
        <w:rPr>
          <w:rFonts w:ascii="宋体" w:hAnsi="宋体" w:cs="宋体"/>
          <w:szCs w:val="21"/>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spacing w:line="360" w:lineRule="auto"/>
        <w:jc w:val="center"/>
        <w:outlineLvl w:val="1"/>
        <w:rPr>
          <w:rFonts w:ascii="宋体" w:hAnsi="宋体" w:cs="宋体"/>
          <w:b/>
          <w:sz w:val="32"/>
          <w:highlight w:val="none"/>
        </w:rPr>
      </w:pPr>
      <w:r>
        <w:rPr>
          <w:rFonts w:hint="eastAsia" w:ascii="宋体" w:hAnsi="宋体" w:cs="宋体"/>
          <w:highlight w:val="none"/>
        </w:rPr>
        <w:br w:type="page"/>
      </w:r>
      <w:r>
        <w:rPr>
          <w:rFonts w:hint="eastAsia" w:ascii="宋体" w:hAnsi="宋体" w:cs="宋体"/>
          <w:b/>
          <w:sz w:val="32"/>
          <w:szCs w:val="32"/>
          <w:highlight w:val="none"/>
        </w:rPr>
        <w:t>二、投标函</w:t>
      </w:r>
    </w:p>
    <w:p>
      <w:pPr>
        <w:widowControl w:val="0"/>
        <w:spacing w:line="360" w:lineRule="auto"/>
        <w:rPr>
          <w:rFonts w:ascii="宋体" w:hAnsi="宋体" w:cs="宋体"/>
          <w:highlight w:val="none"/>
        </w:rPr>
      </w:pPr>
      <w:r>
        <w:rPr>
          <w:rFonts w:hint="eastAsia" w:ascii="宋体" w:hAnsi="宋体" w:cs="宋体"/>
          <w:highlight w:val="none"/>
        </w:rPr>
        <w:t>致：公诚管理咨询有限公司</w:t>
      </w:r>
    </w:p>
    <w:p>
      <w:pPr>
        <w:widowControl w:val="0"/>
        <w:spacing w:line="360" w:lineRule="auto"/>
        <w:ind w:firstLine="480"/>
        <w:rPr>
          <w:rFonts w:ascii="宋体" w:hAnsi="宋体" w:cs="宋体"/>
          <w:highlight w:val="none"/>
        </w:rPr>
      </w:pPr>
      <w:r>
        <w:rPr>
          <w:rFonts w:hint="eastAsia" w:ascii="宋体" w:hAnsi="宋体" w:cs="宋体"/>
          <w:highlight w:val="none"/>
        </w:rPr>
        <w:t>你方组织的_____________项目的招标[采购项目编号为：______________，我方愿参与投标。</w:t>
      </w:r>
    </w:p>
    <w:p>
      <w:pPr>
        <w:widowControl w:val="0"/>
        <w:spacing w:line="360" w:lineRule="auto"/>
        <w:ind w:firstLine="480"/>
        <w:rPr>
          <w:rFonts w:ascii="宋体" w:hAnsi="宋体" w:cs="宋体"/>
          <w:highlight w:val="none"/>
        </w:rPr>
      </w:pPr>
      <w:r>
        <w:rPr>
          <w:rFonts w:hint="eastAsia" w:ascii="宋体" w:hAnsi="宋体" w:cs="宋体"/>
          <w:highlight w:val="none"/>
        </w:rPr>
        <w:t>我方确认收到贵方提供的_____________项目的招标文件的全部内容。</w:t>
      </w:r>
    </w:p>
    <w:p>
      <w:pPr>
        <w:widowControl w:val="0"/>
        <w:spacing w:line="360" w:lineRule="auto"/>
        <w:ind w:firstLine="480"/>
        <w:rPr>
          <w:rFonts w:ascii="宋体" w:hAnsi="宋体" w:cs="宋体"/>
          <w:highlight w:val="none"/>
        </w:rPr>
      </w:pPr>
      <w:r>
        <w:rPr>
          <w:rFonts w:hint="eastAsia" w:ascii="宋体" w:hAnsi="宋体" w:cs="宋体"/>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widowControl w:val="0"/>
        <w:spacing w:line="360" w:lineRule="auto"/>
        <w:ind w:firstLine="480"/>
        <w:rPr>
          <w:rFonts w:ascii="宋体" w:hAnsi="宋体" w:cs="宋体"/>
          <w:highlight w:val="none"/>
        </w:rPr>
      </w:pPr>
      <w:r>
        <w:rPr>
          <w:rFonts w:hint="eastAsia" w:ascii="宋体" w:hAnsi="宋体" w:cs="宋体"/>
          <w:highlight w:val="none"/>
          <w:u w:val="single"/>
        </w:rPr>
        <w:t>(投标人名称)</w:t>
      </w:r>
      <w:r>
        <w:rPr>
          <w:rFonts w:hint="eastAsia" w:ascii="宋体" w:hAnsi="宋体" w:cs="宋体"/>
          <w:highlight w:val="none"/>
        </w:rPr>
        <w:t>作为投标人正式授权</w:t>
      </w:r>
      <w:r>
        <w:rPr>
          <w:rFonts w:hint="eastAsia" w:ascii="宋体" w:hAnsi="宋体" w:cs="宋体"/>
          <w:highlight w:val="none"/>
          <w:u w:val="single"/>
        </w:rPr>
        <w:t>(授权代表全名,职务)</w:t>
      </w:r>
      <w:r>
        <w:rPr>
          <w:rFonts w:hint="eastAsia" w:ascii="宋体" w:hAnsi="宋体" w:cs="宋体"/>
          <w:highlight w:val="none"/>
        </w:rPr>
        <w:t>代表我方全权处理有关本投标的一切事宜。</w:t>
      </w:r>
    </w:p>
    <w:p>
      <w:pPr>
        <w:widowControl w:val="0"/>
        <w:spacing w:line="360" w:lineRule="auto"/>
        <w:ind w:firstLine="480"/>
        <w:rPr>
          <w:rFonts w:ascii="宋体" w:hAnsi="宋体" w:cs="宋体"/>
          <w:highlight w:val="none"/>
        </w:rPr>
      </w:pPr>
      <w:r>
        <w:rPr>
          <w:rFonts w:hint="eastAsia" w:ascii="宋体" w:hAnsi="宋体" w:cs="宋体"/>
          <w:highlight w:val="none"/>
        </w:rPr>
        <w:t>我方已完全明白招标文件的所有条款要求，并申明如下：</w:t>
      </w:r>
    </w:p>
    <w:p>
      <w:pPr>
        <w:widowControl w:val="0"/>
        <w:spacing w:line="360" w:lineRule="auto"/>
        <w:ind w:firstLine="480"/>
        <w:rPr>
          <w:rFonts w:ascii="宋体" w:hAnsi="宋体" w:cs="宋体"/>
          <w:highlight w:val="none"/>
        </w:rPr>
      </w:pPr>
      <w:r>
        <w:rPr>
          <w:rFonts w:hint="eastAsia" w:ascii="宋体" w:hAnsi="宋体" w:cs="宋体"/>
          <w:highlight w:val="none"/>
        </w:rPr>
        <w:t>（一）按招标文件提供的全部货物与相关服务的投标总价详见《开标一览表》。</w:t>
      </w:r>
    </w:p>
    <w:p>
      <w:pPr>
        <w:widowControl w:val="0"/>
        <w:spacing w:line="360" w:lineRule="auto"/>
        <w:ind w:firstLine="480"/>
        <w:rPr>
          <w:rFonts w:ascii="宋体" w:hAnsi="宋体" w:cs="宋体"/>
          <w:highlight w:val="none"/>
        </w:rPr>
      </w:pPr>
      <w:r>
        <w:rPr>
          <w:rFonts w:hint="eastAsia" w:ascii="宋体" w:hAnsi="宋体" w:cs="宋体"/>
          <w:highlight w:val="none"/>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widowControl w:val="0"/>
        <w:spacing w:line="360" w:lineRule="auto"/>
        <w:ind w:firstLine="480"/>
        <w:rPr>
          <w:rFonts w:ascii="宋体" w:hAnsi="宋体" w:cs="宋体"/>
          <w:highlight w:val="none"/>
        </w:rPr>
      </w:pPr>
      <w:r>
        <w:rPr>
          <w:rFonts w:hint="eastAsia" w:ascii="宋体" w:hAnsi="宋体" w:cs="宋体"/>
          <w:highlight w:val="none"/>
        </w:rPr>
        <w:t>（三）我方明白并同意，在规定的开标日之后，投标有效期之内撤回投标或中标后不按规定与采购人签订合同或不提交履约保证金, 则贵方将不予退还投标保证金。</w:t>
      </w:r>
    </w:p>
    <w:p>
      <w:pPr>
        <w:widowControl w:val="0"/>
        <w:spacing w:line="360" w:lineRule="auto"/>
        <w:ind w:firstLine="480"/>
        <w:rPr>
          <w:rFonts w:ascii="宋体" w:hAnsi="宋体" w:cs="宋体"/>
          <w:highlight w:val="none"/>
        </w:rPr>
      </w:pPr>
      <w:r>
        <w:rPr>
          <w:rFonts w:hint="eastAsia" w:ascii="宋体" w:hAnsi="宋体" w:cs="宋体"/>
          <w:highlight w:val="none"/>
        </w:rPr>
        <w:t>（四）我方愿意向贵方提供任何与本项报价有关的数据、情况和技术资料。若贵方需要，我方愿意提供我方作出的一切承诺的证明材料。</w:t>
      </w:r>
    </w:p>
    <w:p>
      <w:pPr>
        <w:widowControl w:val="0"/>
        <w:spacing w:line="360" w:lineRule="auto"/>
        <w:ind w:firstLine="480"/>
        <w:rPr>
          <w:rFonts w:ascii="宋体" w:hAnsi="宋体" w:cs="宋体"/>
          <w:highlight w:val="none"/>
        </w:rPr>
      </w:pPr>
      <w:r>
        <w:rPr>
          <w:rFonts w:hint="eastAsia" w:ascii="宋体" w:hAnsi="宋体" w:cs="宋体"/>
          <w:highlight w:val="none"/>
        </w:rPr>
        <w:t>（五）我方理解贵方不一定接受最低投标价或任何贵方可能收到的投标。</w:t>
      </w:r>
    </w:p>
    <w:p>
      <w:pPr>
        <w:widowControl w:val="0"/>
        <w:spacing w:line="360" w:lineRule="auto"/>
        <w:ind w:firstLine="480"/>
        <w:rPr>
          <w:rFonts w:ascii="宋体" w:hAnsi="宋体" w:cs="宋体"/>
          <w:highlight w:val="none"/>
        </w:rPr>
      </w:pPr>
      <w:r>
        <w:rPr>
          <w:rFonts w:hint="eastAsia" w:ascii="宋体" w:hAnsi="宋体" w:cs="宋体"/>
          <w:highlight w:val="none"/>
        </w:rPr>
        <w:t>（六）我方如果中标，将保证履行招标文件及其澄清、修改文件（如果有）中的全部责任和义务，按质、按量、按期完成《采购需求》及《合同书》中的全部任务。</w:t>
      </w:r>
    </w:p>
    <w:p>
      <w:pPr>
        <w:widowControl w:val="0"/>
        <w:spacing w:line="360" w:lineRule="auto"/>
        <w:ind w:firstLine="480"/>
        <w:rPr>
          <w:rFonts w:ascii="宋体" w:hAnsi="宋体" w:cs="宋体"/>
          <w:highlight w:val="none"/>
        </w:rPr>
      </w:pPr>
      <w:r>
        <w:rPr>
          <w:rFonts w:hint="eastAsia" w:ascii="宋体" w:hAnsi="宋体" w:cs="宋体"/>
          <w:highlight w:val="none"/>
        </w:rPr>
        <w:t>（七）我方作为法律、财务和运作上独立于采购人、采购代理机构的投标人，在此保证所提交的所有文件和全部说明是真实的和正确的。</w:t>
      </w:r>
    </w:p>
    <w:p>
      <w:pPr>
        <w:widowControl w:val="0"/>
        <w:spacing w:line="360" w:lineRule="auto"/>
        <w:ind w:firstLine="480"/>
        <w:rPr>
          <w:rFonts w:ascii="宋体" w:hAnsi="宋体" w:cs="宋体"/>
          <w:highlight w:val="none"/>
        </w:rPr>
      </w:pPr>
      <w:r>
        <w:rPr>
          <w:rFonts w:hint="eastAsia" w:ascii="宋体" w:hAnsi="宋体" w:cs="宋体"/>
          <w:highlight w:val="none"/>
        </w:rPr>
        <w:t>（八）我方投标报价已包含应向知识产权所有权人支付的所有相关税费，并保证采购人在中国使用我方提供的货物时，如有第三方提出侵犯其知识产权主张的，责任由我方承担。</w:t>
      </w:r>
    </w:p>
    <w:p>
      <w:pPr>
        <w:widowControl w:val="0"/>
        <w:spacing w:line="360" w:lineRule="auto"/>
        <w:ind w:firstLine="480"/>
        <w:rPr>
          <w:rFonts w:ascii="宋体" w:hAnsi="宋体" w:cs="宋体"/>
          <w:highlight w:val="none"/>
        </w:rPr>
      </w:pPr>
      <w:r>
        <w:rPr>
          <w:rFonts w:hint="eastAsia" w:ascii="宋体" w:hAnsi="宋体" w:cs="宋体"/>
          <w:highlight w:val="none"/>
        </w:rPr>
        <w:t>（九）我方接受采购人委托向贵方支付代理服务费，项目总报价已包含代理服务费，如果被确定为中标供应商，承诺向贵方足额支付。</w:t>
      </w:r>
    </w:p>
    <w:p>
      <w:pPr>
        <w:widowControl w:val="0"/>
        <w:spacing w:line="360" w:lineRule="auto"/>
        <w:ind w:firstLine="480"/>
        <w:rPr>
          <w:rFonts w:ascii="宋体" w:hAnsi="宋体" w:cs="宋体"/>
          <w:highlight w:val="none"/>
        </w:rPr>
      </w:pPr>
      <w:r>
        <w:rPr>
          <w:rFonts w:hint="eastAsia" w:ascii="宋体" w:hAnsi="宋体" w:cs="宋体"/>
          <w:highlight w:val="none"/>
        </w:rPr>
        <w:t>（十）我方与其他投标人不存在单位负责人为同一人或者存在直接控股、管理关系。</w:t>
      </w:r>
    </w:p>
    <w:p>
      <w:pPr>
        <w:widowControl w:val="0"/>
        <w:spacing w:line="360" w:lineRule="auto"/>
        <w:ind w:firstLine="480"/>
        <w:rPr>
          <w:rFonts w:ascii="宋体" w:hAnsi="宋体" w:cs="宋体"/>
          <w:highlight w:val="none"/>
        </w:rPr>
      </w:pPr>
      <w:r>
        <w:rPr>
          <w:rFonts w:hint="eastAsia" w:ascii="宋体" w:hAnsi="宋体" w:cs="宋体"/>
          <w:highlight w:val="none"/>
        </w:rPr>
        <w:t>（十一）我方承诺未为本项目提供整体设计、规范编制或者项目管理、监理、检测等服务。</w:t>
      </w:r>
    </w:p>
    <w:p>
      <w:pPr>
        <w:widowControl w:val="0"/>
        <w:spacing w:line="360" w:lineRule="auto"/>
        <w:ind w:firstLine="480"/>
        <w:rPr>
          <w:rFonts w:ascii="宋体" w:hAnsi="宋体" w:cs="宋体"/>
          <w:highlight w:val="none"/>
        </w:rPr>
      </w:pPr>
      <w:r>
        <w:rPr>
          <w:rFonts w:hint="eastAsia" w:ascii="宋体" w:hAnsi="宋体" w:cs="宋体"/>
          <w:highlight w:val="none"/>
        </w:rPr>
        <w:t>（十二）我方未被列入法院失信被执行人名单中。</w:t>
      </w:r>
    </w:p>
    <w:p>
      <w:pPr>
        <w:widowControl w:val="0"/>
        <w:spacing w:line="360" w:lineRule="auto"/>
        <w:ind w:firstLine="480"/>
        <w:rPr>
          <w:rFonts w:ascii="宋体" w:hAnsi="宋体" w:cs="宋体"/>
          <w:highlight w:val="none"/>
        </w:rPr>
      </w:pPr>
      <w:r>
        <w:rPr>
          <w:rFonts w:hint="eastAsia" w:ascii="宋体" w:hAnsi="宋体" w:cs="宋体"/>
          <w:highlight w:val="none"/>
        </w:rPr>
        <w:t>（十三）我方具备《中华人民共和国政府采购法》第二十二条规定的条件，承诺如下：</w:t>
      </w:r>
    </w:p>
    <w:p>
      <w:pPr>
        <w:widowControl w:val="0"/>
        <w:spacing w:line="360" w:lineRule="auto"/>
        <w:ind w:firstLine="480"/>
        <w:rPr>
          <w:rFonts w:ascii="宋体" w:hAnsi="宋体" w:cs="宋体"/>
          <w:highlight w:val="none"/>
        </w:rPr>
      </w:pPr>
      <w:r>
        <w:rPr>
          <w:rFonts w:hint="eastAsia" w:ascii="宋体" w:hAnsi="宋体" w:cs="宋体"/>
          <w:highlight w:val="none"/>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widowControl w:val="0"/>
        <w:spacing w:line="360" w:lineRule="auto"/>
        <w:ind w:firstLine="480"/>
        <w:rPr>
          <w:rFonts w:ascii="宋体" w:hAnsi="宋体" w:cs="宋体"/>
          <w:highlight w:val="none"/>
        </w:rPr>
      </w:pPr>
      <w:r>
        <w:rPr>
          <w:rFonts w:hint="eastAsia" w:ascii="宋体" w:hAnsi="宋体" w:cs="宋体"/>
          <w:highlight w:val="none"/>
        </w:rPr>
        <w:t>（2）我方符合法律、行政法规规定的其他条件。</w:t>
      </w:r>
    </w:p>
    <w:p>
      <w:pPr>
        <w:widowControl w:val="0"/>
        <w:spacing w:line="360" w:lineRule="auto"/>
        <w:ind w:firstLine="480"/>
        <w:rPr>
          <w:rFonts w:ascii="宋体" w:hAnsi="宋体" w:cs="宋体"/>
          <w:highlight w:val="none"/>
        </w:rPr>
      </w:pPr>
      <w:r>
        <w:rPr>
          <w:rFonts w:hint="eastAsia" w:ascii="宋体" w:hAnsi="宋体" w:cs="宋体"/>
          <w:highlight w:val="none"/>
        </w:rPr>
        <w:t>以上内容如有虚假或与事实不符的，评标委员会可将我方做无效投标处理，我方愿意承担相应的法律责任。</w:t>
      </w:r>
    </w:p>
    <w:p>
      <w:pPr>
        <w:widowControl w:val="0"/>
        <w:spacing w:line="360" w:lineRule="auto"/>
        <w:ind w:firstLine="480"/>
        <w:rPr>
          <w:rFonts w:ascii="宋体" w:hAnsi="宋体" w:cs="宋体"/>
          <w:highlight w:val="none"/>
        </w:rPr>
      </w:pPr>
      <w:r>
        <w:rPr>
          <w:rFonts w:hint="eastAsia" w:ascii="宋体" w:hAnsi="宋体" w:cs="宋体"/>
          <w:highlight w:val="none"/>
        </w:rPr>
        <w:t>（十四）我方对在本函及投标文件中所作的所有承诺承担法律责任。</w:t>
      </w:r>
    </w:p>
    <w:p>
      <w:pPr>
        <w:widowControl w:val="0"/>
        <w:spacing w:line="360" w:lineRule="auto"/>
        <w:ind w:firstLine="480"/>
        <w:rPr>
          <w:rFonts w:ascii="宋体" w:hAnsi="宋体" w:cs="宋体"/>
          <w:highlight w:val="none"/>
        </w:rPr>
      </w:pPr>
      <w:r>
        <w:rPr>
          <w:rFonts w:hint="eastAsia" w:ascii="宋体" w:hAnsi="宋体" w:cs="宋体"/>
          <w:highlight w:val="none"/>
        </w:rPr>
        <w:t>（十五）所有与本招标有关的函件请发往下列地址：</w:t>
      </w:r>
    </w:p>
    <w:p>
      <w:pPr>
        <w:widowControl w:val="0"/>
        <w:spacing w:line="360" w:lineRule="auto"/>
        <w:ind w:firstLine="480"/>
        <w:rPr>
          <w:rFonts w:ascii="宋体" w:hAnsi="宋体" w:cs="宋体"/>
          <w:highlight w:val="none"/>
        </w:rPr>
      </w:pPr>
      <w:r>
        <w:rPr>
          <w:rFonts w:hint="eastAsia" w:ascii="宋体" w:hAnsi="宋体" w:cs="宋体"/>
          <w:highlight w:val="none"/>
        </w:rPr>
        <w:t>地 址：__________________邮政编码：__________________</w:t>
      </w:r>
    </w:p>
    <w:p>
      <w:pPr>
        <w:widowControl w:val="0"/>
        <w:spacing w:line="360" w:lineRule="auto"/>
        <w:ind w:firstLine="480"/>
        <w:rPr>
          <w:rFonts w:ascii="宋体" w:hAnsi="宋体" w:cs="宋体"/>
          <w:highlight w:val="none"/>
        </w:rPr>
      </w:pPr>
      <w:r>
        <w:rPr>
          <w:rFonts w:hint="eastAsia" w:ascii="宋体" w:hAnsi="宋体" w:cs="宋体"/>
          <w:highlight w:val="none"/>
        </w:rPr>
        <w:t>电 话：__________________</w:t>
      </w:r>
    </w:p>
    <w:p>
      <w:pPr>
        <w:widowControl w:val="0"/>
        <w:spacing w:line="360" w:lineRule="auto"/>
        <w:ind w:firstLine="480"/>
        <w:rPr>
          <w:rFonts w:ascii="宋体" w:hAnsi="宋体" w:cs="宋体"/>
          <w:highlight w:val="none"/>
        </w:rPr>
      </w:pPr>
      <w:r>
        <w:rPr>
          <w:rFonts w:hint="eastAsia" w:ascii="宋体" w:hAnsi="宋体" w:cs="宋体"/>
          <w:highlight w:val="none"/>
        </w:rPr>
        <w:t>传 真：__________________</w:t>
      </w:r>
    </w:p>
    <w:p>
      <w:pPr>
        <w:widowControl w:val="0"/>
        <w:spacing w:line="360" w:lineRule="auto"/>
        <w:ind w:firstLine="480"/>
        <w:rPr>
          <w:rFonts w:ascii="宋体" w:hAnsi="宋体" w:cs="宋体"/>
          <w:highlight w:val="none"/>
        </w:rPr>
      </w:pPr>
      <w:r>
        <w:rPr>
          <w:rFonts w:hint="eastAsia" w:ascii="宋体" w:hAnsi="宋体" w:cs="宋体"/>
          <w:highlight w:val="none"/>
        </w:rPr>
        <w:t>代表姓名：__________________职 务：__________________</w:t>
      </w:r>
    </w:p>
    <w:p>
      <w:pPr>
        <w:spacing w:line="480" w:lineRule="exact"/>
        <w:ind w:left="721"/>
        <w:rPr>
          <w:rFonts w:ascii="宋体" w:hAnsi="宋体" w:cs="宋体"/>
          <w:highlight w:val="none"/>
          <w:u w:val="single"/>
        </w:rPr>
      </w:pPr>
    </w:p>
    <w:p>
      <w:pPr>
        <w:spacing w:line="480" w:lineRule="exact"/>
        <w:ind w:left="721"/>
        <w:rPr>
          <w:rFonts w:ascii="宋体" w:hAnsi="宋体" w:cs="宋体"/>
          <w:highlight w:val="none"/>
          <w:u w:val="singl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highlight w:val="none"/>
        </w:rPr>
      </w:pPr>
      <w:r>
        <w:rPr>
          <w:rFonts w:hint="eastAsia" w:ascii="宋体" w:hAnsi="宋体" w:cs="宋体"/>
          <w:highlight w:val="none"/>
        </w:rPr>
        <w:t>日   期：     年    月   日</w:t>
      </w:r>
      <w:r>
        <w:rPr>
          <w:highlight w:val="none"/>
        </w:rPr>
        <w:br w:type="page"/>
      </w:r>
    </w:p>
    <w:p>
      <w:pPr>
        <w:spacing w:line="360" w:lineRule="auto"/>
        <w:jc w:val="center"/>
        <w:outlineLvl w:val="1"/>
        <w:rPr>
          <w:rFonts w:ascii="宋体" w:hAnsi="宋体" w:cs="宋体"/>
          <w:b/>
          <w:sz w:val="32"/>
          <w:szCs w:val="32"/>
          <w:highlight w:val="none"/>
        </w:rPr>
      </w:pPr>
      <w:r>
        <w:rPr>
          <w:rFonts w:hint="eastAsia" w:ascii="宋体" w:hAnsi="宋体" w:cs="宋体"/>
          <w:b/>
          <w:sz w:val="32"/>
          <w:szCs w:val="32"/>
          <w:highlight w:val="none"/>
        </w:rPr>
        <w:t>三、法定代表人（或负责人）证明书</w:t>
      </w:r>
    </w:p>
    <w:p>
      <w:pPr>
        <w:rPr>
          <w:rFonts w:ascii="宋体" w:hAnsi="宋体" w:cs="宋体"/>
          <w:kern w:val="2"/>
          <w:highlight w:val="none"/>
        </w:rPr>
      </w:pPr>
    </w:p>
    <w:p>
      <w:pPr>
        <w:spacing w:line="480" w:lineRule="auto"/>
        <w:rPr>
          <w:rFonts w:ascii="宋体" w:hAnsi="宋体" w:cs="宋体"/>
          <w:kern w:val="2"/>
          <w:highlight w:val="none"/>
        </w:rPr>
      </w:pPr>
      <w:r>
        <w:rPr>
          <w:rFonts w:hint="eastAsia" w:ascii="宋体" w:hAnsi="宋体" w:cs="宋体"/>
          <w:kern w:val="2"/>
          <w:highlight w:val="none"/>
        </w:rPr>
        <w:t>投标人名称：</w:t>
      </w:r>
    </w:p>
    <w:p>
      <w:pPr>
        <w:spacing w:line="480" w:lineRule="auto"/>
        <w:rPr>
          <w:rFonts w:ascii="宋体" w:hAnsi="宋体" w:cs="宋体"/>
          <w:kern w:val="2"/>
          <w:highlight w:val="none"/>
        </w:rPr>
      </w:pPr>
      <w:r>
        <w:rPr>
          <w:rFonts w:hint="eastAsia" w:ascii="宋体" w:hAnsi="宋体" w:cs="宋体"/>
          <w:kern w:val="2"/>
          <w:highlight w:val="none"/>
        </w:rPr>
        <w:t>单位性质：</w:t>
      </w:r>
    </w:p>
    <w:p>
      <w:pPr>
        <w:spacing w:line="480" w:lineRule="auto"/>
        <w:rPr>
          <w:rFonts w:ascii="宋体" w:hAnsi="宋体" w:cs="宋体"/>
          <w:kern w:val="2"/>
          <w:highlight w:val="none"/>
        </w:rPr>
      </w:pPr>
      <w:r>
        <w:rPr>
          <w:rFonts w:hint="eastAsia" w:ascii="宋体" w:hAnsi="宋体" w:cs="宋体"/>
          <w:kern w:val="2"/>
          <w:highlight w:val="none"/>
        </w:rPr>
        <w:t>地址：</w:t>
      </w:r>
    </w:p>
    <w:p>
      <w:pPr>
        <w:spacing w:line="480" w:lineRule="auto"/>
        <w:rPr>
          <w:rFonts w:ascii="宋体" w:hAnsi="宋体" w:cs="宋体"/>
          <w:kern w:val="2"/>
          <w:highlight w:val="none"/>
        </w:rPr>
      </w:pPr>
      <w:r>
        <w:rPr>
          <w:rFonts w:hint="eastAsia" w:ascii="宋体" w:hAnsi="宋体" w:cs="宋体"/>
          <w:kern w:val="2"/>
          <w:highlight w:val="none"/>
        </w:rPr>
        <w:t>成立时间：</w:t>
      </w:r>
    </w:p>
    <w:p>
      <w:pPr>
        <w:spacing w:line="480" w:lineRule="auto"/>
        <w:rPr>
          <w:rFonts w:ascii="宋体" w:hAnsi="宋体" w:cs="宋体"/>
          <w:kern w:val="2"/>
          <w:highlight w:val="none"/>
        </w:rPr>
      </w:pPr>
      <w:r>
        <w:rPr>
          <w:rFonts w:hint="eastAsia" w:ascii="宋体" w:hAnsi="宋体" w:cs="宋体"/>
          <w:kern w:val="2"/>
          <w:highlight w:val="none"/>
        </w:rPr>
        <w:t>经营期限：</w:t>
      </w:r>
    </w:p>
    <w:p>
      <w:pPr>
        <w:spacing w:line="480" w:lineRule="auto"/>
        <w:rPr>
          <w:rFonts w:ascii="宋体" w:hAnsi="宋体" w:cs="宋体"/>
          <w:kern w:val="2"/>
          <w:highlight w:val="none"/>
        </w:rPr>
      </w:pPr>
      <w:r>
        <w:rPr>
          <w:rFonts w:hint="eastAsia" w:ascii="宋体" w:hAnsi="宋体" w:cs="宋体"/>
          <w:kern w:val="2"/>
          <w:highlight w:val="none"/>
        </w:rPr>
        <w:t>姓名：</w:t>
      </w:r>
      <w:r>
        <w:rPr>
          <w:rFonts w:hint="eastAsia" w:ascii="宋体" w:hAnsi="宋体" w:cs="宋体"/>
          <w:kern w:val="2"/>
          <w:highlight w:val="none"/>
          <w:u w:val="single"/>
        </w:rPr>
        <w:t xml:space="preserve">         </w:t>
      </w:r>
      <w:r>
        <w:rPr>
          <w:rFonts w:hint="eastAsia" w:ascii="宋体" w:hAnsi="宋体" w:cs="宋体"/>
          <w:kern w:val="2"/>
          <w:highlight w:val="none"/>
        </w:rPr>
        <w:t xml:space="preserve">  性别：</w:t>
      </w:r>
      <w:r>
        <w:rPr>
          <w:rFonts w:hint="eastAsia" w:ascii="宋体" w:hAnsi="宋体" w:cs="宋体"/>
          <w:kern w:val="2"/>
          <w:highlight w:val="none"/>
          <w:u w:val="single"/>
        </w:rPr>
        <w:t xml:space="preserve">    </w:t>
      </w:r>
      <w:r>
        <w:rPr>
          <w:rFonts w:hint="eastAsia" w:ascii="宋体" w:hAnsi="宋体" w:cs="宋体"/>
          <w:kern w:val="2"/>
          <w:highlight w:val="none"/>
        </w:rPr>
        <w:t xml:space="preserve">  年龄：</w:t>
      </w:r>
      <w:r>
        <w:rPr>
          <w:rFonts w:hint="eastAsia" w:ascii="宋体" w:hAnsi="宋体" w:cs="宋体"/>
          <w:kern w:val="2"/>
          <w:highlight w:val="none"/>
          <w:u w:val="single"/>
        </w:rPr>
        <w:t xml:space="preserve">     </w:t>
      </w:r>
      <w:r>
        <w:rPr>
          <w:rFonts w:hint="eastAsia" w:ascii="宋体" w:hAnsi="宋体" w:cs="宋体"/>
          <w:kern w:val="2"/>
          <w:highlight w:val="none"/>
        </w:rPr>
        <w:t xml:space="preserve">  职务：</w:t>
      </w:r>
      <w:r>
        <w:rPr>
          <w:rFonts w:hint="eastAsia" w:ascii="宋体" w:hAnsi="宋体" w:cs="宋体"/>
          <w:kern w:val="2"/>
          <w:highlight w:val="none"/>
          <w:u w:val="single"/>
        </w:rPr>
        <w:t xml:space="preserve">      </w:t>
      </w:r>
    </w:p>
    <w:p>
      <w:pPr>
        <w:spacing w:line="480" w:lineRule="auto"/>
        <w:rPr>
          <w:rFonts w:ascii="宋体" w:hAnsi="宋体" w:cs="宋体"/>
          <w:kern w:val="2"/>
          <w:highlight w:val="none"/>
        </w:rPr>
      </w:pPr>
      <w:r>
        <w:rPr>
          <w:rFonts w:hint="eastAsia" w:ascii="宋体" w:hAnsi="宋体" w:cs="宋体"/>
          <w:kern w:val="2"/>
          <w:highlight w:val="none"/>
        </w:rPr>
        <w:t>系</w:t>
      </w:r>
      <w:r>
        <w:rPr>
          <w:rFonts w:hint="eastAsia" w:ascii="宋体" w:hAnsi="宋体" w:cs="宋体"/>
          <w:kern w:val="2"/>
          <w:highlight w:val="none"/>
          <w:u w:val="single"/>
        </w:rPr>
        <w:t xml:space="preserve">               </w:t>
      </w:r>
      <w:r>
        <w:rPr>
          <w:rFonts w:hint="eastAsia" w:ascii="宋体" w:hAnsi="宋体" w:cs="宋体"/>
          <w:kern w:val="2"/>
          <w:highlight w:val="none"/>
        </w:rPr>
        <w:t>的法定代表人</w:t>
      </w:r>
      <w:r>
        <w:rPr>
          <w:rFonts w:hint="eastAsia" w:ascii="宋体" w:hAnsi="宋体" w:cs="宋体"/>
          <w:highlight w:val="none"/>
        </w:rPr>
        <w:t>/负责人</w:t>
      </w:r>
      <w:r>
        <w:rPr>
          <w:rFonts w:hint="eastAsia" w:ascii="宋体" w:hAnsi="宋体" w:cs="宋体"/>
          <w:kern w:val="2"/>
          <w:highlight w:val="none"/>
        </w:rPr>
        <w:t>。</w:t>
      </w:r>
    </w:p>
    <w:p>
      <w:pPr>
        <w:spacing w:line="480" w:lineRule="auto"/>
        <w:ind w:firstLine="480" w:firstLineChars="200"/>
        <w:rPr>
          <w:rFonts w:ascii="宋体" w:hAnsi="宋体" w:cs="宋体"/>
          <w:kern w:val="2"/>
          <w:highlight w:val="none"/>
        </w:rPr>
      </w:pPr>
      <w:r>
        <w:rPr>
          <w:rFonts w:hint="eastAsia" w:ascii="宋体" w:hAnsi="宋体" w:cs="宋体"/>
          <w:kern w:val="2"/>
          <w:highlight w:val="none"/>
        </w:rPr>
        <w:t>特此证明。</w:t>
      </w:r>
    </w:p>
    <w:p>
      <w:pPr>
        <w:spacing w:line="480" w:lineRule="auto"/>
        <w:rPr>
          <w:rFonts w:ascii="宋体" w:hAnsi="宋体" w:cs="宋体"/>
          <w:kern w:val="2"/>
          <w:highlight w:val="none"/>
        </w:rPr>
      </w:pPr>
    </w:p>
    <w:p>
      <w:pPr>
        <w:spacing w:line="480" w:lineRule="auto"/>
        <w:rPr>
          <w:rFonts w:ascii="宋体" w:hAnsi="宋体" w:cs="宋体"/>
          <w:kern w:val="2"/>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spacing w:line="480" w:lineRule="exact"/>
        <w:rPr>
          <w:rFonts w:ascii="宋体" w:hAnsi="宋体" w:cs="宋体"/>
          <w:highlight w:val="none"/>
        </w:rPr>
      </w:pPr>
    </w:p>
    <w:p>
      <w:pPr>
        <w:spacing w:line="360" w:lineRule="auto"/>
        <w:jc w:val="center"/>
        <w:outlineLvl w:val="1"/>
        <w:rPr>
          <w:rFonts w:ascii="宋体" w:hAnsi="宋体" w:cs="宋体"/>
          <w:b/>
          <w:sz w:val="32"/>
          <w:highlight w:val="none"/>
        </w:rPr>
      </w:pPr>
      <w:r>
        <w:rPr>
          <w:rFonts w:hint="eastAsia" w:ascii="宋体" w:hAnsi="宋体" w:cs="宋体"/>
          <w:b/>
          <w:sz w:val="32"/>
          <w:highlight w:val="none"/>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992505</wp:posOffset>
                </wp:positionV>
                <wp:extent cx="2724150" cy="1584325"/>
                <wp:effectExtent l="4445" t="5080" r="14605" b="10795"/>
                <wp:wrapNone/>
                <wp:docPr id="1" name="AutoShape 2"/>
                <wp:cNvGraphicFramePr/>
                <a:graphic xmlns:a="http://schemas.openxmlformats.org/drawingml/2006/main">
                  <a:graphicData uri="http://schemas.microsoft.com/office/word/2010/wordprocessingShape">
                    <wps:wsp>
                      <wps:cNvSpPr/>
                      <wps:spPr>
                        <a:xfrm>
                          <a:off x="0" y="0"/>
                          <a:ext cx="272415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法定代表人</w:t>
                            </w:r>
                            <w:r>
                              <w:rPr>
                                <w:rFonts w:hint="eastAsia" w:ascii="宋体" w:hAnsi="宋体" w:cs="宋体"/>
                              </w:rPr>
                              <w:t>（或负责人）</w:t>
                            </w:r>
                            <w:r>
                              <w:rPr>
                                <w:rFonts w:hint="eastAsia" w:hAnsi="宋体"/>
                              </w:rPr>
                              <w:t>身份证复印件</w:t>
                            </w:r>
                          </w:p>
                        </w:txbxContent>
                      </wps:txbx>
                      <wps:bodyPr wrap="square" upright="1"/>
                    </wps:wsp>
                  </a:graphicData>
                </a:graphic>
              </wp:anchor>
            </w:drawing>
          </mc:Choice>
          <mc:Fallback>
            <w:pict>
              <v:shape id="AutoShape 2" o:spid="_x0000_s1026" o:spt="176" type="#_x0000_t176" style="position:absolute;left:0pt;margin-left:-5.85pt;margin-top:78.15pt;height:124.75pt;width:214.5pt;z-index:251659264;mso-width-relative:page;mso-height-relative:page;" fillcolor="#FFFFFF" filled="t" stroked="t" coordsize="21600,21600" o:gfxdata="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780ONgAAAALAQAADwAAAAAAAAABACAA&#10;AAAiAAAAZHJzL2Rvd25yZXYueG1sUEsBAhQAFAAAAAgAh07iQOmco8MNAgAAUAQAAA4AAAAAAAAA&#10;AQAgAAAAJwEAAGRycy9lMm9Eb2MueG1sUEsFBgAAAAAGAAYAWQEAAKY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法定代表人</w:t>
                      </w:r>
                      <w:r>
                        <w:rPr>
                          <w:rFonts w:hint="eastAsia" w:ascii="宋体" w:hAnsi="宋体" w:cs="宋体"/>
                        </w:rPr>
                        <w:t>（或负责人）</w:t>
                      </w:r>
                      <w:r>
                        <w:rPr>
                          <w:rFonts w:hint="eastAsia" w:hAnsi="宋体"/>
                        </w:rPr>
                        <w:t>身份证复印件</w:t>
                      </w:r>
                    </w:p>
                  </w:txbxContent>
                </v:textbox>
              </v:shape>
            </w:pict>
          </mc:Fallback>
        </mc:AlternateContent>
      </w:r>
      <w:r>
        <w:rPr>
          <w:rFonts w:hint="eastAsia" w:ascii="宋体" w:hAnsi="宋体" w:cs="宋体"/>
          <w:b/>
          <w:sz w:val="32"/>
          <w:highlight w:val="none"/>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992505</wp:posOffset>
                </wp:positionV>
                <wp:extent cx="2724150" cy="1584325"/>
                <wp:effectExtent l="4445" t="5080" r="14605" b="10795"/>
                <wp:wrapNone/>
                <wp:docPr id="2" name="AutoShape 7"/>
                <wp:cNvGraphicFramePr/>
                <a:graphic xmlns:a="http://schemas.openxmlformats.org/drawingml/2006/main">
                  <a:graphicData uri="http://schemas.microsoft.com/office/word/2010/wordprocessingShape">
                    <wps:wsp>
                      <wps:cNvSpPr/>
                      <wps:spPr>
                        <a:xfrm>
                          <a:off x="0" y="0"/>
                          <a:ext cx="272415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法定代表人</w:t>
                            </w:r>
                            <w:r>
                              <w:rPr>
                                <w:rFonts w:hint="eastAsia" w:ascii="宋体" w:hAnsi="宋体" w:cs="宋体"/>
                              </w:rPr>
                              <w:t>（或负责人）</w:t>
                            </w:r>
                            <w:r>
                              <w:rPr>
                                <w:rFonts w:hint="eastAsia" w:hAnsi="宋体"/>
                              </w:rPr>
                              <w:t>身份证复印件</w:t>
                            </w:r>
                          </w:p>
                        </w:txbxContent>
                      </wps:txbx>
                      <wps:bodyPr wrap="square" upright="1"/>
                    </wps:wsp>
                  </a:graphicData>
                </a:graphic>
              </wp:anchor>
            </w:drawing>
          </mc:Choice>
          <mc:Fallback>
            <w:pict>
              <v:shape id="AutoShape 7" o:spid="_x0000_s1026" o:spt="176" type="#_x0000_t176" style="position:absolute;left:0pt;margin-left:233.05pt;margin-top:78.15pt;height:124.75pt;width:214.5pt;z-index:251660288;mso-width-relative:page;mso-height-relative:page;" fillcolor="#FFFFFF" filled="t" stroked="t" coordsize="21600,21600" o:gfxdata="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F9SZHYAAAACwEAAA8AAAAAAAAAAQAg&#10;AAAAIgAAAGRycy9kb3ducmV2LnhtbFBLAQIUABQAAAAIAIdO4kDytKdLDgIAAFAEAAAOAAAAAAAA&#10;AAEAIAAAACcBAABkcnMvZTJvRG9jLnhtbFBLBQYAAAAABgAGAFkBAACn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法定代表人</w:t>
                      </w:r>
                      <w:r>
                        <w:rPr>
                          <w:rFonts w:hint="eastAsia" w:ascii="宋体" w:hAnsi="宋体" w:cs="宋体"/>
                        </w:rPr>
                        <w:t>（或负责人）</w:t>
                      </w:r>
                      <w:r>
                        <w:rPr>
                          <w:rFonts w:hint="eastAsia" w:hAnsi="宋体"/>
                        </w:rPr>
                        <w:t>身份证复印件</w:t>
                      </w:r>
                    </w:p>
                  </w:txbxContent>
                </v:textbox>
              </v:shape>
            </w:pict>
          </mc:Fallback>
        </mc:AlternateContent>
      </w:r>
      <w:r>
        <w:rPr>
          <w:rFonts w:hint="eastAsia" w:ascii="宋体" w:hAnsi="宋体" w:cs="宋体"/>
          <w:b/>
          <w:sz w:val="32"/>
          <w:highlight w:val="none"/>
        </w:rPr>
        <w:br w:type="page"/>
      </w:r>
      <w:r>
        <w:rPr>
          <w:rFonts w:hint="eastAsia" w:ascii="宋体" w:hAnsi="宋体" w:cs="宋体"/>
          <w:b/>
          <w:sz w:val="32"/>
          <w:szCs w:val="32"/>
          <w:highlight w:val="none"/>
        </w:rPr>
        <w:t>四、法定代表人（或负责人）授权委托书</w:t>
      </w:r>
    </w:p>
    <w:p>
      <w:pPr>
        <w:pStyle w:val="19"/>
        <w:spacing w:line="480" w:lineRule="exact"/>
        <w:rPr>
          <w:rFonts w:hAnsi="宋体" w:cs="宋体"/>
          <w:highlight w:val="none"/>
        </w:rPr>
      </w:pPr>
    </w:p>
    <w:p>
      <w:pPr>
        <w:pStyle w:val="19"/>
        <w:spacing w:line="480" w:lineRule="exact"/>
        <w:rPr>
          <w:rFonts w:hAnsi="宋体" w:cs="宋体"/>
          <w:highlight w:val="none"/>
        </w:rPr>
      </w:pPr>
      <w:r>
        <w:rPr>
          <w:rFonts w:hint="eastAsia" w:hAnsi="宋体" w:cs="宋体"/>
          <w:highlight w:val="none"/>
        </w:rPr>
        <w:t>致: 公诚管理咨询有限公司</w:t>
      </w:r>
    </w:p>
    <w:p>
      <w:pPr>
        <w:pStyle w:val="19"/>
        <w:spacing w:line="480" w:lineRule="exact"/>
        <w:rPr>
          <w:rFonts w:hAnsi="宋体" w:cs="宋体"/>
          <w:highlight w:val="none"/>
        </w:rPr>
      </w:pPr>
    </w:p>
    <w:p>
      <w:pPr>
        <w:pStyle w:val="19"/>
        <w:spacing w:line="480" w:lineRule="exact"/>
        <w:ind w:firstLine="480" w:firstLineChars="200"/>
        <w:rPr>
          <w:rFonts w:hAnsi="宋体" w:cs="宋体"/>
          <w:highlight w:val="none"/>
        </w:rPr>
      </w:pPr>
      <w:r>
        <w:rPr>
          <w:rFonts w:hint="eastAsia" w:hAnsi="宋体" w:cs="宋体"/>
          <w:highlight w:val="none"/>
        </w:rPr>
        <w:t>本人（</w:t>
      </w:r>
      <w:r>
        <w:rPr>
          <w:rFonts w:hint="eastAsia" w:hAnsi="宋体" w:cs="宋体"/>
          <w:highlight w:val="none"/>
          <w:u w:val="single"/>
        </w:rPr>
        <w:t xml:space="preserve">  姓名 </w:t>
      </w:r>
      <w:r>
        <w:rPr>
          <w:rFonts w:hint="eastAsia" w:hAnsi="宋体" w:cs="宋体"/>
          <w:highlight w:val="none"/>
        </w:rPr>
        <w:t xml:space="preserve"> ）系（  </w:t>
      </w:r>
      <w:r>
        <w:rPr>
          <w:rFonts w:hint="eastAsia" w:hAnsi="宋体" w:cs="宋体"/>
          <w:highlight w:val="none"/>
          <w:u w:val="single"/>
        </w:rPr>
        <w:t xml:space="preserve">投标人名称 </w:t>
      </w:r>
      <w:r>
        <w:rPr>
          <w:rFonts w:hint="eastAsia" w:hAnsi="宋体" w:cs="宋体"/>
          <w:highlight w:val="none"/>
        </w:rPr>
        <w:t xml:space="preserve"> ）的法定代表人/负责人，现委托（</w:t>
      </w:r>
      <w:r>
        <w:rPr>
          <w:rFonts w:hint="eastAsia" w:hAnsi="宋体" w:cs="宋体"/>
          <w:highlight w:val="none"/>
          <w:u w:val="single"/>
        </w:rPr>
        <w:t xml:space="preserve">  姓名  </w:t>
      </w:r>
      <w:r>
        <w:rPr>
          <w:rFonts w:hint="eastAsia" w:hAnsi="宋体" w:cs="宋体"/>
          <w:highlight w:val="none"/>
        </w:rPr>
        <w:t xml:space="preserve">）为我方代理人。代理人根据授权，以我方名义签署、澄清、说明、补正、递交、撤回、修改（ </w:t>
      </w:r>
      <w:r>
        <w:rPr>
          <w:rFonts w:hint="eastAsia" w:hAnsi="宋体" w:cs="宋体"/>
          <w:highlight w:val="none"/>
          <w:u w:val="single"/>
        </w:rPr>
        <w:t xml:space="preserve">  项目名称  </w:t>
      </w:r>
      <w:r>
        <w:rPr>
          <w:rFonts w:hint="eastAsia" w:hAnsi="宋体" w:cs="宋体"/>
          <w:highlight w:val="none"/>
        </w:rPr>
        <w:t>）投标文件、签订合同和处理有关事宜，其法律后果由我方承担。</w:t>
      </w:r>
    </w:p>
    <w:p>
      <w:pPr>
        <w:tabs>
          <w:tab w:val="left" w:pos="2041"/>
        </w:tabs>
        <w:spacing w:line="480" w:lineRule="exact"/>
        <w:rPr>
          <w:rFonts w:ascii="宋体" w:hAnsi="宋体" w:cs="宋体"/>
          <w:kern w:val="2"/>
          <w:highlight w:val="none"/>
        </w:rPr>
      </w:pPr>
      <w:r>
        <w:rPr>
          <w:rFonts w:hint="eastAsia" w:ascii="宋体" w:hAnsi="宋体" w:cs="宋体"/>
          <w:kern w:val="2"/>
          <w:highlight w:val="none"/>
        </w:rPr>
        <w:t>有效期自    年    月    日起至    年    月    日</w:t>
      </w:r>
    </w:p>
    <w:p>
      <w:pPr>
        <w:tabs>
          <w:tab w:val="left" w:pos="2041"/>
        </w:tabs>
        <w:spacing w:line="480" w:lineRule="exact"/>
        <w:rPr>
          <w:rFonts w:ascii="宋体" w:hAnsi="宋体" w:cs="宋体"/>
          <w:kern w:val="2"/>
          <w:highlight w:val="none"/>
        </w:rPr>
      </w:pPr>
      <w:r>
        <w:rPr>
          <w:rFonts w:hint="eastAsia" w:ascii="宋体" w:hAnsi="宋体" w:cs="宋体"/>
          <w:kern w:val="2"/>
          <w:highlight w:val="none"/>
        </w:rPr>
        <w:t>授权单位：（盖章）</w:t>
      </w:r>
      <w:r>
        <w:rPr>
          <w:rFonts w:hint="eastAsia" w:ascii="宋体" w:hAnsi="宋体" w:cs="宋体"/>
          <w:kern w:val="2"/>
          <w:highlight w:val="none"/>
          <w:u w:val="single"/>
        </w:rPr>
        <w:t xml:space="preserve"> </w:t>
      </w:r>
      <w:r>
        <w:rPr>
          <w:rFonts w:ascii="宋体" w:hAnsi="宋体" w:cs="宋体"/>
          <w:kern w:val="2"/>
          <w:highlight w:val="none"/>
          <w:u w:val="single"/>
        </w:rPr>
        <w:t xml:space="preserve">           </w:t>
      </w:r>
    </w:p>
    <w:p>
      <w:pPr>
        <w:tabs>
          <w:tab w:val="left" w:pos="2041"/>
        </w:tabs>
        <w:spacing w:line="480" w:lineRule="exact"/>
        <w:rPr>
          <w:rFonts w:ascii="宋体" w:hAnsi="宋体" w:cs="宋体"/>
          <w:kern w:val="2"/>
          <w:highlight w:val="none"/>
          <w:u w:val="single"/>
        </w:rPr>
      </w:pPr>
      <w:r>
        <w:rPr>
          <w:rFonts w:hint="eastAsia" w:ascii="宋体" w:hAnsi="宋体" w:cs="宋体"/>
          <w:kern w:val="2"/>
          <w:highlight w:val="none"/>
        </w:rPr>
        <w:t>法定代表人</w:t>
      </w:r>
      <w:r>
        <w:rPr>
          <w:rFonts w:hint="eastAsia" w:ascii="宋体" w:hAnsi="宋体" w:cs="宋体"/>
          <w:highlight w:val="none"/>
        </w:rPr>
        <w:t>（或负责人）</w:t>
      </w:r>
      <w:r>
        <w:rPr>
          <w:rFonts w:hint="eastAsia" w:ascii="宋体" w:hAnsi="宋体" w:cs="宋体"/>
          <w:kern w:val="2"/>
          <w:highlight w:val="none"/>
        </w:rPr>
        <w:t>（签名或盖私章）：</w:t>
      </w:r>
      <w:r>
        <w:rPr>
          <w:rFonts w:hint="eastAsia" w:ascii="宋体" w:hAnsi="宋体" w:cs="宋体"/>
          <w:kern w:val="2"/>
          <w:highlight w:val="none"/>
          <w:u w:val="single"/>
        </w:rPr>
        <w:t xml:space="preserve"> </w:t>
      </w:r>
      <w:r>
        <w:rPr>
          <w:rFonts w:ascii="宋体" w:hAnsi="宋体" w:cs="宋体"/>
          <w:kern w:val="2"/>
          <w:highlight w:val="none"/>
          <w:u w:val="single"/>
        </w:rPr>
        <w:t xml:space="preserve">            </w:t>
      </w:r>
    </w:p>
    <w:p>
      <w:pPr>
        <w:tabs>
          <w:tab w:val="left" w:pos="2041"/>
        </w:tabs>
        <w:spacing w:line="480" w:lineRule="exact"/>
        <w:rPr>
          <w:rFonts w:ascii="宋体" w:hAnsi="宋体" w:cs="宋体"/>
          <w:kern w:val="2"/>
          <w:highlight w:val="none"/>
        </w:rPr>
      </w:pPr>
      <w:r>
        <w:rPr>
          <w:rFonts w:hint="eastAsia" w:ascii="宋体" w:hAnsi="宋体" w:cs="宋体"/>
          <w:kern w:val="2"/>
          <w:highlight w:val="none"/>
        </w:rPr>
        <w:t xml:space="preserve">签发日期： </w:t>
      </w:r>
      <w:r>
        <w:rPr>
          <w:rFonts w:ascii="宋体" w:hAnsi="宋体" w:cs="宋体"/>
          <w:kern w:val="2"/>
          <w:highlight w:val="none"/>
        </w:rPr>
        <w:t xml:space="preserve">  </w:t>
      </w:r>
      <w:r>
        <w:rPr>
          <w:rFonts w:hint="eastAsia" w:ascii="宋体" w:hAnsi="宋体" w:cs="宋体"/>
          <w:kern w:val="2"/>
          <w:highlight w:val="none"/>
        </w:rPr>
        <w:t xml:space="preserve"> 年  月   日</w:t>
      </w:r>
    </w:p>
    <w:p>
      <w:pPr>
        <w:tabs>
          <w:tab w:val="left" w:pos="2041"/>
        </w:tabs>
        <w:spacing w:line="480" w:lineRule="exact"/>
        <w:rPr>
          <w:rFonts w:ascii="宋体" w:hAnsi="宋体" w:cs="宋体"/>
          <w:kern w:val="2"/>
          <w:highlight w:val="none"/>
        </w:rPr>
      </w:pPr>
      <w:r>
        <w:rPr>
          <w:rFonts w:hint="eastAsia" w:ascii="宋体" w:hAnsi="宋体" w:cs="宋体"/>
          <w:kern w:val="2"/>
          <w:highlight w:val="none"/>
        </w:rPr>
        <w:t xml:space="preserve">附：代理人性别：    年龄：    职务：     </w:t>
      </w:r>
    </w:p>
    <w:p>
      <w:pPr>
        <w:tabs>
          <w:tab w:val="left" w:pos="2041"/>
        </w:tabs>
        <w:spacing w:line="480" w:lineRule="exact"/>
        <w:rPr>
          <w:rFonts w:ascii="宋体" w:hAnsi="宋体" w:cs="宋体"/>
          <w:kern w:val="2"/>
          <w:highlight w:val="none"/>
        </w:rPr>
      </w:pPr>
      <w:r>
        <w:rPr>
          <w:rFonts w:hint="eastAsia" w:ascii="宋体" w:hAnsi="宋体" w:cs="宋体"/>
          <w:kern w:val="2"/>
          <w:highlight w:val="none"/>
        </w:rPr>
        <w:t>身份证号码：              联系电话：</w:t>
      </w:r>
    </w:p>
    <w:p>
      <w:pPr>
        <w:tabs>
          <w:tab w:val="left" w:pos="2041"/>
        </w:tabs>
        <w:spacing w:line="480" w:lineRule="exact"/>
        <w:rPr>
          <w:rFonts w:ascii="宋体" w:hAnsi="宋体" w:cs="宋体"/>
          <w:highlight w:val="none"/>
        </w:rPr>
      </w:pPr>
      <w:r>
        <w:rPr>
          <w:rFonts w:hint="eastAsia" w:ascii="宋体" w:hAnsi="宋体" w:cs="宋体"/>
          <w:kern w:val="2"/>
          <w:highlight w:val="none"/>
        </w:rPr>
        <w:t>营业执照号码：                      经济性质：</w:t>
      </w:r>
    </w:p>
    <w:p>
      <w:pPr>
        <w:spacing w:line="480" w:lineRule="exact"/>
        <w:rPr>
          <w:rFonts w:ascii="宋体" w:hAnsi="宋体" w:cs="宋体"/>
          <w:b/>
          <w:highlight w:val="none"/>
        </w:rPr>
      </w:pPr>
    </w:p>
    <w:p>
      <w:pPr>
        <w:spacing w:line="480" w:lineRule="exact"/>
        <w:rPr>
          <w:rFonts w:ascii="宋体" w:hAnsi="宋体" w:cs="宋体"/>
          <w:b/>
          <w:highlight w:val="none"/>
        </w:rPr>
      </w:pPr>
    </w:p>
    <w:p>
      <w:pPr>
        <w:spacing w:line="360" w:lineRule="auto"/>
        <w:jc w:val="center"/>
        <w:outlineLvl w:val="1"/>
        <w:rPr>
          <w:rFonts w:ascii="宋体" w:hAnsi="宋体" w:cs="宋体"/>
          <w:spacing w:val="6"/>
          <w:sz w:val="28"/>
          <w:szCs w:val="28"/>
          <w:highlight w:val="none"/>
        </w:rPr>
      </w:pPr>
      <w:r>
        <w:rPr>
          <w:rFonts w:hint="eastAsia" w:ascii="宋体" w:hAnsi="宋体" w:cs="宋体"/>
          <w:sz w:val="21"/>
          <w:highlight w:val="none"/>
        </w:rPr>
        <mc:AlternateContent>
          <mc:Choice Requires="wps">
            <w:drawing>
              <wp:anchor distT="0" distB="0" distL="114300" distR="114300" simplePos="0" relativeHeight="251661312" behindDoc="0" locked="0" layoutInCell="1" allowOverlap="1">
                <wp:simplePos x="0" y="0"/>
                <wp:positionH relativeFrom="column">
                  <wp:posOffset>3090545</wp:posOffset>
                </wp:positionH>
                <wp:positionV relativeFrom="paragraph">
                  <wp:posOffset>273685</wp:posOffset>
                </wp:positionV>
                <wp:extent cx="2333625" cy="1584325"/>
                <wp:effectExtent l="4445" t="4445" r="8890" b="11430"/>
                <wp:wrapNone/>
                <wp:docPr id="3" name="AutoShape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代理人身份证复印件</w:t>
                            </w:r>
                          </w:p>
                        </w:txbxContent>
                      </wps:txbx>
                      <wps:bodyPr wrap="square" upright="1"/>
                    </wps:wsp>
                  </a:graphicData>
                </a:graphic>
              </wp:anchor>
            </w:drawing>
          </mc:Choice>
          <mc:Fallback>
            <w:pict>
              <v:shape id="AutoShape 8" o:spid="_x0000_s1026" o:spt="176" type="#_x0000_t176" style="position:absolute;left:0pt;margin-left:243.35pt;margin-top:21.55pt;height:124.75pt;width:183.75pt;z-index:251661312;mso-width-relative:page;mso-height-relative:page;" fillcolor="#FFFFFF" filled="t" stroked="t" coordsize="21600,21600" o:gfxdata="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2gDU1wAAAAoBAAAPAAAAAAAAAAEAIAAA&#10;ACIAAABkcnMvZG93bnJldi54bWxQSwECFAAUAAAACACHTuJASeRzdQ0CAABQBAAADgAAAAAAAAAB&#10;ACAAAAAmAQAAZHJzL2Uyb0RvYy54bWxQSwUGAAAAAAYABgBZAQAApQU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代理人身份证复印件</w:t>
                      </w:r>
                    </w:p>
                  </w:txbxContent>
                </v:textbox>
              </v:shape>
            </w:pict>
          </mc:Fallback>
        </mc:AlternateContent>
      </w:r>
      <w:r>
        <w:rPr>
          <w:rFonts w:hint="eastAsia" w:ascii="宋体" w:hAnsi="宋体" w:cs="宋体"/>
          <w:sz w:val="21"/>
          <w:highlight w:val="none"/>
        </w:rPr>
        <mc:AlternateContent>
          <mc:Choice Requires="wps">
            <w:drawing>
              <wp:anchor distT="0" distB="0" distL="114300" distR="114300" simplePos="0" relativeHeight="251662336" behindDoc="0" locked="0" layoutInCell="1" allowOverlap="1">
                <wp:simplePos x="0" y="0"/>
                <wp:positionH relativeFrom="column">
                  <wp:posOffset>267970</wp:posOffset>
                </wp:positionH>
                <wp:positionV relativeFrom="paragraph">
                  <wp:posOffset>327025</wp:posOffset>
                </wp:positionV>
                <wp:extent cx="2333625" cy="1584325"/>
                <wp:effectExtent l="4445" t="4445" r="8890" b="11430"/>
                <wp:wrapNone/>
                <wp:docPr id="4"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代理人身份证复印件</w:t>
                            </w:r>
                          </w:p>
                        </w:txbxContent>
                      </wps:txbx>
                      <wps:bodyPr wrap="square" upright="1"/>
                    </wps:wsp>
                  </a:graphicData>
                </a:graphic>
              </wp:anchor>
            </w:drawing>
          </mc:Choice>
          <mc:Fallback>
            <w:pict>
              <v:shape id="AutoShape 3" o:spid="_x0000_s1026" o:spt="176" type="#_x0000_t176" style="position:absolute;left:0pt;margin-left:21.1pt;margin-top:25.75pt;height:124.75pt;width:183.75pt;z-index:251662336;mso-width-relative:page;mso-height-relative:page;" fillcolor="#FFFFFF" filled="t" stroked="t" coordsize="21600,21600" o:gfxdata="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hkxL1wAAAAkBAAAPAAAAAAAAAAEAIAAA&#10;ACIAAABkcnMvZG93bnJldi54bWxQSwECFAAUAAAACACHTuJAy1v+WQ0CAABQBAAADgAAAAAAAAAB&#10;ACAAAAAmAQAAZHJzL2Uyb0RvYy54bWxQSwUGAAAAAAYABgBZAQAApQU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代理人身份证复印件</w:t>
                      </w:r>
                    </w:p>
                  </w:txbxContent>
                </v:textbox>
              </v:shape>
            </w:pict>
          </mc:Fallback>
        </mc:AlternateContent>
      </w:r>
      <w:r>
        <w:rPr>
          <w:rFonts w:hint="eastAsia" w:ascii="宋体" w:hAnsi="宋体" w:cs="宋体"/>
          <w:highlight w:val="none"/>
        </w:rPr>
        <w:br w:type="page"/>
      </w:r>
      <w:bookmarkStart w:id="64" w:name="_Toc42951054"/>
      <w:bookmarkStart w:id="65" w:name="_Hlk33088755"/>
      <w:r>
        <w:rPr>
          <w:rFonts w:hint="eastAsia" w:ascii="宋体" w:hAnsi="宋体" w:cs="宋体"/>
          <w:b/>
          <w:sz w:val="32"/>
          <w:szCs w:val="32"/>
          <w:highlight w:val="none"/>
        </w:rPr>
        <w:t>五、资格证明文件</w:t>
      </w:r>
      <w:bookmarkEnd w:id="64"/>
    </w:p>
    <w:bookmarkEnd w:id="65"/>
    <w:p>
      <w:pPr>
        <w:spacing w:line="360" w:lineRule="auto"/>
        <w:jc w:val="center"/>
        <w:rPr>
          <w:rFonts w:ascii="宋体" w:hAnsi="宋体" w:cs="宋体"/>
          <w:b/>
          <w:sz w:val="32"/>
          <w:szCs w:val="32"/>
          <w:highlight w:val="none"/>
        </w:rPr>
      </w:pPr>
      <w:bookmarkStart w:id="66" w:name="_Hlk33088763"/>
      <w:r>
        <w:rPr>
          <w:rFonts w:hint="eastAsia" w:ascii="宋体" w:hAnsi="宋体" w:cs="宋体"/>
          <w:b/>
          <w:sz w:val="32"/>
          <w:szCs w:val="32"/>
          <w:highlight w:val="none"/>
        </w:rPr>
        <w:t>（一）投标人资格声明函</w:t>
      </w:r>
      <w:bookmarkEnd w:id="66"/>
    </w:p>
    <w:p>
      <w:pPr>
        <w:spacing w:line="480" w:lineRule="auto"/>
        <w:rPr>
          <w:rFonts w:ascii="宋体" w:hAnsi="宋体" w:cs="宋体"/>
          <w:highlight w:val="none"/>
          <w:u w:val="single"/>
        </w:rPr>
      </w:pPr>
      <w:r>
        <w:rPr>
          <w:rFonts w:hint="eastAsia" w:ascii="宋体" w:hAnsi="宋体" w:cs="宋体"/>
          <w:highlight w:val="none"/>
        </w:rPr>
        <w:t>致: 公诚管理咨询有限公司</w:t>
      </w:r>
    </w:p>
    <w:p>
      <w:pPr>
        <w:spacing w:line="480" w:lineRule="auto"/>
        <w:ind w:firstLine="480" w:firstLineChars="200"/>
        <w:rPr>
          <w:rFonts w:ascii="宋体" w:hAnsi="宋体" w:cs="宋体"/>
          <w:szCs w:val="21"/>
          <w:highlight w:val="none"/>
        </w:rPr>
      </w:pPr>
      <w:r>
        <w:rPr>
          <w:rFonts w:hint="eastAsia" w:ascii="宋体" w:hAnsi="宋体" w:cs="宋体"/>
          <w:szCs w:val="21"/>
          <w:highlight w:val="none"/>
        </w:rPr>
        <w:t>关于贵单位</w:t>
      </w:r>
      <w:r>
        <w:rPr>
          <w:rFonts w:hint="eastAsia" w:ascii="宋体" w:hAnsi="宋体" w:cs="宋体"/>
          <w:szCs w:val="21"/>
          <w:highlight w:val="none"/>
          <w:u w:val="single"/>
        </w:rPr>
        <w:t xml:space="preserve">    年  月  日</w:t>
      </w:r>
      <w:r>
        <w:rPr>
          <w:rFonts w:hint="eastAsia" w:ascii="宋体" w:hAnsi="宋体" w:cs="宋体"/>
          <w:szCs w:val="21"/>
          <w:highlight w:val="none"/>
        </w:rPr>
        <w:t>发布</w:t>
      </w:r>
      <w:r>
        <w:rPr>
          <w:rFonts w:hint="eastAsia" w:ascii="宋体" w:hAnsi="宋体" w:cs="宋体"/>
          <w:szCs w:val="21"/>
          <w:highlight w:val="none"/>
          <w:u w:val="single"/>
        </w:rPr>
        <w:t xml:space="preserve">  （项目名称）  </w:t>
      </w:r>
      <w:r>
        <w:rPr>
          <w:rFonts w:hint="eastAsia" w:ascii="宋体" w:hAnsi="宋体" w:cs="宋体"/>
          <w:szCs w:val="21"/>
          <w:highlight w:val="none"/>
        </w:rPr>
        <w:t>（采购代理编号：</w:t>
      </w:r>
      <w:r>
        <w:rPr>
          <w:rFonts w:hint="eastAsia" w:ascii="宋体" w:hAnsi="宋体" w:cs="宋体"/>
          <w:szCs w:val="21"/>
          <w:highlight w:val="none"/>
          <w:u w:val="single"/>
        </w:rPr>
        <w:t xml:space="preserve">       </w:t>
      </w:r>
      <w:r>
        <w:rPr>
          <w:rFonts w:hint="eastAsia" w:ascii="宋体" w:hAnsi="宋体" w:cs="宋体"/>
          <w:szCs w:val="21"/>
          <w:highlight w:val="none"/>
        </w:rPr>
        <w:t>）的招标公告，在此，本公司（企业）声明：我方符合《中华人民共和国政府采购法》第二十二条和《中华人民共和国政府采购法实施条例》第十八条的规定。</w:t>
      </w:r>
    </w:p>
    <w:p>
      <w:pPr>
        <w:spacing w:line="480" w:lineRule="auto"/>
        <w:ind w:firstLine="480" w:firstLineChars="200"/>
        <w:rPr>
          <w:rFonts w:ascii="宋体" w:hAnsi="宋体" w:cs="宋体"/>
          <w:szCs w:val="21"/>
          <w:highlight w:val="none"/>
        </w:rPr>
      </w:pPr>
      <w:r>
        <w:rPr>
          <w:rFonts w:hint="eastAsia" w:ascii="宋体" w:hAnsi="宋体" w:cs="宋体"/>
          <w:szCs w:val="21"/>
          <w:highlight w:val="none"/>
        </w:rPr>
        <w:t>（一）具有独立承担民事责任的能力；</w:t>
      </w:r>
    </w:p>
    <w:p>
      <w:pPr>
        <w:spacing w:line="480" w:lineRule="auto"/>
        <w:ind w:firstLine="480" w:firstLineChars="200"/>
        <w:rPr>
          <w:rFonts w:ascii="宋体" w:hAnsi="宋体" w:cs="宋体"/>
          <w:szCs w:val="21"/>
          <w:highlight w:val="none"/>
        </w:rPr>
      </w:pPr>
      <w:r>
        <w:rPr>
          <w:rFonts w:hint="eastAsia" w:ascii="宋体" w:hAnsi="宋体" w:cs="宋体"/>
          <w:szCs w:val="21"/>
          <w:highlight w:val="none"/>
        </w:rPr>
        <w:t>（二）具有良好的商业信誉和健全的财务会计制度；</w:t>
      </w:r>
    </w:p>
    <w:p>
      <w:pPr>
        <w:spacing w:line="480" w:lineRule="auto"/>
        <w:ind w:firstLine="480" w:firstLineChars="200"/>
        <w:rPr>
          <w:rFonts w:ascii="宋体" w:hAnsi="宋体" w:cs="宋体"/>
          <w:szCs w:val="21"/>
          <w:highlight w:val="none"/>
        </w:rPr>
      </w:pPr>
      <w:r>
        <w:rPr>
          <w:rFonts w:hint="eastAsia" w:ascii="宋体" w:hAnsi="宋体" w:cs="宋体"/>
          <w:szCs w:val="21"/>
          <w:highlight w:val="none"/>
        </w:rPr>
        <w:t>（三）具有履行合同所必需的设备和专业技术能力；</w:t>
      </w:r>
    </w:p>
    <w:p>
      <w:pPr>
        <w:spacing w:line="480" w:lineRule="auto"/>
        <w:ind w:firstLine="480" w:firstLineChars="200"/>
        <w:rPr>
          <w:rFonts w:ascii="宋体" w:hAnsi="宋体" w:cs="宋体"/>
          <w:szCs w:val="21"/>
          <w:highlight w:val="none"/>
        </w:rPr>
      </w:pPr>
      <w:r>
        <w:rPr>
          <w:rFonts w:hint="eastAsia" w:ascii="宋体" w:hAnsi="宋体" w:cs="宋体"/>
          <w:szCs w:val="21"/>
          <w:highlight w:val="none"/>
        </w:rPr>
        <w:t>（四）有依法缴纳税收和社会保障资金的良好记录；</w:t>
      </w:r>
    </w:p>
    <w:p>
      <w:pPr>
        <w:spacing w:line="480" w:lineRule="auto"/>
        <w:ind w:firstLine="480" w:firstLineChars="200"/>
        <w:rPr>
          <w:rFonts w:ascii="宋体" w:hAnsi="宋体" w:cs="宋体"/>
          <w:szCs w:val="21"/>
          <w:highlight w:val="none"/>
        </w:rPr>
      </w:pPr>
      <w:r>
        <w:rPr>
          <w:rFonts w:hint="eastAsia" w:ascii="宋体" w:hAnsi="宋体" w:cs="宋体"/>
          <w:szCs w:val="21"/>
          <w:highlight w:val="none"/>
        </w:rPr>
        <w:t>（五）参加政府采购活动前三年内，在经营活动中没有重大违法记录；</w:t>
      </w:r>
    </w:p>
    <w:p>
      <w:pPr>
        <w:spacing w:line="480" w:lineRule="auto"/>
        <w:ind w:firstLine="480" w:firstLineChars="200"/>
        <w:rPr>
          <w:rFonts w:ascii="宋体" w:hAnsi="宋体" w:cs="宋体"/>
          <w:szCs w:val="21"/>
          <w:highlight w:val="none"/>
        </w:rPr>
      </w:pPr>
      <w:r>
        <w:rPr>
          <w:rFonts w:hint="eastAsia" w:ascii="宋体" w:hAnsi="宋体" w:cs="宋体"/>
          <w:szCs w:val="21"/>
          <w:highlight w:val="none"/>
        </w:rPr>
        <w:t>（六）法律、行政法规规定的其他条件。</w:t>
      </w:r>
    </w:p>
    <w:p>
      <w:pPr>
        <w:spacing w:line="480" w:lineRule="auto"/>
        <w:ind w:firstLine="480" w:firstLineChars="200"/>
        <w:rPr>
          <w:rFonts w:ascii="宋体" w:hAnsi="宋体" w:cs="宋体"/>
          <w:szCs w:val="21"/>
          <w:highlight w:val="none"/>
        </w:rPr>
      </w:pPr>
      <w:r>
        <w:rPr>
          <w:rFonts w:hint="eastAsia" w:ascii="宋体" w:hAnsi="宋体" w:cs="宋体"/>
          <w:szCs w:val="21"/>
          <w:highlight w:val="none"/>
        </w:rPr>
        <w:t>（七）本公司（企业）不存在如下规定：</w:t>
      </w:r>
    </w:p>
    <w:p>
      <w:pPr>
        <w:spacing w:line="480" w:lineRule="auto"/>
        <w:ind w:firstLine="600" w:firstLineChars="250"/>
        <w:rPr>
          <w:rFonts w:ascii="宋体" w:hAnsi="宋体" w:cs="宋体"/>
          <w:szCs w:val="21"/>
          <w:highlight w:val="none"/>
        </w:rPr>
      </w:pPr>
      <w:r>
        <w:rPr>
          <w:rFonts w:hint="eastAsia" w:ascii="宋体" w:hAnsi="宋体" w:cs="宋体"/>
          <w:szCs w:val="21"/>
          <w:highlight w:val="none"/>
        </w:rPr>
        <w:t>1）单位负责人为同一人或者存在直接控股、管理关系的不同供应商。</w:t>
      </w:r>
    </w:p>
    <w:p>
      <w:pPr>
        <w:spacing w:line="480" w:lineRule="auto"/>
        <w:ind w:left="480" w:leftChars="200" w:firstLine="120" w:firstLineChars="50"/>
        <w:rPr>
          <w:rFonts w:ascii="宋体" w:hAnsi="宋体" w:cs="宋体"/>
          <w:szCs w:val="21"/>
          <w:highlight w:val="none"/>
        </w:rPr>
      </w:pPr>
      <w:r>
        <w:rPr>
          <w:rFonts w:hint="eastAsia" w:ascii="宋体" w:hAnsi="宋体" w:cs="宋体"/>
          <w:szCs w:val="21"/>
          <w:highlight w:val="none"/>
        </w:rPr>
        <w:t>2）为采购项目提供整体设计、规范编制或者项目管理、监理、检测等服务的供应商。</w:t>
      </w:r>
    </w:p>
    <w:p>
      <w:pPr>
        <w:spacing w:line="480" w:lineRule="auto"/>
        <w:ind w:left="480" w:leftChars="200" w:firstLine="120" w:firstLineChars="50"/>
        <w:rPr>
          <w:rFonts w:ascii="宋体" w:hAnsi="宋体" w:cs="宋体"/>
          <w:szCs w:val="21"/>
          <w:highlight w:val="none"/>
        </w:rPr>
      </w:pPr>
      <w:r>
        <w:rPr>
          <w:rFonts w:hint="eastAsia" w:ascii="宋体" w:hAnsi="宋体" w:cs="宋体"/>
          <w:szCs w:val="21"/>
          <w:highlight w:val="none"/>
        </w:rPr>
        <w:t>(八)本公司（企业）承诺非联合体投标。</w:t>
      </w:r>
    </w:p>
    <w:p>
      <w:pPr>
        <w:spacing w:line="480" w:lineRule="auto"/>
        <w:ind w:firstLine="600" w:firstLineChars="250"/>
        <w:rPr>
          <w:rFonts w:ascii="宋体" w:hAnsi="宋体" w:cs="宋体"/>
          <w:szCs w:val="21"/>
          <w:highlight w:val="none"/>
        </w:rPr>
      </w:pPr>
      <w:r>
        <w:rPr>
          <w:rFonts w:hint="eastAsia" w:ascii="宋体" w:hAnsi="宋体" w:cs="宋体"/>
          <w:szCs w:val="21"/>
          <w:highlight w:val="none"/>
        </w:rPr>
        <w:t>特此声明！</w:t>
      </w:r>
    </w:p>
    <w:p>
      <w:pPr>
        <w:adjustRightInd w:val="0"/>
        <w:snapToGrid w:val="0"/>
        <w:spacing w:line="480" w:lineRule="auto"/>
        <w:rPr>
          <w:rFonts w:ascii="宋体" w:hAnsi="宋体" w:cs="宋体"/>
          <w:szCs w:val="21"/>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rPr>
          <w:rFonts w:ascii="宋体" w:hAnsi="宋体" w:cs="宋体"/>
          <w:b/>
          <w:sz w:val="32"/>
          <w:szCs w:val="32"/>
          <w:highlight w:val="none"/>
        </w:rPr>
        <w:sectPr>
          <w:pgSz w:w="11907" w:h="16840"/>
          <w:pgMar w:top="1440" w:right="1800" w:bottom="1440" w:left="1800" w:header="737" w:footer="737" w:gutter="0"/>
          <w:pgNumType w:fmt="decimal"/>
          <w:cols w:space="720" w:num="1"/>
          <w:docGrid w:linePitch="312" w:charSpace="0"/>
        </w:sectPr>
      </w:pPr>
    </w:p>
    <w:p>
      <w:pPr>
        <w:spacing w:line="336" w:lineRule="auto"/>
        <w:jc w:val="center"/>
        <w:rPr>
          <w:rFonts w:ascii="宋体" w:hAnsi="宋体" w:cs="宋体"/>
          <w:b/>
          <w:sz w:val="32"/>
          <w:szCs w:val="32"/>
          <w:highlight w:val="none"/>
        </w:rPr>
      </w:pPr>
      <w:r>
        <w:rPr>
          <w:rFonts w:hint="eastAsia" w:ascii="宋体" w:hAnsi="宋体" w:cs="宋体"/>
          <w:b/>
          <w:sz w:val="32"/>
          <w:szCs w:val="32"/>
          <w:highlight w:val="none"/>
        </w:rPr>
        <w:t>（二）资格证明文件（参考格式）</w:t>
      </w:r>
    </w:p>
    <w:p>
      <w:pPr>
        <w:spacing w:line="360" w:lineRule="auto"/>
        <w:ind w:firstLine="480" w:firstLineChars="200"/>
        <w:rPr>
          <w:rFonts w:ascii="宋体" w:hAnsi="宋体" w:cs="宋体"/>
          <w:szCs w:val="21"/>
          <w:highlight w:val="none"/>
        </w:rPr>
      </w:pPr>
      <w:r>
        <w:rPr>
          <w:rFonts w:hint="eastAsia" w:ascii="宋体" w:hAnsi="宋体" w:cs="宋体"/>
          <w:szCs w:val="21"/>
          <w:highlight w:val="none"/>
        </w:rPr>
        <w:t>投标人根据招标文件要求，如实提供以下资格证明材料（加盖公章）</w:t>
      </w:r>
    </w:p>
    <w:p>
      <w:pPr>
        <w:spacing w:line="360" w:lineRule="auto"/>
        <w:ind w:firstLine="480" w:firstLineChars="200"/>
        <w:rPr>
          <w:rFonts w:ascii="宋体" w:hAnsi="宋体" w:cs="宋体"/>
          <w:kern w:val="2"/>
          <w:szCs w:val="20"/>
          <w:highlight w:val="none"/>
        </w:rPr>
      </w:pPr>
      <w:r>
        <w:rPr>
          <w:rFonts w:hint="eastAsia" w:ascii="宋体" w:hAnsi="宋体" w:cs="宋体"/>
          <w:kern w:val="2"/>
          <w:szCs w:val="20"/>
          <w:highlight w:val="none"/>
        </w:rPr>
        <w:t>1）在中华人民共和国境内注册的法人或其他组织或自然人，投标时提交有效的营</w:t>
      </w:r>
      <w:r>
        <w:rPr>
          <w:rFonts w:hint="eastAsia" w:ascii="宋体" w:hAnsi="宋体" w:cs="宋体"/>
          <w:szCs w:val="21"/>
          <w:highlight w:val="none"/>
        </w:rPr>
        <w:t>业执照（或事业法人登记证或身份证等相关证明）副本复印件。分支机构投标的，须提</w:t>
      </w:r>
      <w:r>
        <w:rPr>
          <w:rFonts w:hint="eastAsia" w:ascii="宋体" w:hAnsi="宋体" w:cs="宋体"/>
          <w:kern w:val="2"/>
          <w:szCs w:val="20"/>
          <w:highlight w:val="none"/>
        </w:rPr>
        <w:t>供总公司和分公司营业执照副本复印件，总公司出具给分支机构的授权书；</w:t>
      </w:r>
    </w:p>
    <w:p>
      <w:pPr>
        <w:spacing w:line="360" w:lineRule="auto"/>
        <w:ind w:firstLine="480" w:firstLineChars="200"/>
        <w:rPr>
          <w:rFonts w:ascii="宋体" w:hAnsi="宋体" w:cs="宋体"/>
          <w:kern w:val="2"/>
          <w:szCs w:val="20"/>
          <w:highlight w:val="none"/>
        </w:rPr>
      </w:pPr>
      <w:r>
        <w:rPr>
          <w:rFonts w:hint="eastAsia" w:ascii="宋体" w:hAnsi="宋体" w:cs="宋体"/>
          <w:kern w:val="2"/>
          <w:szCs w:val="20"/>
          <w:highlight w:val="none"/>
        </w:rPr>
        <w:t>2）提供投标截止时间前近6个月内任意一个月的依法缴纳税收的凭证复印件。依法免税的投标人，应提供证明其免税的相应文件；(加盖公章)；</w:t>
      </w:r>
    </w:p>
    <w:p>
      <w:pPr>
        <w:spacing w:line="360" w:lineRule="auto"/>
        <w:ind w:firstLine="480" w:firstLineChars="200"/>
        <w:rPr>
          <w:rFonts w:ascii="宋体" w:hAnsi="宋体" w:cs="宋体"/>
          <w:kern w:val="2"/>
          <w:szCs w:val="20"/>
          <w:highlight w:val="none"/>
        </w:rPr>
      </w:pPr>
      <w:r>
        <w:rPr>
          <w:rFonts w:hint="eastAsia" w:ascii="宋体" w:hAnsi="宋体" w:cs="宋体"/>
          <w:kern w:val="2"/>
          <w:szCs w:val="20"/>
          <w:highlight w:val="none"/>
        </w:rPr>
        <w:t>3）提供投标截止时间前近6个月内任意一个月的缴纳社会保险的凭证复印件。依法不需要缴纳社会保障资金的投标人，应提供证明其不需要缴纳社会保障资金的相应文件(加盖公章)；</w:t>
      </w:r>
    </w:p>
    <w:p>
      <w:pPr>
        <w:spacing w:line="360" w:lineRule="auto"/>
        <w:ind w:firstLine="480" w:firstLineChars="200"/>
        <w:rPr>
          <w:rFonts w:ascii="宋体" w:hAnsi="宋体" w:cs="宋体"/>
          <w:kern w:val="2"/>
          <w:szCs w:val="20"/>
          <w:highlight w:val="none"/>
        </w:rPr>
      </w:pPr>
      <w:r>
        <w:rPr>
          <w:rFonts w:hint="eastAsia" w:ascii="宋体" w:hAnsi="宋体" w:cs="宋体"/>
          <w:kern w:val="2"/>
          <w:szCs w:val="20"/>
          <w:highlight w:val="none"/>
        </w:rPr>
        <w:t>4）提供2020年度或2021年度财务状况报告(新成立不足一年的公司提供成立至今的月或季度财务报表复印件)或基本开户行出具的资信证明</w:t>
      </w:r>
    </w:p>
    <w:p>
      <w:pPr>
        <w:spacing w:line="360" w:lineRule="auto"/>
        <w:ind w:firstLine="480" w:firstLineChars="200"/>
        <w:rPr>
          <w:rFonts w:ascii="宋体" w:hAnsi="宋体" w:cs="宋体"/>
          <w:kern w:val="2"/>
          <w:szCs w:val="20"/>
          <w:highlight w:val="none"/>
        </w:rPr>
      </w:pPr>
      <w:r>
        <w:rPr>
          <w:rFonts w:hint="eastAsia" w:ascii="宋体" w:hAnsi="宋体" w:cs="宋体"/>
          <w:kern w:val="2"/>
          <w:szCs w:val="20"/>
          <w:highlight w:val="none"/>
        </w:rPr>
        <w:t>5）设备和专业技术能力情况表：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3587"/>
        <w:gridCol w:w="237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9" w:type="dxa"/>
            <w:gridSpan w:val="4"/>
            <w:shd w:val="clear" w:color="auto" w:fill="auto"/>
            <w:vAlign w:val="center"/>
          </w:tcPr>
          <w:p>
            <w:pPr>
              <w:pStyle w:val="34"/>
              <w:rPr>
                <w:rFonts w:ascii="宋体" w:hAnsi="宋体" w:eastAsia="宋体" w:cs="宋体"/>
                <w:kern w:val="2"/>
                <w:sz w:val="24"/>
                <w:szCs w:val="20"/>
                <w:highlight w:val="none"/>
              </w:rPr>
            </w:pPr>
            <w:r>
              <w:rPr>
                <w:rFonts w:hint="eastAsia" w:ascii="宋体" w:hAnsi="宋体" w:eastAsia="宋体" w:cs="宋体"/>
                <w:kern w:val="2"/>
                <w:sz w:val="24"/>
                <w:szCs w:val="20"/>
                <w:highlight w:val="none"/>
              </w:rPr>
              <w:t>我单位为本项目实施提供以下设备和专业技术人员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2" w:type="dxa"/>
            <w:shd w:val="clear" w:color="auto" w:fill="auto"/>
            <w:vAlign w:val="center"/>
          </w:tcPr>
          <w:p>
            <w:pPr>
              <w:pStyle w:val="34"/>
              <w:jc w:val="center"/>
              <w:rPr>
                <w:rFonts w:ascii="宋体" w:hAnsi="宋体" w:eastAsia="宋体" w:cs="宋体"/>
                <w:kern w:val="2"/>
                <w:sz w:val="24"/>
                <w:szCs w:val="20"/>
                <w:highlight w:val="none"/>
              </w:rPr>
            </w:pPr>
            <w:r>
              <w:rPr>
                <w:rFonts w:hint="eastAsia" w:ascii="宋体" w:hAnsi="宋体" w:eastAsia="宋体" w:cs="宋体"/>
                <w:kern w:val="2"/>
                <w:sz w:val="24"/>
                <w:szCs w:val="20"/>
                <w:highlight w:val="none"/>
              </w:rPr>
              <w:t>序号</w:t>
            </w:r>
          </w:p>
        </w:tc>
        <w:tc>
          <w:tcPr>
            <w:tcW w:w="4123" w:type="dxa"/>
            <w:shd w:val="clear" w:color="auto" w:fill="auto"/>
            <w:vAlign w:val="center"/>
          </w:tcPr>
          <w:p>
            <w:pPr>
              <w:pStyle w:val="34"/>
              <w:jc w:val="center"/>
              <w:rPr>
                <w:rFonts w:ascii="宋体" w:hAnsi="宋体" w:eastAsia="宋体" w:cs="宋体"/>
                <w:kern w:val="2"/>
                <w:sz w:val="24"/>
                <w:szCs w:val="20"/>
                <w:highlight w:val="none"/>
              </w:rPr>
            </w:pPr>
            <w:r>
              <w:rPr>
                <w:rFonts w:hint="eastAsia" w:ascii="宋体" w:hAnsi="宋体" w:eastAsia="宋体" w:cs="宋体"/>
                <w:kern w:val="2"/>
                <w:sz w:val="24"/>
                <w:szCs w:val="20"/>
                <w:highlight w:val="none"/>
              </w:rPr>
              <w:t>设备名称和专业技术人员</w:t>
            </w:r>
          </w:p>
        </w:tc>
        <w:tc>
          <w:tcPr>
            <w:tcW w:w="2708" w:type="dxa"/>
            <w:shd w:val="clear" w:color="auto" w:fill="auto"/>
            <w:vAlign w:val="center"/>
          </w:tcPr>
          <w:p>
            <w:pPr>
              <w:pStyle w:val="34"/>
              <w:jc w:val="center"/>
              <w:rPr>
                <w:rFonts w:ascii="宋体" w:hAnsi="宋体" w:eastAsia="宋体" w:cs="宋体"/>
                <w:kern w:val="2"/>
                <w:sz w:val="24"/>
                <w:szCs w:val="20"/>
                <w:highlight w:val="none"/>
              </w:rPr>
            </w:pPr>
            <w:r>
              <w:rPr>
                <w:rFonts w:hint="eastAsia" w:ascii="宋体" w:hAnsi="宋体" w:eastAsia="宋体" w:cs="宋体"/>
                <w:kern w:val="2"/>
                <w:sz w:val="24"/>
                <w:szCs w:val="20"/>
                <w:highlight w:val="none"/>
              </w:rPr>
              <w:t>数量及单位</w:t>
            </w:r>
          </w:p>
        </w:tc>
        <w:tc>
          <w:tcPr>
            <w:tcW w:w="1586" w:type="dxa"/>
            <w:shd w:val="clear" w:color="auto" w:fill="auto"/>
            <w:vAlign w:val="center"/>
          </w:tcPr>
          <w:p>
            <w:pPr>
              <w:pStyle w:val="34"/>
              <w:jc w:val="center"/>
              <w:rPr>
                <w:rFonts w:ascii="宋体" w:hAnsi="宋体" w:eastAsia="宋体" w:cs="宋体"/>
                <w:kern w:val="2"/>
                <w:sz w:val="24"/>
                <w:szCs w:val="20"/>
                <w:highlight w:val="none"/>
              </w:rPr>
            </w:pPr>
            <w:r>
              <w:rPr>
                <w:rFonts w:hint="eastAsia" w:ascii="宋体" w:hAnsi="宋体" w:eastAsia="宋体" w:cs="宋体"/>
                <w:kern w:val="2"/>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2" w:type="dxa"/>
            <w:shd w:val="clear" w:color="auto" w:fill="auto"/>
            <w:vAlign w:val="center"/>
          </w:tcPr>
          <w:p>
            <w:pPr>
              <w:pStyle w:val="34"/>
              <w:jc w:val="center"/>
              <w:rPr>
                <w:rFonts w:ascii="宋体" w:hAnsi="宋体" w:eastAsia="宋体" w:cs="宋体"/>
                <w:kern w:val="2"/>
                <w:sz w:val="24"/>
                <w:szCs w:val="20"/>
                <w:highlight w:val="none"/>
              </w:rPr>
            </w:pPr>
            <w:r>
              <w:rPr>
                <w:rFonts w:hint="eastAsia" w:ascii="宋体" w:hAnsi="宋体" w:eastAsia="宋体" w:cs="宋体"/>
                <w:kern w:val="2"/>
                <w:sz w:val="24"/>
                <w:szCs w:val="20"/>
                <w:highlight w:val="none"/>
              </w:rPr>
              <w:t>1</w:t>
            </w:r>
          </w:p>
        </w:tc>
        <w:tc>
          <w:tcPr>
            <w:tcW w:w="4123" w:type="dxa"/>
            <w:shd w:val="clear" w:color="auto" w:fill="auto"/>
            <w:vAlign w:val="center"/>
          </w:tcPr>
          <w:p>
            <w:pPr>
              <w:pStyle w:val="34"/>
              <w:jc w:val="center"/>
              <w:rPr>
                <w:rFonts w:ascii="宋体" w:hAnsi="宋体" w:eastAsia="宋体" w:cs="宋体"/>
                <w:kern w:val="2"/>
                <w:sz w:val="24"/>
                <w:szCs w:val="20"/>
                <w:highlight w:val="none"/>
              </w:rPr>
            </w:pPr>
          </w:p>
        </w:tc>
        <w:tc>
          <w:tcPr>
            <w:tcW w:w="2708" w:type="dxa"/>
            <w:shd w:val="clear" w:color="auto" w:fill="auto"/>
            <w:vAlign w:val="center"/>
          </w:tcPr>
          <w:p>
            <w:pPr>
              <w:pStyle w:val="34"/>
              <w:jc w:val="center"/>
              <w:rPr>
                <w:rFonts w:ascii="宋体" w:hAnsi="宋体" w:eastAsia="宋体" w:cs="宋体"/>
                <w:kern w:val="2"/>
                <w:sz w:val="24"/>
                <w:szCs w:val="20"/>
                <w:highlight w:val="none"/>
              </w:rPr>
            </w:pPr>
          </w:p>
        </w:tc>
        <w:tc>
          <w:tcPr>
            <w:tcW w:w="1586" w:type="dxa"/>
            <w:shd w:val="clear" w:color="auto" w:fill="auto"/>
            <w:vAlign w:val="center"/>
          </w:tcPr>
          <w:p>
            <w:pPr>
              <w:pStyle w:val="34"/>
              <w:jc w:val="center"/>
              <w:rPr>
                <w:rFonts w:ascii="宋体" w:hAnsi="宋体" w:eastAsia="宋体" w:cs="宋体"/>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2" w:type="dxa"/>
            <w:shd w:val="clear" w:color="auto" w:fill="auto"/>
            <w:vAlign w:val="center"/>
          </w:tcPr>
          <w:p>
            <w:pPr>
              <w:pStyle w:val="34"/>
              <w:jc w:val="center"/>
              <w:rPr>
                <w:rFonts w:ascii="宋体" w:hAnsi="宋体" w:eastAsia="宋体" w:cs="宋体"/>
                <w:kern w:val="2"/>
                <w:sz w:val="24"/>
                <w:szCs w:val="20"/>
                <w:highlight w:val="none"/>
              </w:rPr>
            </w:pPr>
            <w:r>
              <w:rPr>
                <w:rFonts w:hint="eastAsia" w:ascii="宋体" w:hAnsi="宋体" w:eastAsia="宋体" w:cs="宋体"/>
                <w:kern w:val="2"/>
                <w:sz w:val="24"/>
                <w:szCs w:val="20"/>
                <w:highlight w:val="none"/>
              </w:rPr>
              <w:t>2</w:t>
            </w:r>
          </w:p>
        </w:tc>
        <w:tc>
          <w:tcPr>
            <w:tcW w:w="4123" w:type="dxa"/>
            <w:shd w:val="clear" w:color="auto" w:fill="auto"/>
            <w:vAlign w:val="center"/>
          </w:tcPr>
          <w:p>
            <w:pPr>
              <w:pStyle w:val="34"/>
              <w:jc w:val="center"/>
              <w:rPr>
                <w:rFonts w:ascii="宋体" w:hAnsi="宋体" w:eastAsia="宋体" w:cs="宋体"/>
                <w:kern w:val="2"/>
                <w:sz w:val="24"/>
                <w:szCs w:val="20"/>
                <w:highlight w:val="none"/>
              </w:rPr>
            </w:pPr>
          </w:p>
        </w:tc>
        <w:tc>
          <w:tcPr>
            <w:tcW w:w="2708" w:type="dxa"/>
            <w:shd w:val="clear" w:color="auto" w:fill="auto"/>
            <w:vAlign w:val="center"/>
          </w:tcPr>
          <w:p>
            <w:pPr>
              <w:pStyle w:val="34"/>
              <w:jc w:val="center"/>
              <w:rPr>
                <w:rFonts w:ascii="宋体" w:hAnsi="宋体" w:eastAsia="宋体" w:cs="宋体"/>
                <w:kern w:val="2"/>
                <w:sz w:val="24"/>
                <w:szCs w:val="20"/>
                <w:highlight w:val="none"/>
              </w:rPr>
            </w:pPr>
          </w:p>
        </w:tc>
        <w:tc>
          <w:tcPr>
            <w:tcW w:w="1586" w:type="dxa"/>
            <w:shd w:val="clear" w:color="auto" w:fill="auto"/>
            <w:vAlign w:val="center"/>
          </w:tcPr>
          <w:p>
            <w:pPr>
              <w:pStyle w:val="34"/>
              <w:jc w:val="center"/>
              <w:rPr>
                <w:rFonts w:ascii="宋体" w:hAnsi="宋体" w:eastAsia="宋体" w:cs="宋体"/>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2" w:type="dxa"/>
            <w:shd w:val="clear" w:color="auto" w:fill="auto"/>
            <w:vAlign w:val="center"/>
          </w:tcPr>
          <w:p>
            <w:pPr>
              <w:pStyle w:val="34"/>
              <w:jc w:val="center"/>
              <w:rPr>
                <w:rFonts w:ascii="宋体" w:hAnsi="宋体" w:eastAsia="宋体" w:cs="宋体"/>
                <w:kern w:val="2"/>
                <w:sz w:val="24"/>
                <w:szCs w:val="20"/>
                <w:highlight w:val="none"/>
              </w:rPr>
            </w:pPr>
            <w:r>
              <w:rPr>
                <w:rFonts w:hint="eastAsia" w:ascii="宋体" w:hAnsi="宋体" w:eastAsia="宋体" w:cs="宋体"/>
                <w:kern w:val="2"/>
                <w:sz w:val="24"/>
                <w:szCs w:val="20"/>
                <w:highlight w:val="none"/>
              </w:rPr>
              <w:t>3</w:t>
            </w:r>
          </w:p>
        </w:tc>
        <w:tc>
          <w:tcPr>
            <w:tcW w:w="4123" w:type="dxa"/>
            <w:shd w:val="clear" w:color="auto" w:fill="auto"/>
            <w:vAlign w:val="center"/>
          </w:tcPr>
          <w:p>
            <w:pPr>
              <w:pStyle w:val="34"/>
              <w:jc w:val="center"/>
              <w:rPr>
                <w:rFonts w:ascii="宋体" w:hAnsi="宋体" w:eastAsia="宋体" w:cs="宋体"/>
                <w:kern w:val="2"/>
                <w:sz w:val="24"/>
                <w:szCs w:val="20"/>
                <w:highlight w:val="none"/>
              </w:rPr>
            </w:pPr>
          </w:p>
        </w:tc>
        <w:tc>
          <w:tcPr>
            <w:tcW w:w="2708" w:type="dxa"/>
            <w:shd w:val="clear" w:color="auto" w:fill="auto"/>
            <w:vAlign w:val="center"/>
          </w:tcPr>
          <w:p>
            <w:pPr>
              <w:pStyle w:val="34"/>
              <w:jc w:val="center"/>
              <w:rPr>
                <w:rFonts w:ascii="宋体" w:hAnsi="宋体" w:eastAsia="宋体" w:cs="宋体"/>
                <w:kern w:val="2"/>
                <w:sz w:val="24"/>
                <w:szCs w:val="20"/>
                <w:highlight w:val="none"/>
              </w:rPr>
            </w:pPr>
          </w:p>
        </w:tc>
        <w:tc>
          <w:tcPr>
            <w:tcW w:w="1586" w:type="dxa"/>
            <w:shd w:val="clear" w:color="auto" w:fill="auto"/>
            <w:vAlign w:val="center"/>
          </w:tcPr>
          <w:p>
            <w:pPr>
              <w:pStyle w:val="34"/>
              <w:jc w:val="center"/>
              <w:rPr>
                <w:rFonts w:ascii="宋体" w:hAnsi="宋体" w:eastAsia="宋体" w:cs="宋体"/>
                <w:kern w:val="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2" w:type="dxa"/>
            <w:shd w:val="clear" w:color="auto" w:fill="auto"/>
            <w:vAlign w:val="center"/>
          </w:tcPr>
          <w:p>
            <w:pPr>
              <w:pStyle w:val="34"/>
              <w:jc w:val="center"/>
              <w:rPr>
                <w:rFonts w:ascii="宋体" w:hAnsi="宋体" w:eastAsia="宋体" w:cs="宋体"/>
                <w:kern w:val="2"/>
                <w:sz w:val="24"/>
                <w:szCs w:val="20"/>
                <w:highlight w:val="none"/>
              </w:rPr>
            </w:pPr>
            <w:r>
              <w:rPr>
                <w:rFonts w:hint="eastAsia" w:ascii="宋体" w:hAnsi="宋体" w:eastAsia="宋体" w:cs="宋体"/>
                <w:kern w:val="2"/>
                <w:sz w:val="24"/>
                <w:szCs w:val="20"/>
                <w:highlight w:val="none"/>
              </w:rPr>
              <w:t>……</w:t>
            </w:r>
          </w:p>
        </w:tc>
        <w:tc>
          <w:tcPr>
            <w:tcW w:w="4123" w:type="dxa"/>
            <w:shd w:val="clear" w:color="auto" w:fill="auto"/>
            <w:vAlign w:val="center"/>
          </w:tcPr>
          <w:p>
            <w:pPr>
              <w:pStyle w:val="34"/>
              <w:jc w:val="center"/>
              <w:rPr>
                <w:rFonts w:ascii="宋体" w:hAnsi="宋体" w:eastAsia="宋体" w:cs="宋体"/>
                <w:kern w:val="2"/>
                <w:sz w:val="24"/>
                <w:szCs w:val="20"/>
                <w:highlight w:val="none"/>
              </w:rPr>
            </w:pPr>
          </w:p>
        </w:tc>
        <w:tc>
          <w:tcPr>
            <w:tcW w:w="2708" w:type="dxa"/>
            <w:shd w:val="clear" w:color="auto" w:fill="auto"/>
            <w:vAlign w:val="center"/>
          </w:tcPr>
          <w:p>
            <w:pPr>
              <w:pStyle w:val="34"/>
              <w:jc w:val="center"/>
              <w:rPr>
                <w:rFonts w:ascii="宋体" w:hAnsi="宋体" w:eastAsia="宋体" w:cs="宋体"/>
                <w:kern w:val="2"/>
                <w:sz w:val="24"/>
                <w:szCs w:val="20"/>
                <w:highlight w:val="none"/>
              </w:rPr>
            </w:pPr>
          </w:p>
        </w:tc>
        <w:tc>
          <w:tcPr>
            <w:tcW w:w="1586" w:type="dxa"/>
            <w:shd w:val="clear" w:color="auto" w:fill="auto"/>
            <w:vAlign w:val="center"/>
          </w:tcPr>
          <w:p>
            <w:pPr>
              <w:pStyle w:val="34"/>
              <w:jc w:val="center"/>
              <w:rPr>
                <w:rFonts w:ascii="宋体" w:hAnsi="宋体" w:eastAsia="宋体" w:cs="宋体"/>
                <w:kern w:val="2"/>
                <w:sz w:val="24"/>
                <w:szCs w:val="20"/>
                <w:highlight w:val="none"/>
              </w:rPr>
            </w:pPr>
          </w:p>
        </w:tc>
      </w:tr>
    </w:tbl>
    <w:p>
      <w:pPr>
        <w:spacing w:line="360" w:lineRule="auto"/>
        <w:ind w:firstLine="480" w:firstLineChars="200"/>
        <w:rPr>
          <w:rFonts w:ascii="宋体" w:hAnsi="宋体" w:cs="宋体"/>
          <w:kern w:val="2"/>
          <w:szCs w:val="20"/>
          <w:highlight w:val="none"/>
        </w:rPr>
      </w:pPr>
    </w:p>
    <w:p>
      <w:pPr>
        <w:spacing w:line="360" w:lineRule="auto"/>
        <w:ind w:firstLine="480" w:firstLineChars="200"/>
        <w:rPr>
          <w:rFonts w:ascii="宋体" w:hAnsi="宋体" w:cs="宋体"/>
          <w:kern w:val="2"/>
          <w:szCs w:val="20"/>
          <w:highlight w:val="none"/>
        </w:rPr>
      </w:pPr>
      <w:r>
        <w:rPr>
          <w:rFonts w:hint="eastAsia" w:ascii="宋体" w:hAnsi="宋体" w:cs="宋体"/>
          <w:kern w:val="2"/>
          <w:szCs w:val="20"/>
          <w:highlight w:val="none"/>
        </w:rPr>
        <w:t>6）信用记录查询结果的打印页面及政府采购严重违法失信行为信息记录打印页面（加盖公章）</w:t>
      </w:r>
    </w:p>
    <w:p>
      <w:pPr>
        <w:pStyle w:val="19"/>
        <w:adjustRightInd w:val="0"/>
        <w:snapToGrid w:val="0"/>
        <w:spacing w:line="336" w:lineRule="auto"/>
        <w:ind w:firstLine="0"/>
        <w:rPr>
          <w:rFonts w:hAnsi="宋体" w:cs="宋体"/>
          <w:highlight w:val="none"/>
        </w:rPr>
      </w:pPr>
    </w:p>
    <w:p>
      <w:pPr>
        <w:spacing w:line="360" w:lineRule="auto"/>
        <w:jc w:val="center"/>
        <w:outlineLvl w:val="1"/>
        <w:rPr>
          <w:rFonts w:ascii="宋体" w:hAnsi="宋体" w:cs="宋体"/>
          <w:b/>
          <w:sz w:val="32"/>
          <w:szCs w:val="32"/>
          <w:highlight w:val="none"/>
        </w:rPr>
      </w:pPr>
      <w:r>
        <w:rPr>
          <w:rFonts w:ascii="宋体" w:hAnsi="宋体" w:cs="宋体"/>
          <w:kern w:val="2"/>
          <w:szCs w:val="20"/>
          <w:highlight w:val="none"/>
        </w:rPr>
        <w:br w:type="page"/>
      </w:r>
      <w:r>
        <w:rPr>
          <w:rFonts w:hint="eastAsia" w:ascii="宋体" w:hAnsi="宋体" w:cs="宋体"/>
          <w:b/>
          <w:sz w:val="32"/>
          <w:szCs w:val="32"/>
          <w:highlight w:val="none"/>
        </w:rPr>
        <w:t>六、商务部分</w:t>
      </w:r>
    </w:p>
    <w:p>
      <w:pPr>
        <w:pStyle w:val="128"/>
        <w:spacing w:before="120" w:after="120" w:line="360" w:lineRule="auto"/>
        <w:ind w:firstLine="0" w:firstLineChars="0"/>
        <w:jc w:val="center"/>
        <w:rPr>
          <w:rFonts w:ascii="宋体" w:hAnsi="宋体" w:cs="宋体"/>
          <w:b/>
          <w:sz w:val="32"/>
          <w:szCs w:val="32"/>
          <w:highlight w:val="none"/>
        </w:rPr>
      </w:pPr>
      <w:bookmarkStart w:id="67" w:name="_Toc409007574"/>
      <w:bookmarkStart w:id="68" w:name="_Toc353455129"/>
      <w:bookmarkStart w:id="69" w:name="_Toc433362972"/>
      <w:r>
        <w:rPr>
          <w:rFonts w:hint="eastAsia" w:ascii="宋体" w:hAnsi="宋体" w:cs="宋体"/>
          <w:b/>
          <w:sz w:val="32"/>
          <w:szCs w:val="32"/>
          <w:highlight w:val="none"/>
        </w:rPr>
        <w:t>（一）商务条款响应表</w:t>
      </w:r>
      <w:bookmarkEnd w:id="67"/>
      <w:bookmarkEnd w:id="68"/>
      <w:bookmarkEnd w:id="69"/>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5294"/>
        <w:gridCol w:w="116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3106"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主要商务条款</w:t>
            </w:r>
          </w:p>
        </w:tc>
        <w:tc>
          <w:tcPr>
            <w:tcW w:w="685"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是否响应</w:t>
            </w:r>
          </w:p>
        </w:tc>
        <w:tc>
          <w:tcPr>
            <w:tcW w:w="750"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3106" w:type="pct"/>
            <w:vAlign w:val="center"/>
          </w:tcPr>
          <w:p>
            <w:pPr>
              <w:spacing w:line="360" w:lineRule="exact"/>
              <w:rPr>
                <w:rFonts w:ascii="宋体" w:hAnsi="宋体" w:cs="宋体"/>
                <w:szCs w:val="21"/>
                <w:highlight w:val="none"/>
              </w:rPr>
            </w:pPr>
            <w:r>
              <w:rPr>
                <w:rFonts w:hint="eastAsia" w:ascii="宋体" w:hAnsi="宋体" w:cs="宋体"/>
                <w:szCs w:val="21"/>
                <w:highlight w:val="none"/>
              </w:rPr>
              <w:t>完全理解并接受对合格投标人、合格的货物、工程和服务要求</w:t>
            </w:r>
          </w:p>
        </w:tc>
        <w:tc>
          <w:tcPr>
            <w:tcW w:w="685" w:type="pct"/>
            <w:vAlign w:val="center"/>
          </w:tcPr>
          <w:p>
            <w:pPr>
              <w:pStyle w:val="144"/>
              <w:adjustRightInd/>
              <w:spacing w:before="0" w:after="0" w:line="360" w:lineRule="exact"/>
              <w:textAlignment w:val="auto"/>
              <w:rPr>
                <w:rFonts w:ascii="宋体" w:hAnsi="宋体" w:cs="宋体"/>
                <w:spacing w:val="0"/>
                <w:kern w:val="2"/>
                <w:sz w:val="21"/>
                <w:szCs w:val="21"/>
                <w:highlight w:val="none"/>
              </w:rPr>
            </w:pPr>
          </w:p>
        </w:tc>
        <w:tc>
          <w:tcPr>
            <w:tcW w:w="750" w:type="pct"/>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w:t>
            </w:r>
          </w:p>
        </w:tc>
        <w:tc>
          <w:tcPr>
            <w:tcW w:w="3106" w:type="pct"/>
            <w:vAlign w:val="center"/>
          </w:tcPr>
          <w:p>
            <w:pPr>
              <w:spacing w:line="360" w:lineRule="exact"/>
              <w:rPr>
                <w:rFonts w:ascii="宋体" w:hAnsi="宋体" w:cs="宋体"/>
                <w:szCs w:val="21"/>
                <w:highlight w:val="none"/>
              </w:rPr>
            </w:pPr>
            <w:r>
              <w:rPr>
                <w:rFonts w:hint="eastAsia" w:ascii="宋体" w:hAnsi="宋体" w:cs="宋体"/>
                <w:szCs w:val="21"/>
                <w:highlight w:val="none"/>
              </w:rPr>
              <w:t>完全理解并接受对投标人的各项须知、规约要求和责任义务</w:t>
            </w:r>
          </w:p>
        </w:tc>
        <w:tc>
          <w:tcPr>
            <w:tcW w:w="685" w:type="pct"/>
            <w:vAlign w:val="center"/>
          </w:tcPr>
          <w:p>
            <w:pPr>
              <w:spacing w:line="360" w:lineRule="exact"/>
              <w:jc w:val="center"/>
              <w:rPr>
                <w:rFonts w:ascii="宋体" w:hAnsi="宋体" w:cs="宋体"/>
                <w:szCs w:val="21"/>
                <w:highlight w:val="none"/>
              </w:rPr>
            </w:pPr>
          </w:p>
        </w:tc>
        <w:tc>
          <w:tcPr>
            <w:tcW w:w="750" w:type="pct"/>
            <w:vAlign w:val="center"/>
          </w:tcPr>
          <w:p>
            <w:pPr>
              <w:spacing w:line="360" w:lineRule="exact"/>
              <w:ind w:right="-35"/>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w:t>
            </w:r>
          </w:p>
        </w:tc>
        <w:tc>
          <w:tcPr>
            <w:tcW w:w="3106" w:type="pct"/>
            <w:vAlign w:val="center"/>
          </w:tcPr>
          <w:p>
            <w:pPr>
              <w:spacing w:line="360" w:lineRule="exact"/>
              <w:rPr>
                <w:rFonts w:ascii="宋体" w:hAnsi="宋体" w:cs="宋体"/>
                <w:szCs w:val="21"/>
                <w:highlight w:val="none"/>
              </w:rPr>
            </w:pPr>
            <w:r>
              <w:rPr>
                <w:rFonts w:hint="eastAsia" w:ascii="宋体" w:hAnsi="宋体" w:cs="宋体"/>
                <w:szCs w:val="21"/>
                <w:highlight w:val="none"/>
              </w:rPr>
              <w:t>同意接受合同范本所列述的各项条款</w:t>
            </w:r>
          </w:p>
        </w:tc>
        <w:tc>
          <w:tcPr>
            <w:tcW w:w="685" w:type="pct"/>
            <w:vAlign w:val="center"/>
          </w:tcPr>
          <w:p>
            <w:pPr>
              <w:spacing w:line="360" w:lineRule="exact"/>
              <w:jc w:val="center"/>
              <w:rPr>
                <w:rFonts w:ascii="宋体" w:hAnsi="宋体" w:cs="宋体"/>
                <w:szCs w:val="21"/>
                <w:highlight w:val="none"/>
              </w:rPr>
            </w:pPr>
          </w:p>
        </w:tc>
        <w:tc>
          <w:tcPr>
            <w:tcW w:w="750" w:type="pct"/>
            <w:vAlign w:val="center"/>
          </w:tcPr>
          <w:p>
            <w:pPr>
              <w:spacing w:line="360" w:lineRule="exact"/>
              <w:ind w:right="-35"/>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4</w:t>
            </w:r>
          </w:p>
        </w:tc>
        <w:tc>
          <w:tcPr>
            <w:tcW w:w="3106" w:type="pct"/>
            <w:vAlign w:val="center"/>
          </w:tcPr>
          <w:p>
            <w:pPr>
              <w:spacing w:line="360" w:lineRule="exact"/>
              <w:rPr>
                <w:rFonts w:ascii="宋体" w:hAnsi="宋体" w:cs="宋体"/>
                <w:szCs w:val="21"/>
                <w:highlight w:val="none"/>
              </w:rPr>
            </w:pPr>
            <w:r>
              <w:rPr>
                <w:rFonts w:hint="eastAsia" w:ascii="宋体" w:hAnsi="宋体" w:cs="宋体"/>
                <w:szCs w:val="21"/>
                <w:highlight w:val="none"/>
              </w:rPr>
              <w:t>同意按本项目要求缴付相关款项</w:t>
            </w:r>
          </w:p>
        </w:tc>
        <w:tc>
          <w:tcPr>
            <w:tcW w:w="685" w:type="pct"/>
            <w:vAlign w:val="center"/>
          </w:tcPr>
          <w:p>
            <w:pPr>
              <w:spacing w:line="360" w:lineRule="exact"/>
              <w:jc w:val="center"/>
              <w:rPr>
                <w:rFonts w:ascii="宋体" w:hAnsi="宋体" w:cs="宋体"/>
                <w:szCs w:val="21"/>
                <w:highlight w:val="none"/>
              </w:rPr>
            </w:pPr>
          </w:p>
        </w:tc>
        <w:tc>
          <w:tcPr>
            <w:tcW w:w="750" w:type="pct"/>
            <w:vAlign w:val="center"/>
          </w:tcPr>
          <w:p>
            <w:pPr>
              <w:spacing w:line="360" w:lineRule="exact"/>
              <w:ind w:right="-35"/>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5</w:t>
            </w:r>
          </w:p>
        </w:tc>
        <w:tc>
          <w:tcPr>
            <w:tcW w:w="3106" w:type="pct"/>
            <w:vAlign w:val="center"/>
          </w:tcPr>
          <w:p>
            <w:pPr>
              <w:spacing w:line="360" w:lineRule="exact"/>
              <w:rPr>
                <w:rFonts w:ascii="宋体" w:hAnsi="宋体" w:cs="宋体"/>
                <w:szCs w:val="21"/>
                <w:highlight w:val="none"/>
              </w:rPr>
            </w:pPr>
            <w:r>
              <w:rPr>
                <w:rFonts w:hint="eastAsia" w:ascii="宋体" w:hAnsi="宋体" w:cs="宋体"/>
                <w:szCs w:val="21"/>
                <w:highlight w:val="none"/>
              </w:rPr>
              <w:t>投标有效期：投标有效期为递交投标文件之日起90天，中标单位有效期至项目服务期限终止之日</w:t>
            </w:r>
          </w:p>
        </w:tc>
        <w:tc>
          <w:tcPr>
            <w:tcW w:w="685" w:type="pct"/>
            <w:vAlign w:val="center"/>
          </w:tcPr>
          <w:p>
            <w:pPr>
              <w:spacing w:line="360" w:lineRule="exact"/>
              <w:jc w:val="center"/>
              <w:rPr>
                <w:rFonts w:ascii="宋体" w:hAnsi="宋体" w:cs="宋体"/>
                <w:szCs w:val="21"/>
                <w:highlight w:val="none"/>
              </w:rPr>
            </w:pPr>
          </w:p>
        </w:tc>
        <w:tc>
          <w:tcPr>
            <w:tcW w:w="750" w:type="pct"/>
            <w:vAlign w:val="center"/>
          </w:tcPr>
          <w:p>
            <w:pPr>
              <w:spacing w:line="360" w:lineRule="exact"/>
              <w:ind w:right="-35"/>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6</w:t>
            </w:r>
          </w:p>
        </w:tc>
        <w:tc>
          <w:tcPr>
            <w:tcW w:w="3106" w:type="pct"/>
            <w:vAlign w:val="center"/>
          </w:tcPr>
          <w:p>
            <w:pPr>
              <w:spacing w:line="360" w:lineRule="exact"/>
              <w:rPr>
                <w:rFonts w:ascii="宋体" w:hAnsi="宋体" w:cs="宋体"/>
                <w:szCs w:val="21"/>
                <w:highlight w:val="none"/>
              </w:rPr>
            </w:pPr>
            <w:r>
              <w:rPr>
                <w:rFonts w:hint="eastAsia" w:ascii="宋体" w:hAnsi="宋体" w:cs="宋体"/>
                <w:szCs w:val="21"/>
                <w:highlight w:val="none"/>
              </w:rPr>
              <w:t>报价内容均涵盖报价要求的一切费用和伴随服务</w:t>
            </w:r>
          </w:p>
        </w:tc>
        <w:tc>
          <w:tcPr>
            <w:tcW w:w="685" w:type="pct"/>
            <w:vAlign w:val="center"/>
          </w:tcPr>
          <w:p>
            <w:pPr>
              <w:spacing w:line="360" w:lineRule="exact"/>
              <w:jc w:val="center"/>
              <w:rPr>
                <w:rFonts w:ascii="宋体" w:hAnsi="宋体" w:cs="宋体"/>
                <w:szCs w:val="21"/>
                <w:highlight w:val="none"/>
              </w:rPr>
            </w:pPr>
          </w:p>
        </w:tc>
        <w:tc>
          <w:tcPr>
            <w:tcW w:w="750" w:type="pct"/>
            <w:vAlign w:val="center"/>
          </w:tcPr>
          <w:p>
            <w:pPr>
              <w:pStyle w:val="144"/>
              <w:adjustRightInd/>
              <w:spacing w:before="0" w:after="0" w:line="360" w:lineRule="exact"/>
              <w:textAlignment w:val="auto"/>
              <w:rPr>
                <w:rFonts w:ascii="宋体" w:hAnsi="宋体" w:cs="宋体"/>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7</w:t>
            </w:r>
          </w:p>
        </w:tc>
        <w:tc>
          <w:tcPr>
            <w:tcW w:w="3106" w:type="pct"/>
            <w:vAlign w:val="center"/>
          </w:tcPr>
          <w:p>
            <w:pPr>
              <w:spacing w:line="360" w:lineRule="exact"/>
              <w:rPr>
                <w:rFonts w:ascii="宋体" w:hAnsi="宋体" w:cs="宋体"/>
                <w:szCs w:val="21"/>
                <w:highlight w:val="none"/>
              </w:rPr>
            </w:pPr>
            <w:r>
              <w:rPr>
                <w:rFonts w:hint="eastAsia" w:ascii="宋体" w:hAnsi="宋体" w:cs="宋体"/>
                <w:szCs w:val="21"/>
                <w:highlight w:val="none"/>
              </w:rPr>
              <w:t>同意接受本项目服务期要求</w:t>
            </w:r>
          </w:p>
        </w:tc>
        <w:tc>
          <w:tcPr>
            <w:tcW w:w="685" w:type="pct"/>
            <w:vAlign w:val="center"/>
          </w:tcPr>
          <w:p>
            <w:pPr>
              <w:spacing w:line="360" w:lineRule="exact"/>
              <w:jc w:val="center"/>
              <w:rPr>
                <w:rFonts w:ascii="宋体" w:hAnsi="宋体" w:cs="宋体"/>
                <w:szCs w:val="21"/>
                <w:highlight w:val="none"/>
              </w:rPr>
            </w:pPr>
          </w:p>
        </w:tc>
        <w:tc>
          <w:tcPr>
            <w:tcW w:w="750" w:type="pct"/>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57" w:type="pc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8</w:t>
            </w:r>
          </w:p>
        </w:tc>
        <w:tc>
          <w:tcPr>
            <w:tcW w:w="3106" w:type="pct"/>
            <w:vAlign w:val="center"/>
          </w:tcPr>
          <w:p>
            <w:pPr>
              <w:pStyle w:val="28"/>
              <w:spacing w:line="360" w:lineRule="exact"/>
              <w:rPr>
                <w:rFonts w:ascii="宋体" w:hAnsi="宋体" w:cs="宋体"/>
                <w:szCs w:val="21"/>
                <w:highlight w:val="none"/>
              </w:rPr>
            </w:pPr>
            <w:r>
              <w:rPr>
                <w:rFonts w:hint="eastAsia" w:ascii="宋体" w:hAnsi="宋体" w:cs="宋体"/>
                <w:szCs w:val="21"/>
                <w:highlight w:val="none"/>
              </w:rPr>
              <w:t>同意采购主体以任何形式对我方投标文件内容的真实性和有效性进行审查、验证</w:t>
            </w:r>
          </w:p>
        </w:tc>
        <w:tc>
          <w:tcPr>
            <w:tcW w:w="685" w:type="pct"/>
            <w:vAlign w:val="center"/>
          </w:tcPr>
          <w:p>
            <w:pPr>
              <w:pStyle w:val="135"/>
              <w:spacing w:line="360" w:lineRule="exact"/>
              <w:rPr>
                <w:rFonts w:ascii="宋体" w:hAnsi="宋体" w:cs="宋体"/>
                <w:b w:val="0"/>
                <w:color w:val="auto"/>
                <w:sz w:val="21"/>
                <w:szCs w:val="21"/>
                <w:highlight w:val="none"/>
              </w:rPr>
            </w:pPr>
          </w:p>
        </w:tc>
        <w:tc>
          <w:tcPr>
            <w:tcW w:w="750" w:type="pct"/>
            <w:vAlign w:val="center"/>
          </w:tcPr>
          <w:p>
            <w:pPr>
              <w:pStyle w:val="144"/>
              <w:adjustRightInd/>
              <w:spacing w:before="0" w:after="0" w:line="360" w:lineRule="exact"/>
              <w:textAlignment w:val="auto"/>
              <w:rPr>
                <w:rFonts w:ascii="宋体" w:hAnsi="宋体" w:cs="宋体"/>
                <w:spacing w:val="0"/>
                <w:kern w:val="2"/>
                <w:sz w:val="21"/>
                <w:szCs w:val="21"/>
                <w:highlight w:val="none"/>
              </w:rPr>
            </w:pPr>
          </w:p>
        </w:tc>
      </w:tr>
    </w:tbl>
    <w:p>
      <w:pPr>
        <w:spacing w:line="360" w:lineRule="auto"/>
        <w:rPr>
          <w:rFonts w:ascii="宋体" w:hAnsi="宋体" w:cs="宋体"/>
          <w:szCs w:val="21"/>
          <w:highlight w:val="none"/>
        </w:rPr>
      </w:pPr>
      <w:r>
        <w:rPr>
          <w:rFonts w:hint="eastAsia" w:ascii="宋体" w:hAnsi="宋体" w:cs="宋体"/>
          <w:szCs w:val="21"/>
          <w:highlight w:val="none"/>
        </w:rPr>
        <w:t>注：</w:t>
      </w:r>
    </w:p>
    <w:p>
      <w:pPr>
        <w:spacing w:line="360" w:lineRule="auto"/>
        <w:rPr>
          <w:rFonts w:ascii="宋体" w:hAnsi="宋体" w:cs="宋体"/>
          <w:szCs w:val="21"/>
          <w:highlight w:val="none"/>
        </w:rPr>
      </w:pPr>
      <w:r>
        <w:rPr>
          <w:rFonts w:hint="eastAsia" w:ascii="宋体" w:hAnsi="宋体" w:cs="宋体"/>
          <w:szCs w:val="21"/>
          <w:highlight w:val="none"/>
        </w:rPr>
        <w:t>1.对于上述要求，如投标人完全响应，则请在“是否响应”栏内打“</w:t>
      </w:r>
      <w:r>
        <w:rPr>
          <w:rFonts w:hint="eastAsia" w:ascii="宋体" w:hAnsi="宋体" w:cs="宋体"/>
          <w:highlight w:val="none"/>
        </w:rPr>
        <w:t>○</w:t>
      </w:r>
      <w:r>
        <w:rPr>
          <w:rFonts w:hint="eastAsia" w:ascii="宋体" w:hAnsi="宋体" w:cs="宋体"/>
          <w:szCs w:val="21"/>
          <w:highlight w:val="none"/>
        </w:rPr>
        <w:t>”或留空；对打“×”视为偏离，请在“偏离说明”栏内扼要说明偏离情况。</w:t>
      </w:r>
    </w:p>
    <w:p>
      <w:pPr>
        <w:spacing w:line="360" w:lineRule="auto"/>
        <w:rPr>
          <w:rFonts w:ascii="宋体" w:hAnsi="宋体" w:cs="宋体"/>
          <w:szCs w:val="21"/>
          <w:highlight w:val="none"/>
        </w:rPr>
      </w:pPr>
      <w:r>
        <w:rPr>
          <w:rFonts w:hint="eastAsia" w:ascii="宋体" w:hAnsi="宋体" w:cs="宋体"/>
          <w:szCs w:val="21"/>
          <w:highlight w:val="none"/>
        </w:rPr>
        <w:t>2. 投标人应认真填写本响应表，若评标委员会在评标期间，发现有虚假填写本响应表的，</w:t>
      </w:r>
      <w:r>
        <w:rPr>
          <w:rFonts w:hint="eastAsia" w:ascii="宋体" w:hAnsi="宋体" w:cs="宋体"/>
          <w:highlight w:val="none"/>
        </w:rPr>
        <w:t>评标委员会</w:t>
      </w:r>
      <w:r>
        <w:rPr>
          <w:rFonts w:hint="eastAsia" w:ascii="宋体" w:hAnsi="宋体" w:cs="宋体"/>
          <w:szCs w:val="21"/>
          <w:highlight w:val="none"/>
        </w:rPr>
        <w:t>将按本</w:t>
      </w:r>
      <w:r>
        <w:rPr>
          <w:rFonts w:hint="eastAsia" w:ascii="宋体" w:hAnsi="宋体" w:cs="宋体"/>
          <w:highlight w:val="none"/>
        </w:rPr>
        <w:t>招标文件</w:t>
      </w:r>
      <w:r>
        <w:rPr>
          <w:rFonts w:hint="eastAsia" w:ascii="宋体" w:hAnsi="宋体" w:cs="宋体"/>
          <w:szCs w:val="21"/>
          <w:highlight w:val="none"/>
        </w:rPr>
        <w:t>相关规定执行。</w:t>
      </w:r>
    </w:p>
    <w:p>
      <w:pPr>
        <w:spacing w:line="360" w:lineRule="auto"/>
        <w:rPr>
          <w:rFonts w:ascii="宋体" w:hAnsi="宋体" w:cs="宋体"/>
          <w:szCs w:val="21"/>
          <w:highlight w:val="none"/>
        </w:rPr>
      </w:pPr>
      <w:r>
        <w:rPr>
          <w:rFonts w:hint="eastAsia" w:ascii="宋体" w:hAnsi="宋体" w:cs="宋体"/>
          <w:szCs w:val="21"/>
          <w:highlight w:val="none"/>
        </w:rPr>
        <w:t>3.本表内容不得擅自修改。</w:t>
      </w:r>
    </w:p>
    <w:p>
      <w:pPr>
        <w:spacing w:line="360" w:lineRule="exact"/>
        <w:rPr>
          <w:rFonts w:ascii="宋体" w:hAnsi="宋体" w:cs="宋体"/>
          <w:szCs w:val="21"/>
          <w:highlight w:val="none"/>
        </w:rPr>
      </w:pPr>
    </w:p>
    <w:p>
      <w:pPr>
        <w:spacing w:line="312" w:lineRule="auto"/>
        <w:rPr>
          <w:rFonts w:ascii="宋体" w:hAnsi="宋体" w:cs="宋体"/>
          <w:szCs w:val="21"/>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pStyle w:val="128"/>
        <w:spacing w:before="120" w:after="120" w:line="360" w:lineRule="auto"/>
        <w:ind w:firstLine="0" w:firstLineChars="0"/>
        <w:rPr>
          <w:rFonts w:ascii="宋体" w:hAnsi="宋体" w:cs="宋体"/>
          <w:highlight w:val="none"/>
        </w:rPr>
        <w:sectPr>
          <w:pgSz w:w="11907" w:h="16840"/>
          <w:pgMar w:top="1440" w:right="1800" w:bottom="1440" w:left="1800" w:header="737" w:footer="737" w:gutter="0"/>
          <w:pgNumType w:fmt="decimal"/>
          <w:cols w:space="720" w:num="1"/>
          <w:docGrid w:linePitch="312" w:charSpace="0"/>
        </w:sectPr>
      </w:pPr>
    </w:p>
    <w:p>
      <w:pPr>
        <w:pStyle w:val="128"/>
        <w:spacing w:before="120" w:after="120" w:line="360" w:lineRule="auto"/>
        <w:ind w:firstLine="0" w:firstLineChars="0"/>
        <w:jc w:val="center"/>
        <w:rPr>
          <w:rFonts w:ascii="宋体" w:hAnsi="宋体" w:cs="宋体"/>
          <w:b/>
          <w:sz w:val="32"/>
          <w:szCs w:val="32"/>
          <w:highlight w:val="none"/>
        </w:rPr>
      </w:pPr>
      <w:r>
        <w:rPr>
          <w:rFonts w:hint="eastAsia" w:ascii="宋体" w:hAnsi="宋体" w:cs="宋体"/>
          <w:b/>
          <w:sz w:val="32"/>
          <w:szCs w:val="32"/>
          <w:highlight w:val="none"/>
        </w:rPr>
        <w:t>（二）实质性技术条款（“★”项）响应表</w:t>
      </w:r>
    </w:p>
    <w:tbl>
      <w:tblPr>
        <w:tblStyle w:val="40"/>
        <w:tblW w:w="4998" w:type="pct"/>
        <w:jc w:val="center"/>
        <w:tblLayout w:type="autofit"/>
        <w:tblCellMar>
          <w:top w:w="0" w:type="dxa"/>
          <w:left w:w="30" w:type="dxa"/>
          <w:bottom w:w="0" w:type="dxa"/>
          <w:right w:w="30" w:type="dxa"/>
        </w:tblCellMar>
      </w:tblPr>
      <w:tblGrid>
        <w:gridCol w:w="885"/>
        <w:gridCol w:w="3822"/>
        <w:gridCol w:w="1245"/>
        <w:gridCol w:w="1011"/>
        <w:gridCol w:w="1401"/>
      </w:tblGrid>
      <w:tr>
        <w:tblPrEx>
          <w:tblCellMar>
            <w:top w:w="0" w:type="dxa"/>
            <w:left w:w="30" w:type="dxa"/>
            <w:bottom w:w="0" w:type="dxa"/>
            <w:right w:w="30" w:type="dxa"/>
          </w:tblCellMar>
        </w:tblPrEx>
        <w:trPr>
          <w:cantSplit/>
          <w:trHeight w:val="433" w:hRule="atLeast"/>
          <w:jc w:val="center"/>
        </w:trPr>
        <w:tc>
          <w:tcPr>
            <w:tcW w:w="529" w:type="pct"/>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2284" w:type="pct"/>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内容</w:t>
            </w:r>
            <w:r>
              <w:rPr>
                <w:rFonts w:hint="eastAsia" w:ascii="宋体" w:hAnsi="宋体" w:cs="宋体"/>
                <w:bCs/>
                <w:szCs w:val="21"/>
                <w:highlight w:val="none"/>
              </w:rPr>
              <w:t>需求</w:t>
            </w:r>
          </w:p>
        </w:tc>
        <w:tc>
          <w:tcPr>
            <w:tcW w:w="744" w:type="pct"/>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是否响应</w:t>
            </w:r>
          </w:p>
        </w:tc>
        <w:tc>
          <w:tcPr>
            <w:tcW w:w="604"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837" w:type="pct"/>
            <w:tcBorders>
              <w:top w:val="single" w:color="auto" w:sz="4" w:space="0"/>
              <w:left w:val="single" w:color="auto" w:sz="6" w:space="0"/>
              <w:bottom w:val="single" w:color="auto" w:sz="4" w:space="0"/>
              <w:right w:val="single" w:color="auto" w:sz="6" w:space="0"/>
            </w:tcBorders>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证明材料（如需）-对应页码</w:t>
            </w:r>
          </w:p>
        </w:tc>
      </w:tr>
      <w:tr>
        <w:tblPrEx>
          <w:tblCellMar>
            <w:top w:w="0" w:type="dxa"/>
            <w:left w:w="30" w:type="dxa"/>
            <w:bottom w:w="0" w:type="dxa"/>
            <w:right w:w="30" w:type="dxa"/>
          </w:tblCellMar>
        </w:tblPrEx>
        <w:trPr>
          <w:trHeight w:val="433" w:hRule="atLeast"/>
          <w:jc w:val="center"/>
        </w:trPr>
        <w:tc>
          <w:tcPr>
            <w:tcW w:w="529" w:type="pct"/>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1</w:t>
            </w:r>
          </w:p>
        </w:tc>
        <w:tc>
          <w:tcPr>
            <w:tcW w:w="2284"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rPr>
                <w:rFonts w:ascii="宋体" w:hAnsi="宋体" w:cs="宋体"/>
                <w:szCs w:val="21"/>
                <w:highlight w:val="none"/>
              </w:rPr>
            </w:pPr>
            <w:r>
              <w:rPr>
                <w:rFonts w:hint="eastAsia" w:ascii="宋体" w:hAnsi="宋体" w:cs="宋体"/>
                <w:szCs w:val="21"/>
                <w:highlight w:val="none"/>
              </w:rPr>
              <w:t>★（二）报价要求：超过项目预算金额的报价无效</w:t>
            </w:r>
          </w:p>
        </w:tc>
        <w:tc>
          <w:tcPr>
            <w:tcW w:w="744"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p>
        </w:tc>
        <w:tc>
          <w:tcPr>
            <w:tcW w:w="604"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p>
        </w:tc>
        <w:tc>
          <w:tcPr>
            <w:tcW w:w="837"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p>
        </w:tc>
      </w:tr>
      <w:tr>
        <w:tblPrEx>
          <w:tblCellMar>
            <w:top w:w="0" w:type="dxa"/>
            <w:left w:w="30" w:type="dxa"/>
            <w:bottom w:w="0" w:type="dxa"/>
            <w:right w:w="30" w:type="dxa"/>
          </w:tblCellMar>
        </w:tblPrEx>
        <w:trPr>
          <w:trHeight w:val="1008" w:hRule="atLeast"/>
          <w:jc w:val="center"/>
        </w:trPr>
        <w:tc>
          <w:tcPr>
            <w:tcW w:w="529" w:type="pct"/>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2</w:t>
            </w:r>
          </w:p>
        </w:tc>
        <w:tc>
          <w:tcPr>
            <w:tcW w:w="2284"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rPr>
                <w:rFonts w:ascii="宋体" w:hAnsi="宋体" w:cs="宋体"/>
                <w:szCs w:val="21"/>
                <w:highlight w:val="none"/>
              </w:rPr>
            </w:pPr>
            <w:r>
              <w:rPr>
                <w:rFonts w:hint="eastAsia" w:ascii="宋体" w:hAnsi="宋体" w:cs="宋体"/>
                <w:szCs w:val="21"/>
                <w:highlight w:val="none"/>
              </w:rPr>
              <w:t>★采购人对中标人的全部物业工作人员有招聘面试决定权和辞退权（投标时提交承诺函）</w:t>
            </w:r>
          </w:p>
        </w:tc>
        <w:tc>
          <w:tcPr>
            <w:tcW w:w="744"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p>
        </w:tc>
        <w:tc>
          <w:tcPr>
            <w:tcW w:w="604"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p>
        </w:tc>
        <w:tc>
          <w:tcPr>
            <w:tcW w:w="837"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highlight w:val="none"/>
              </w:rPr>
            </w:pPr>
          </w:p>
        </w:tc>
      </w:tr>
    </w:tbl>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注：投标人必须对应招标文件“采购项目内容”的</w:t>
      </w:r>
      <w:r>
        <w:rPr>
          <w:rFonts w:hint="eastAsia" w:ascii="宋体" w:hAnsi="宋体" w:cs="宋体"/>
          <w:szCs w:val="21"/>
          <w:highlight w:val="none"/>
          <w:lang w:val="en-GB"/>
        </w:rPr>
        <w:t>“★” 项</w:t>
      </w:r>
      <w:r>
        <w:rPr>
          <w:rFonts w:hint="eastAsia" w:ascii="宋体" w:hAnsi="宋体" w:cs="宋体"/>
          <w:szCs w:val="21"/>
          <w:highlight w:val="none"/>
        </w:rPr>
        <w:t>内容逐条响应。如有缺漏，缺漏项视同不符合招标要求。</w:t>
      </w:r>
      <w:r>
        <w:rPr>
          <w:rFonts w:hint="eastAsia" w:ascii="宋体" w:hAnsi="宋体" w:cs="宋体"/>
          <w:szCs w:val="21"/>
          <w:highlight w:val="none"/>
          <w:lang w:val="en-GB"/>
        </w:rPr>
        <w:t>打“★” 项为不可负偏离(劣于)的重要项。</w:t>
      </w:r>
    </w:p>
    <w:p>
      <w:pPr>
        <w:spacing w:line="360" w:lineRule="auto"/>
        <w:rPr>
          <w:rFonts w:ascii="宋体" w:hAnsi="宋体" w:cs="宋体"/>
          <w:szCs w:val="21"/>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rPr>
          <w:rFonts w:ascii="宋体" w:hAnsi="宋体" w:cs="宋体"/>
          <w:highlight w:val="none"/>
        </w:rPr>
      </w:pPr>
    </w:p>
    <w:p>
      <w:pPr>
        <w:spacing w:line="360" w:lineRule="exact"/>
        <w:jc w:val="center"/>
        <w:rPr>
          <w:rFonts w:ascii="宋体" w:hAnsi="宋体" w:cs="宋体"/>
          <w:b/>
          <w:sz w:val="32"/>
          <w:szCs w:val="32"/>
          <w:highlight w:val="none"/>
        </w:rPr>
      </w:pPr>
    </w:p>
    <w:p>
      <w:pPr>
        <w:pStyle w:val="12"/>
        <w:rPr>
          <w:rFonts w:cs="宋体"/>
          <w:b/>
          <w:sz w:val="32"/>
          <w:szCs w:val="32"/>
          <w:highlight w:val="none"/>
        </w:rPr>
      </w:pPr>
    </w:p>
    <w:p>
      <w:pPr>
        <w:pStyle w:val="12"/>
        <w:rPr>
          <w:rFonts w:cs="宋体"/>
          <w:b/>
          <w:sz w:val="32"/>
          <w:szCs w:val="32"/>
          <w:highlight w:val="none"/>
        </w:rPr>
        <w:sectPr>
          <w:pgSz w:w="11907" w:h="16840"/>
          <w:pgMar w:top="1440" w:right="1800" w:bottom="1440" w:left="1800" w:header="737" w:footer="737" w:gutter="0"/>
          <w:pgNumType w:fmt="decimal"/>
          <w:cols w:space="720" w:num="1"/>
          <w:docGrid w:linePitch="312" w:charSpace="0"/>
        </w:sectPr>
      </w:pPr>
    </w:p>
    <w:p>
      <w:pPr>
        <w:pStyle w:val="128"/>
        <w:spacing w:before="120" w:after="120" w:line="360" w:lineRule="auto"/>
        <w:ind w:firstLine="0" w:firstLineChars="0"/>
        <w:jc w:val="center"/>
        <w:rPr>
          <w:rFonts w:ascii="宋体" w:hAnsi="宋体" w:cs="宋体"/>
          <w:b/>
          <w:sz w:val="32"/>
          <w:szCs w:val="32"/>
          <w:highlight w:val="none"/>
        </w:rPr>
      </w:pPr>
      <w:r>
        <w:rPr>
          <w:rFonts w:hint="eastAsia" w:ascii="宋体" w:hAnsi="宋体" w:cs="宋体"/>
          <w:b/>
          <w:sz w:val="32"/>
          <w:szCs w:val="32"/>
          <w:highlight w:val="none"/>
        </w:rPr>
        <w:t>（三）商务应答部分</w:t>
      </w:r>
    </w:p>
    <w:p>
      <w:pPr>
        <w:spacing w:line="360" w:lineRule="exact"/>
        <w:jc w:val="center"/>
        <w:rPr>
          <w:rFonts w:ascii="宋体" w:hAnsi="宋体" w:cs="宋体"/>
          <w:b/>
          <w:sz w:val="32"/>
          <w:szCs w:val="32"/>
          <w:highlight w:val="none"/>
        </w:rPr>
      </w:pPr>
    </w:p>
    <w:p>
      <w:pPr>
        <w:spacing w:line="360" w:lineRule="auto"/>
        <w:rPr>
          <w:rFonts w:ascii="宋体" w:hAnsi="宋体" w:cs="宋体"/>
          <w:highlight w:val="none"/>
        </w:rPr>
      </w:pPr>
      <w:r>
        <w:rPr>
          <w:rFonts w:hint="eastAsia" w:ascii="宋体" w:hAnsi="宋体" w:cs="宋体"/>
          <w:highlight w:val="none"/>
        </w:rPr>
        <w:t>请参照商务评审表，各项内容格式由</w:t>
      </w:r>
      <w:r>
        <w:rPr>
          <w:rFonts w:hint="eastAsia" w:ascii="宋体" w:hAnsi="宋体" w:cs="宋体"/>
          <w:szCs w:val="21"/>
          <w:highlight w:val="none"/>
        </w:rPr>
        <w:t>投标人</w:t>
      </w:r>
      <w:r>
        <w:rPr>
          <w:rFonts w:hint="eastAsia" w:ascii="宋体" w:hAnsi="宋体" w:cs="宋体"/>
          <w:highlight w:val="none"/>
        </w:rPr>
        <w:t>自拟。</w:t>
      </w:r>
    </w:p>
    <w:p>
      <w:pPr>
        <w:spacing w:line="360" w:lineRule="auto"/>
        <w:jc w:val="center"/>
        <w:outlineLvl w:val="1"/>
        <w:rPr>
          <w:rFonts w:ascii="宋体" w:hAnsi="宋体" w:cs="宋体"/>
          <w:b/>
          <w:sz w:val="32"/>
          <w:szCs w:val="32"/>
          <w:highlight w:val="none"/>
        </w:rPr>
      </w:pPr>
      <w:r>
        <w:rPr>
          <w:rFonts w:ascii="宋体" w:hAnsi="宋体" w:cs="宋体"/>
          <w:highlight w:val="none"/>
        </w:rPr>
        <w:br w:type="page"/>
      </w:r>
      <w:r>
        <w:rPr>
          <w:rFonts w:hint="eastAsia" w:ascii="宋体" w:hAnsi="宋体" w:cs="宋体"/>
          <w:b/>
          <w:sz w:val="32"/>
          <w:szCs w:val="32"/>
          <w:highlight w:val="none"/>
        </w:rPr>
        <w:t>七、技术部分</w:t>
      </w:r>
    </w:p>
    <w:p>
      <w:pPr>
        <w:pStyle w:val="128"/>
        <w:spacing w:before="120" w:after="120" w:line="360" w:lineRule="auto"/>
        <w:ind w:firstLine="0" w:firstLineChars="0"/>
        <w:jc w:val="center"/>
        <w:rPr>
          <w:rFonts w:ascii="宋体" w:hAnsi="宋体" w:cs="宋体"/>
          <w:b/>
          <w:sz w:val="32"/>
          <w:szCs w:val="32"/>
          <w:highlight w:val="none"/>
        </w:rPr>
      </w:pPr>
      <w:r>
        <w:rPr>
          <w:rFonts w:hint="eastAsia" w:ascii="宋体" w:hAnsi="宋体" w:cs="宋体"/>
          <w:b/>
          <w:sz w:val="32"/>
          <w:szCs w:val="32"/>
          <w:highlight w:val="none"/>
        </w:rPr>
        <w:t>（一）技术条款响应表</w:t>
      </w:r>
    </w:p>
    <w:p>
      <w:pPr>
        <w:pStyle w:val="12"/>
        <w:rPr>
          <w:highlight w:val="none"/>
        </w:rPr>
      </w:pPr>
    </w:p>
    <w:tbl>
      <w:tblPr>
        <w:tblStyle w:val="40"/>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255"/>
        <w:gridCol w:w="1622"/>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spacing w:line="360" w:lineRule="exact"/>
              <w:jc w:val="center"/>
              <w:rPr>
                <w:rFonts w:ascii="宋体"/>
                <w:szCs w:val="21"/>
                <w:highlight w:val="none"/>
              </w:rPr>
            </w:pPr>
            <w:r>
              <w:rPr>
                <w:rFonts w:hint="eastAsia" w:ascii="宋体" w:hAnsi="宋体"/>
                <w:szCs w:val="21"/>
                <w:highlight w:val="none"/>
              </w:rPr>
              <w:t>序号</w:t>
            </w:r>
          </w:p>
        </w:tc>
        <w:tc>
          <w:tcPr>
            <w:tcW w:w="4255" w:type="dxa"/>
            <w:vAlign w:val="center"/>
          </w:tcPr>
          <w:p>
            <w:pPr>
              <w:spacing w:line="360" w:lineRule="exact"/>
              <w:jc w:val="center"/>
              <w:rPr>
                <w:rFonts w:ascii="宋体"/>
                <w:szCs w:val="21"/>
                <w:highlight w:val="none"/>
              </w:rPr>
            </w:pPr>
            <w:r>
              <w:rPr>
                <w:rFonts w:hint="eastAsia" w:ascii="宋体" w:hAnsi="宋体"/>
                <w:szCs w:val="21"/>
                <w:highlight w:val="none"/>
              </w:rPr>
              <w:t>采购项目内容要求条款</w:t>
            </w:r>
          </w:p>
        </w:tc>
        <w:tc>
          <w:tcPr>
            <w:tcW w:w="1622" w:type="dxa"/>
            <w:vAlign w:val="center"/>
          </w:tcPr>
          <w:p>
            <w:pPr>
              <w:spacing w:line="360" w:lineRule="exact"/>
              <w:jc w:val="center"/>
              <w:rPr>
                <w:rFonts w:ascii="宋体"/>
                <w:szCs w:val="21"/>
                <w:highlight w:val="none"/>
              </w:rPr>
            </w:pPr>
            <w:r>
              <w:rPr>
                <w:rFonts w:hint="eastAsia" w:ascii="宋体" w:hAnsi="宋体"/>
                <w:szCs w:val="21"/>
                <w:highlight w:val="none"/>
              </w:rPr>
              <w:t>是否</w:t>
            </w:r>
          </w:p>
          <w:p>
            <w:pPr>
              <w:spacing w:line="360" w:lineRule="exact"/>
              <w:jc w:val="center"/>
              <w:rPr>
                <w:rFonts w:ascii="宋体"/>
                <w:szCs w:val="21"/>
                <w:highlight w:val="none"/>
              </w:rPr>
            </w:pPr>
            <w:r>
              <w:rPr>
                <w:rFonts w:hint="eastAsia" w:ascii="宋体" w:hAnsi="宋体"/>
                <w:szCs w:val="21"/>
                <w:highlight w:val="none"/>
              </w:rPr>
              <w:t>响应</w:t>
            </w:r>
          </w:p>
        </w:tc>
        <w:tc>
          <w:tcPr>
            <w:tcW w:w="1899" w:type="dxa"/>
            <w:vAlign w:val="center"/>
          </w:tcPr>
          <w:p>
            <w:pPr>
              <w:spacing w:line="360" w:lineRule="exact"/>
              <w:jc w:val="center"/>
              <w:rPr>
                <w:rFonts w:ascii="宋体"/>
                <w:szCs w:val="21"/>
                <w:highlight w:val="none"/>
              </w:rPr>
            </w:pPr>
            <w:r>
              <w:rPr>
                <w:rFonts w:hint="eastAsia" w:ascii="宋体" w:hAnsi="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spacing w:line="200" w:lineRule="atLeast"/>
              <w:ind w:right="196" w:firstLine="152"/>
              <w:jc w:val="center"/>
              <w:rPr>
                <w:rFonts w:ascii="宋体" w:hAnsi="宋体"/>
                <w:highlight w:val="none"/>
              </w:rPr>
            </w:pPr>
          </w:p>
        </w:tc>
        <w:tc>
          <w:tcPr>
            <w:tcW w:w="4255" w:type="dxa"/>
            <w:vAlign w:val="center"/>
          </w:tcPr>
          <w:p>
            <w:pPr>
              <w:widowControl w:val="0"/>
              <w:jc w:val="both"/>
              <w:rPr>
                <w:rFonts w:ascii="宋体" w:hAnsi="宋体"/>
                <w:kern w:val="2"/>
                <w:szCs w:val="21"/>
                <w:highlight w:val="none"/>
              </w:rPr>
            </w:pPr>
          </w:p>
        </w:tc>
        <w:tc>
          <w:tcPr>
            <w:tcW w:w="1622" w:type="dxa"/>
            <w:vAlign w:val="center"/>
          </w:tcPr>
          <w:p>
            <w:pPr>
              <w:spacing w:line="200" w:lineRule="atLeast"/>
              <w:jc w:val="center"/>
              <w:rPr>
                <w:rFonts w:ascii="宋体" w:hAnsi="宋体"/>
                <w:b/>
                <w:highlight w:val="none"/>
              </w:rPr>
            </w:pPr>
          </w:p>
        </w:tc>
        <w:tc>
          <w:tcPr>
            <w:tcW w:w="1899" w:type="dxa"/>
            <w:vAlign w:val="center"/>
          </w:tcPr>
          <w:p>
            <w:pPr>
              <w:spacing w:line="200" w:lineRule="atLeas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spacing w:line="200" w:lineRule="atLeast"/>
              <w:ind w:right="196" w:firstLine="152"/>
              <w:jc w:val="center"/>
              <w:rPr>
                <w:rFonts w:ascii="宋体" w:hAnsi="宋体"/>
                <w:highlight w:val="none"/>
              </w:rPr>
            </w:pPr>
          </w:p>
        </w:tc>
        <w:tc>
          <w:tcPr>
            <w:tcW w:w="4255" w:type="dxa"/>
            <w:vAlign w:val="center"/>
          </w:tcPr>
          <w:p>
            <w:pPr>
              <w:widowControl w:val="0"/>
              <w:jc w:val="both"/>
              <w:rPr>
                <w:rFonts w:ascii="宋体" w:hAnsi="宋体"/>
                <w:kern w:val="2"/>
                <w:szCs w:val="21"/>
                <w:highlight w:val="none"/>
              </w:rPr>
            </w:pPr>
          </w:p>
        </w:tc>
        <w:tc>
          <w:tcPr>
            <w:tcW w:w="1622" w:type="dxa"/>
            <w:vAlign w:val="center"/>
          </w:tcPr>
          <w:p>
            <w:pPr>
              <w:spacing w:line="200" w:lineRule="atLeast"/>
              <w:jc w:val="center"/>
              <w:rPr>
                <w:rFonts w:ascii="宋体" w:hAnsi="宋体"/>
                <w:b/>
                <w:highlight w:val="none"/>
              </w:rPr>
            </w:pPr>
          </w:p>
        </w:tc>
        <w:tc>
          <w:tcPr>
            <w:tcW w:w="1899" w:type="dxa"/>
            <w:vAlign w:val="center"/>
          </w:tcPr>
          <w:p>
            <w:pPr>
              <w:spacing w:line="200" w:lineRule="atLeas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spacing w:line="200" w:lineRule="atLeast"/>
              <w:ind w:right="196" w:firstLine="152"/>
              <w:jc w:val="center"/>
              <w:rPr>
                <w:rFonts w:ascii="宋体" w:hAnsi="宋体"/>
                <w:highlight w:val="none"/>
              </w:rPr>
            </w:pPr>
          </w:p>
        </w:tc>
        <w:tc>
          <w:tcPr>
            <w:tcW w:w="4255" w:type="dxa"/>
            <w:vAlign w:val="center"/>
          </w:tcPr>
          <w:p>
            <w:pPr>
              <w:pStyle w:val="137"/>
              <w:ind w:firstLine="0" w:firstLineChars="0"/>
              <w:rPr>
                <w:rFonts w:ascii="宋体" w:hAnsi="宋体"/>
                <w:highlight w:val="none"/>
              </w:rPr>
            </w:pPr>
          </w:p>
        </w:tc>
        <w:tc>
          <w:tcPr>
            <w:tcW w:w="1622" w:type="dxa"/>
            <w:vAlign w:val="center"/>
          </w:tcPr>
          <w:p>
            <w:pPr>
              <w:spacing w:line="200" w:lineRule="atLeast"/>
              <w:jc w:val="center"/>
              <w:rPr>
                <w:rFonts w:ascii="宋体" w:hAnsi="宋体"/>
                <w:highlight w:val="none"/>
              </w:rPr>
            </w:pPr>
          </w:p>
        </w:tc>
        <w:tc>
          <w:tcPr>
            <w:tcW w:w="1899" w:type="dxa"/>
            <w:vAlign w:val="center"/>
          </w:tcPr>
          <w:p>
            <w:pPr>
              <w:spacing w:line="200" w:lineRule="atLeas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spacing w:line="200" w:lineRule="atLeast"/>
              <w:ind w:right="196" w:firstLine="152"/>
              <w:jc w:val="center"/>
              <w:rPr>
                <w:rFonts w:ascii="宋体" w:hAnsi="宋体"/>
                <w:highlight w:val="none"/>
              </w:rPr>
            </w:pPr>
          </w:p>
        </w:tc>
        <w:tc>
          <w:tcPr>
            <w:tcW w:w="4255" w:type="dxa"/>
            <w:vAlign w:val="center"/>
          </w:tcPr>
          <w:p>
            <w:pPr>
              <w:rPr>
                <w:rFonts w:ascii="宋体" w:hAnsi="宋体"/>
                <w:highlight w:val="none"/>
              </w:rPr>
            </w:pPr>
          </w:p>
        </w:tc>
        <w:tc>
          <w:tcPr>
            <w:tcW w:w="1622" w:type="dxa"/>
            <w:vAlign w:val="center"/>
          </w:tcPr>
          <w:p>
            <w:pPr>
              <w:spacing w:line="200" w:lineRule="atLeast"/>
              <w:jc w:val="center"/>
              <w:rPr>
                <w:rFonts w:ascii="宋体" w:hAnsi="宋体"/>
                <w:highlight w:val="none"/>
              </w:rPr>
            </w:pPr>
          </w:p>
        </w:tc>
        <w:tc>
          <w:tcPr>
            <w:tcW w:w="1899" w:type="dxa"/>
          </w:tcPr>
          <w:p>
            <w:pPr>
              <w:spacing w:line="200" w:lineRule="atLeas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jc w:val="center"/>
              <w:rPr>
                <w:rFonts w:ascii="宋体" w:hAnsi="宋体"/>
                <w:highlight w:val="none"/>
              </w:rPr>
            </w:pPr>
          </w:p>
        </w:tc>
        <w:tc>
          <w:tcPr>
            <w:tcW w:w="4255" w:type="dxa"/>
            <w:vAlign w:val="center"/>
          </w:tcPr>
          <w:p>
            <w:pPr>
              <w:rPr>
                <w:rFonts w:ascii="宋体" w:hAnsi="宋体"/>
                <w:highlight w:val="none"/>
              </w:rPr>
            </w:pPr>
          </w:p>
        </w:tc>
        <w:tc>
          <w:tcPr>
            <w:tcW w:w="1622" w:type="dxa"/>
            <w:vAlign w:val="center"/>
          </w:tcPr>
          <w:p>
            <w:pPr>
              <w:spacing w:line="200" w:lineRule="atLeast"/>
              <w:jc w:val="center"/>
              <w:rPr>
                <w:rFonts w:ascii="宋体" w:hAnsi="宋体"/>
                <w:highlight w:val="none"/>
              </w:rPr>
            </w:pPr>
          </w:p>
        </w:tc>
        <w:tc>
          <w:tcPr>
            <w:tcW w:w="1899" w:type="dxa"/>
          </w:tcPr>
          <w:p>
            <w:pPr>
              <w:spacing w:line="200" w:lineRule="atLeas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jc w:val="center"/>
              <w:rPr>
                <w:rFonts w:ascii="宋体" w:hAnsi="宋体"/>
                <w:highlight w:val="none"/>
              </w:rPr>
            </w:pPr>
          </w:p>
        </w:tc>
        <w:tc>
          <w:tcPr>
            <w:tcW w:w="4255" w:type="dxa"/>
            <w:vAlign w:val="center"/>
          </w:tcPr>
          <w:p>
            <w:pPr>
              <w:rPr>
                <w:rFonts w:ascii="宋体" w:hAnsi="宋体"/>
                <w:highlight w:val="none"/>
              </w:rPr>
            </w:pPr>
          </w:p>
        </w:tc>
        <w:tc>
          <w:tcPr>
            <w:tcW w:w="1622" w:type="dxa"/>
            <w:vAlign w:val="center"/>
          </w:tcPr>
          <w:p>
            <w:pPr>
              <w:spacing w:line="200" w:lineRule="atLeast"/>
              <w:jc w:val="center"/>
              <w:rPr>
                <w:rFonts w:ascii="宋体" w:hAnsi="宋体"/>
                <w:highlight w:val="none"/>
              </w:rPr>
            </w:pPr>
          </w:p>
        </w:tc>
        <w:tc>
          <w:tcPr>
            <w:tcW w:w="1899" w:type="dxa"/>
          </w:tcPr>
          <w:p>
            <w:pPr>
              <w:spacing w:line="200" w:lineRule="atLeas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jc w:val="center"/>
              <w:rPr>
                <w:rFonts w:ascii="宋体" w:hAnsi="宋体"/>
                <w:highlight w:val="none"/>
              </w:rPr>
            </w:pPr>
          </w:p>
        </w:tc>
        <w:tc>
          <w:tcPr>
            <w:tcW w:w="4255" w:type="dxa"/>
            <w:vAlign w:val="center"/>
          </w:tcPr>
          <w:p>
            <w:pPr>
              <w:rPr>
                <w:rFonts w:ascii="宋体" w:hAnsi="宋体"/>
                <w:highlight w:val="none"/>
              </w:rPr>
            </w:pPr>
          </w:p>
        </w:tc>
        <w:tc>
          <w:tcPr>
            <w:tcW w:w="1622" w:type="dxa"/>
            <w:vAlign w:val="center"/>
          </w:tcPr>
          <w:p>
            <w:pPr>
              <w:spacing w:line="200" w:lineRule="atLeast"/>
              <w:jc w:val="center"/>
              <w:rPr>
                <w:rFonts w:ascii="宋体" w:hAnsi="宋体"/>
                <w:highlight w:val="none"/>
              </w:rPr>
            </w:pPr>
          </w:p>
        </w:tc>
        <w:tc>
          <w:tcPr>
            <w:tcW w:w="1899" w:type="dxa"/>
          </w:tcPr>
          <w:p>
            <w:pPr>
              <w:spacing w:line="200" w:lineRule="atLeas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jc w:val="center"/>
              <w:rPr>
                <w:rFonts w:ascii="宋体" w:hAnsi="宋体"/>
                <w:highlight w:val="none"/>
              </w:rPr>
            </w:pPr>
          </w:p>
        </w:tc>
        <w:tc>
          <w:tcPr>
            <w:tcW w:w="4255" w:type="dxa"/>
            <w:vAlign w:val="center"/>
          </w:tcPr>
          <w:p>
            <w:pPr>
              <w:rPr>
                <w:rFonts w:ascii="宋体" w:hAnsi="宋体"/>
                <w:highlight w:val="none"/>
              </w:rPr>
            </w:pPr>
          </w:p>
        </w:tc>
        <w:tc>
          <w:tcPr>
            <w:tcW w:w="1622" w:type="dxa"/>
            <w:vAlign w:val="center"/>
          </w:tcPr>
          <w:p>
            <w:pPr>
              <w:spacing w:line="200" w:lineRule="atLeast"/>
              <w:jc w:val="center"/>
              <w:rPr>
                <w:rFonts w:ascii="宋体" w:hAnsi="宋体"/>
                <w:highlight w:val="none"/>
              </w:rPr>
            </w:pPr>
          </w:p>
        </w:tc>
        <w:tc>
          <w:tcPr>
            <w:tcW w:w="1899" w:type="dxa"/>
          </w:tcPr>
          <w:p>
            <w:pPr>
              <w:spacing w:line="200" w:lineRule="atLeas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pPr>
              <w:jc w:val="center"/>
              <w:rPr>
                <w:rFonts w:ascii="宋体" w:hAnsi="宋体"/>
                <w:highlight w:val="none"/>
              </w:rPr>
            </w:pPr>
          </w:p>
        </w:tc>
        <w:tc>
          <w:tcPr>
            <w:tcW w:w="4255" w:type="dxa"/>
            <w:vAlign w:val="center"/>
          </w:tcPr>
          <w:p>
            <w:pPr>
              <w:rPr>
                <w:rFonts w:ascii="宋体" w:hAnsi="宋体"/>
                <w:highlight w:val="none"/>
              </w:rPr>
            </w:pPr>
          </w:p>
        </w:tc>
        <w:tc>
          <w:tcPr>
            <w:tcW w:w="1622" w:type="dxa"/>
            <w:vAlign w:val="center"/>
          </w:tcPr>
          <w:p>
            <w:pPr>
              <w:spacing w:line="200" w:lineRule="atLeast"/>
              <w:jc w:val="center"/>
              <w:rPr>
                <w:rFonts w:ascii="宋体" w:hAnsi="宋体"/>
                <w:highlight w:val="none"/>
              </w:rPr>
            </w:pPr>
          </w:p>
        </w:tc>
        <w:tc>
          <w:tcPr>
            <w:tcW w:w="1899" w:type="dxa"/>
          </w:tcPr>
          <w:p>
            <w:pPr>
              <w:spacing w:line="200" w:lineRule="atLeast"/>
              <w:jc w:val="center"/>
              <w:rPr>
                <w:rFonts w:ascii="宋体" w:hAnsi="宋体"/>
                <w:b/>
                <w:highlight w:val="none"/>
              </w:rPr>
            </w:pPr>
          </w:p>
        </w:tc>
      </w:tr>
    </w:tbl>
    <w:p>
      <w:pPr>
        <w:spacing w:line="360" w:lineRule="exact"/>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注：1.对于上述要求，如投标人完全响应，则请在“是否响应”栏内打“</w:t>
      </w:r>
      <w:r>
        <w:rPr>
          <w:rFonts w:hint="eastAsia" w:ascii="宋体" w:hAnsi="宋体" w:cs="宋体"/>
          <w:highlight w:val="none"/>
        </w:rPr>
        <w:t>○</w:t>
      </w:r>
      <w:r>
        <w:rPr>
          <w:rFonts w:hint="eastAsia" w:ascii="宋体" w:hAnsi="宋体" w:cs="宋体"/>
          <w:szCs w:val="21"/>
          <w:highlight w:val="none"/>
        </w:rPr>
        <w:t>”或留空，对打“×”视为偏离，请在“偏离说明”栏内扼要说明偏离情况。</w:t>
      </w:r>
    </w:p>
    <w:p>
      <w:pPr>
        <w:spacing w:line="360" w:lineRule="auto"/>
        <w:rPr>
          <w:rFonts w:ascii="宋体" w:hAnsi="宋体" w:cs="宋体"/>
          <w:szCs w:val="21"/>
          <w:highlight w:val="none"/>
        </w:rPr>
      </w:pPr>
      <w:r>
        <w:rPr>
          <w:rFonts w:hint="eastAsia" w:ascii="宋体" w:hAnsi="宋体" w:cs="宋体"/>
          <w:szCs w:val="21"/>
          <w:highlight w:val="none"/>
        </w:rPr>
        <w:t>2. 投标人应认真填写本响应表，若评标委员会在评审期间，发现有虚假填写本响应表的，评标委员会将按本公开招标文件相关规定执行。</w:t>
      </w:r>
    </w:p>
    <w:p>
      <w:pPr>
        <w:spacing w:line="360" w:lineRule="auto"/>
        <w:rPr>
          <w:rFonts w:ascii="宋体" w:hAnsi="宋体" w:cs="宋体"/>
          <w:b/>
          <w:bCs/>
          <w:szCs w:val="21"/>
          <w:highlight w:val="none"/>
        </w:rPr>
      </w:pPr>
      <w:r>
        <w:rPr>
          <w:rFonts w:hint="eastAsia" w:ascii="宋体" w:hAnsi="宋体" w:cs="宋体"/>
          <w:szCs w:val="21"/>
          <w:highlight w:val="none"/>
        </w:rPr>
        <w:t>3.投标人须对应招标文件“用户需求书”中的所有内容逐条响应。</w:t>
      </w:r>
    </w:p>
    <w:p>
      <w:pPr>
        <w:spacing w:line="480" w:lineRule="exact"/>
        <w:rPr>
          <w:rFonts w:ascii="宋体" w:hAnsi="宋体" w:cs="宋体"/>
          <w:szCs w:val="21"/>
          <w:highlight w:val="none"/>
        </w:rPr>
      </w:pPr>
    </w:p>
    <w:p>
      <w:pPr>
        <w:spacing w:line="480" w:lineRule="exact"/>
        <w:rPr>
          <w:rFonts w:ascii="宋体" w:hAnsi="宋体" w:cs="宋体"/>
          <w:szCs w:val="21"/>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pStyle w:val="64"/>
        <w:rPr>
          <w:highlight w:val="none"/>
        </w:rPr>
      </w:pPr>
    </w:p>
    <w:p>
      <w:pPr>
        <w:spacing w:line="360" w:lineRule="auto"/>
        <w:rPr>
          <w:rFonts w:ascii="宋体" w:hAnsi="宋体" w:cs="宋体"/>
          <w:highlight w:val="none"/>
        </w:rPr>
        <w:sectPr>
          <w:pgSz w:w="11907" w:h="16840"/>
          <w:pgMar w:top="1440" w:right="1800" w:bottom="1440" w:left="1800" w:header="737" w:footer="737" w:gutter="0"/>
          <w:pgNumType w:fmt="decimal"/>
          <w:cols w:space="720" w:num="1"/>
          <w:docGrid w:linePitch="312" w:charSpace="0"/>
        </w:sectPr>
      </w:pPr>
    </w:p>
    <w:p>
      <w:pPr>
        <w:pStyle w:val="128"/>
        <w:spacing w:before="120" w:after="120" w:line="360" w:lineRule="auto"/>
        <w:ind w:firstLine="0" w:firstLineChars="0"/>
        <w:jc w:val="center"/>
        <w:rPr>
          <w:rFonts w:ascii="宋体" w:hAnsi="宋体" w:cs="宋体"/>
          <w:b/>
          <w:sz w:val="32"/>
          <w:szCs w:val="32"/>
          <w:highlight w:val="none"/>
        </w:rPr>
      </w:pPr>
      <w:r>
        <w:rPr>
          <w:rFonts w:hint="eastAsia" w:ascii="宋体" w:hAnsi="宋体" w:cs="宋体"/>
          <w:b/>
          <w:sz w:val="32"/>
          <w:szCs w:val="32"/>
          <w:highlight w:val="none"/>
        </w:rPr>
        <w:t>（二）技术应答部分</w:t>
      </w:r>
    </w:p>
    <w:p>
      <w:pPr>
        <w:spacing w:line="360" w:lineRule="auto"/>
        <w:rPr>
          <w:rFonts w:ascii="宋体" w:hAnsi="宋体" w:cs="宋体"/>
          <w:szCs w:val="21"/>
          <w:highlight w:val="none"/>
        </w:rPr>
      </w:pPr>
      <w:r>
        <w:rPr>
          <w:rFonts w:hint="eastAsia" w:ascii="宋体" w:hAnsi="宋体" w:cs="宋体"/>
          <w:szCs w:val="21"/>
          <w:highlight w:val="none"/>
        </w:rPr>
        <w:t>请参照技术评审表，各项内容格式由投标人自拟。</w:t>
      </w:r>
    </w:p>
    <w:p>
      <w:pPr>
        <w:spacing w:line="360" w:lineRule="auto"/>
        <w:jc w:val="center"/>
        <w:rPr>
          <w:rFonts w:ascii="宋体" w:hAnsi="宋体" w:cs="宋体"/>
          <w:highlight w:val="none"/>
        </w:rPr>
      </w:pPr>
    </w:p>
    <w:p>
      <w:pPr>
        <w:pStyle w:val="64"/>
        <w:rPr>
          <w:rFonts w:ascii="宋体" w:hAnsi="宋体" w:cs="宋体"/>
          <w:highlight w:val="none"/>
        </w:rPr>
        <w:sectPr>
          <w:pgSz w:w="11907" w:h="16840"/>
          <w:pgMar w:top="1440" w:right="1800" w:bottom="1440" w:left="1800" w:header="737" w:footer="737" w:gutter="0"/>
          <w:pgNumType w:fmt="decimal"/>
          <w:cols w:space="720" w:num="1"/>
          <w:docGrid w:linePitch="312" w:charSpace="0"/>
        </w:sectPr>
      </w:pPr>
    </w:p>
    <w:p>
      <w:pPr>
        <w:spacing w:line="360" w:lineRule="auto"/>
        <w:jc w:val="center"/>
        <w:outlineLvl w:val="1"/>
        <w:rPr>
          <w:rFonts w:ascii="宋体" w:hAnsi="宋体" w:cs="宋体"/>
          <w:b/>
          <w:sz w:val="32"/>
          <w:szCs w:val="32"/>
          <w:highlight w:val="none"/>
        </w:rPr>
      </w:pPr>
      <w:bookmarkStart w:id="70" w:name="_Toc433362982"/>
      <w:r>
        <w:rPr>
          <w:rFonts w:hint="eastAsia" w:ascii="宋体" w:hAnsi="宋体" w:cs="宋体"/>
          <w:b/>
          <w:sz w:val="32"/>
          <w:szCs w:val="32"/>
          <w:highlight w:val="none"/>
        </w:rPr>
        <w:t>八、</w:t>
      </w:r>
      <w:bookmarkEnd w:id="70"/>
      <w:r>
        <w:rPr>
          <w:rFonts w:hint="eastAsia" w:ascii="宋体" w:hAnsi="宋体" w:cs="宋体"/>
          <w:b/>
          <w:sz w:val="32"/>
          <w:szCs w:val="32"/>
          <w:highlight w:val="none"/>
        </w:rPr>
        <w:t>价格部分</w:t>
      </w:r>
    </w:p>
    <w:p>
      <w:pPr>
        <w:pStyle w:val="128"/>
        <w:spacing w:before="120" w:after="120" w:line="360" w:lineRule="auto"/>
        <w:ind w:firstLine="0" w:firstLineChars="0"/>
        <w:jc w:val="center"/>
        <w:rPr>
          <w:rFonts w:ascii="宋体" w:hAnsi="宋体" w:cs="宋体"/>
          <w:b/>
          <w:sz w:val="28"/>
          <w:szCs w:val="28"/>
          <w:highlight w:val="none"/>
        </w:rPr>
      </w:pPr>
      <w:bookmarkStart w:id="71" w:name="_Toc353455140"/>
      <w:bookmarkStart w:id="72" w:name="_Toc409007586"/>
      <w:bookmarkStart w:id="73" w:name="_Toc433362983"/>
      <w:r>
        <w:rPr>
          <w:rFonts w:hint="eastAsia" w:ascii="宋体" w:hAnsi="宋体" w:cs="宋体"/>
          <w:b/>
          <w:sz w:val="28"/>
          <w:szCs w:val="28"/>
          <w:highlight w:val="none"/>
        </w:rPr>
        <w:t>8.1开标一览表</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国家税务总局广东潮州经济开发区税务局后勤综合服务项目</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采购代理编号：</w:t>
      </w:r>
      <w:r>
        <w:rPr>
          <w:rFonts w:hint="eastAsia" w:ascii="宋体" w:hAnsi="宋体" w:cs="宋体"/>
          <w:szCs w:val="21"/>
          <w:highlight w:val="none"/>
          <w:lang w:eastAsia="zh-CN"/>
        </w:rPr>
        <w:t>05-12-04A-2022-D-E13897</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010"/>
        <w:gridCol w:w="2549"/>
        <w:gridCol w:w="184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44" w:type="pct"/>
            <w:vAlign w:val="center"/>
          </w:tcPr>
          <w:p>
            <w:pPr>
              <w:jc w:val="center"/>
              <w:rPr>
                <w:rFonts w:ascii="宋体" w:hAnsi="宋体"/>
                <w:szCs w:val="21"/>
                <w:highlight w:val="none"/>
              </w:rPr>
            </w:pPr>
            <w:r>
              <w:rPr>
                <w:rFonts w:hint="eastAsia" w:ascii="宋体" w:hAnsi="宋体"/>
                <w:szCs w:val="21"/>
                <w:highlight w:val="none"/>
              </w:rPr>
              <w:t>投标内容</w:t>
            </w:r>
          </w:p>
        </w:tc>
        <w:tc>
          <w:tcPr>
            <w:tcW w:w="1179" w:type="pct"/>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投标报价</w:t>
            </w:r>
          </w:p>
        </w:tc>
        <w:tc>
          <w:tcPr>
            <w:tcW w:w="1495" w:type="pct"/>
            <w:vAlign w:val="center"/>
          </w:tcPr>
          <w:p>
            <w:pPr>
              <w:jc w:val="center"/>
              <w:rPr>
                <w:rFonts w:ascii="宋体" w:hAnsi="宋体"/>
                <w:szCs w:val="21"/>
                <w:highlight w:val="none"/>
              </w:rPr>
            </w:pPr>
            <w:r>
              <w:rPr>
                <w:rFonts w:hint="eastAsia" w:ascii="宋体" w:hAnsi="宋体"/>
                <w:szCs w:val="21"/>
                <w:highlight w:val="none"/>
              </w:rPr>
              <w:t>服务期</w:t>
            </w:r>
          </w:p>
        </w:tc>
        <w:tc>
          <w:tcPr>
            <w:tcW w:w="1079" w:type="pct"/>
            <w:vAlign w:val="center"/>
          </w:tcPr>
          <w:p>
            <w:pPr>
              <w:jc w:val="center"/>
              <w:rPr>
                <w:rFonts w:ascii="宋体" w:hAnsi="宋体"/>
                <w:szCs w:val="21"/>
                <w:highlight w:val="none"/>
              </w:rPr>
            </w:pPr>
            <w:r>
              <w:rPr>
                <w:rFonts w:hint="eastAsia" w:ascii="宋体" w:hAnsi="宋体"/>
                <w:szCs w:val="21"/>
                <w:highlight w:val="none"/>
              </w:rPr>
              <w:t>服务地点</w:t>
            </w:r>
          </w:p>
        </w:tc>
        <w:tc>
          <w:tcPr>
            <w:tcW w:w="500" w:type="pct"/>
            <w:vAlign w:val="center"/>
          </w:tcPr>
          <w:p>
            <w:pPr>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744" w:type="pct"/>
            <w:vAlign w:val="center"/>
          </w:tcPr>
          <w:p>
            <w:pPr>
              <w:jc w:val="center"/>
              <w:rPr>
                <w:rFonts w:ascii="宋体" w:hAnsi="宋体"/>
                <w:szCs w:val="21"/>
                <w:highlight w:val="none"/>
              </w:rPr>
            </w:pPr>
            <w:r>
              <w:rPr>
                <w:rFonts w:hint="eastAsia" w:ascii="宋体" w:hAnsi="宋体"/>
                <w:szCs w:val="21"/>
                <w:highlight w:val="none"/>
              </w:rPr>
              <w:t>后勤综合服务</w:t>
            </w:r>
          </w:p>
        </w:tc>
        <w:tc>
          <w:tcPr>
            <w:tcW w:w="1179" w:type="pct"/>
            <w:vAlign w:val="center"/>
          </w:tcPr>
          <w:p>
            <w:pPr>
              <w:jc w:val="center"/>
              <w:rPr>
                <w:rFonts w:hint="default" w:ascii="宋体" w:hAnsi="宋体" w:eastAsia="宋体"/>
                <w:szCs w:val="21"/>
                <w:highlight w:val="none"/>
                <w:lang w:val="en-US" w:eastAsia="zh-CN"/>
              </w:rPr>
            </w:pPr>
            <w:r>
              <w:rPr>
                <w:rFonts w:hint="eastAsia" w:ascii="宋体" w:hAnsi="宋体"/>
                <w:szCs w:val="21"/>
                <w:highlight w:val="none"/>
                <w:u w:val="single"/>
                <w:lang w:val="en-US" w:eastAsia="zh-CN"/>
              </w:rPr>
              <w:t xml:space="preserve">   元</w:t>
            </w:r>
          </w:p>
        </w:tc>
        <w:tc>
          <w:tcPr>
            <w:tcW w:w="1495" w:type="pct"/>
            <w:vAlign w:val="center"/>
          </w:tcPr>
          <w:p>
            <w:pPr>
              <w:jc w:val="center"/>
              <w:rPr>
                <w:rFonts w:ascii="宋体" w:hAnsi="宋体"/>
                <w:szCs w:val="21"/>
                <w:highlight w:val="none"/>
              </w:rPr>
            </w:pPr>
            <w:r>
              <w:rPr>
                <w:rFonts w:hint="eastAsia" w:ascii="宋体" w:hAnsi="宋体"/>
                <w:szCs w:val="21"/>
                <w:highlight w:val="none"/>
              </w:rPr>
              <w:t>自2022年8月1日起，至2025年7月31日止</w:t>
            </w:r>
          </w:p>
        </w:tc>
        <w:tc>
          <w:tcPr>
            <w:tcW w:w="1079" w:type="pct"/>
            <w:vAlign w:val="center"/>
          </w:tcPr>
          <w:p>
            <w:pPr>
              <w:jc w:val="center"/>
              <w:rPr>
                <w:rFonts w:hint="eastAsia" w:ascii="宋体" w:hAnsi="宋体" w:eastAsia="宋体"/>
                <w:szCs w:val="21"/>
                <w:highlight w:val="none"/>
                <w:lang w:eastAsia="zh-CN"/>
              </w:rPr>
            </w:pPr>
            <w:r>
              <w:rPr>
                <w:rFonts w:hint="eastAsia" w:ascii="宋体" w:hAnsi="宋体"/>
                <w:szCs w:val="21"/>
                <w:highlight w:val="none"/>
              </w:rPr>
              <w:t>广东省潮州市湘桥区</w:t>
            </w:r>
            <w:r>
              <w:rPr>
                <w:rFonts w:hint="eastAsia" w:ascii="宋体" w:hAnsi="宋体"/>
                <w:szCs w:val="21"/>
                <w:highlight w:val="none"/>
                <w:lang w:eastAsia="zh-CN"/>
              </w:rPr>
              <w:t>潮州大道</w:t>
            </w:r>
            <w:r>
              <w:rPr>
                <w:rFonts w:hint="eastAsia" w:ascii="宋体" w:hAnsi="宋体"/>
                <w:szCs w:val="21"/>
                <w:highlight w:val="none"/>
              </w:rPr>
              <w:t>凤新东路</w:t>
            </w:r>
            <w:r>
              <w:rPr>
                <w:rFonts w:hint="eastAsia" w:ascii="宋体" w:hAnsi="宋体"/>
                <w:szCs w:val="21"/>
                <w:highlight w:val="none"/>
                <w:lang w:eastAsia="zh-CN"/>
              </w:rPr>
              <w:t>中段</w:t>
            </w:r>
          </w:p>
        </w:tc>
        <w:tc>
          <w:tcPr>
            <w:tcW w:w="500" w:type="pct"/>
            <w:vAlign w:val="center"/>
          </w:tcPr>
          <w:p>
            <w:pPr>
              <w:jc w:val="center"/>
              <w:rPr>
                <w:rFonts w:ascii="宋体" w:hAnsi="宋体"/>
                <w:szCs w:val="21"/>
                <w:highlight w:val="none"/>
              </w:rPr>
            </w:pPr>
          </w:p>
        </w:tc>
      </w:tr>
    </w:tbl>
    <w:p>
      <w:pPr>
        <w:pStyle w:val="12"/>
        <w:rPr>
          <w:highlight w:val="none"/>
        </w:rPr>
      </w:pPr>
    </w:p>
    <w:p>
      <w:pPr>
        <w:spacing w:line="360" w:lineRule="auto"/>
        <w:rPr>
          <w:rFonts w:ascii="宋体" w:hAnsi="宋体" w:cs="宋体"/>
          <w:szCs w:val="21"/>
          <w:highlight w:val="none"/>
        </w:rPr>
      </w:pPr>
      <w:r>
        <w:rPr>
          <w:rFonts w:hint="eastAsia" w:ascii="宋体" w:hAnsi="宋体" w:cs="宋体"/>
          <w:szCs w:val="21"/>
          <w:highlight w:val="none"/>
        </w:rPr>
        <w:t>注:</w:t>
      </w:r>
    </w:p>
    <w:p>
      <w:pPr>
        <w:spacing w:line="360" w:lineRule="auto"/>
        <w:rPr>
          <w:rFonts w:ascii="宋体" w:hAnsi="宋体" w:cs="宋体"/>
          <w:szCs w:val="21"/>
          <w:highlight w:val="none"/>
        </w:rPr>
      </w:pPr>
      <w:r>
        <w:rPr>
          <w:rFonts w:hint="eastAsia" w:ascii="宋体" w:hAnsi="宋体" w:cs="宋体"/>
          <w:szCs w:val="21"/>
          <w:highlight w:val="none"/>
        </w:rPr>
        <w:t>1.投标人应按“</w:t>
      </w:r>
      <w:r>
        <w:rPr>
          <w:rFonts w:hint="eastAsia" w:ascii="宋体" w:hAnsi="宋体" w:cs="宋体"/>
          <w:szCs w:val="21"/>
          <w:highlight w:val="none"/>
          <w:lang w:val="en-US" w:eastAsia="zh-CN"/>
        </w:rPr>
        <w:t xml:space="preserve">第二部分 </w:t>
      </w:r>
      <w:r>
        <w:rPr>
          <w:rFonts w:hint="eastAsia" w:ascii="宋体" w:hAnsi="宋体" w:cs="宋体"/>
          <w:szCs w:val="21"/>
          <w:highlight w:val="none"/>
        </w:rPr>
        <w:t>采购项目内容”的要求，根据实际情况进行报价。本表内的</w:t>
      </w:r>
      <w:r>
        <w:rPr>
          <w:rFonts w:hint="eastAsia" w:ascii="宋体" w:hAnsi="宋体" w:cs="宋体"/>
          <w:szCs w:val="21"/>
          <w:highlight w:val="none"/>
          <w:lang w:val="en-US" w:eastAsia="zh-CN"/>
        </w:rPr>
        <w:t>投标报价</w:t>
      </w:r>
      <w:r>
        <w:rPr>
          <w:rFonts w:hint="eastAsia" w:ascii="宋体" w:hAnsi="宋体" w:cs="宋体"/>
          <w:szCs w:val="21"/>
          <w:highlight w:val="none"/>
        </w:rPr>
        <w:t>为最终报价，投标文件内不得含有任何对本报价进行修改的其他说明，否则将被视为无效投标；</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报价</w:t>
      </w:r>
      <w:r>
        <w:rPr>
          <w:rFonts w:hint="eastAsia" w:ascii="宋体" w:hAnsi="宋体" w:cs="宋体"/>
          <w:szCs w:val="21"/>
          <w:highlight w:val="none"/>
        </w:rPr>
        <w:t>包括了中标单位完成《用户需求书》所需的一切工作内容而发生的所有直接费用、间接费用、其它费用、税金等全部费用和中标单位要求获得的利润以及应由中标单位承担的义务、责任和风险所发生的一切费用</w:t>
      </w:r>
      <w:r>
        <w:rPr>
          <w:rFonts w:hint="eastAsia" w:ascii="宋体" w:hAnsi="宋体" w:cs="宋体"/>
          <w:szCs w:val="21"/>
          <w:highlight w:val="none"/>
          <w:lang w:eastAsia="zh-CN"/>
        </w:rPr>
        <w:t>；</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3.本</w:t>
      </w:r>
      <w:r>
        <w:rPr>
          <w:rFonts w:hint="eastAsia" w:ascii="宋体" w:hAnsi="宋体" w:cs="宋体"/>
          <w:szCs w:val="21"/>
          <w:highlight w:val="none"/>
          <w:lang w:val="en-US" w:eastAsia="zh-CN"/>
        </w:rPr>
        <w:t>投标报价</w:t>
      </w:r>
      <w:r>
        <w:rPr>
          <w:rFonts w:hint="eastAsia" w:ascii="宋体" w:hAnsi="宋体" w:cs="宋体"/>
          <w:szCs w:val="21"/>
          <w:highlight w:val="none"/>
        </w:rPr>
        <w:t>为</w:t>
      </w:r>
      <w:r>
        <w:rPr>
          <w:rFonts w:hint="eastAsia" w:ascii="宋体" w:hAnsi="宋体" w:cs="宋体"/>
          <w:szCs w:val="21"/>
          <w:highlight w:val="none"/>
          <w:lang w:val="en-US" w:eastAsia="zh-CN"/>
        </w:rPr>
        <w:t>含税</w:t>
      </w:r>
      <w:r>
        <w:rPr>
          <w:rFonts w:hint="eastAsia" w:ascii="宋体" w:hAnsi="宋体" w:cs="宋体"/>
          <w:szCs w:val="21"/>
          <w:highlight w:val="none"/>
        </w:rPr>
        <w:t>固定不变价</w:t>
      </w:r>
      <w:r>
        <w:rPr>
          <w:rFonts w:hint="eastAsia" w:ascii="宋体" w:hAnsi="宋体" w:cs="宋体"/>
          <w:szCs w:val="21"/>
          <w:highlight w:val="none"/>
          <w:lang w:eastAsia="zh-CN"/>
        </w:rPr>
        <w:t>，</w:t>
      </w:r>
      <w:r>
        <w:rPr>
          <w:rFonts w:hint="eastAsia" w:ascii="宋体" w:hAnsi="宋体" w:cs="宋体"/>
          <w:szCs w:val="21"/>
          <w:highlight w:val="none"/>
          <w:lang w:val="en-US" w:eastAsia="zh-CN"/>
        </w:rPr>
        <w:t>费用明细附《分项报价表》</w:t>
      </w:r>
      <w:r>
        <w:rPr>
          <w:rFonts w:hint="eastAsia" w:ascii="宋体" w:hAnsi="宋体" w:cs="宋体"/>
          <w:szCs w:val="21"/>
          <w:highlight w:val="none"/>
          <w:lang w:eastAsia="zh-CN"/>
        </w:rPr>
        <w:t>；</w:t>
      </w:r>
    </w:p>
    <w:p>
      <w:pPr>
        <w:spacing w:line="360" w:lineRule="auto"/>
        <w:rPr>
          <w:rFonts w:ascii="宋体" w:hAnsi="宋体" w:cs="宋体"/>
          <w:szCs w:val="21"/>
          <w:highlight w:val="none"/>
        </w:rPr>
      </w:pPr>
      <w:r>
        <w:rPr>
          <w:rFonts w:hint="eastAsia" w:ascii="宋体" w:hAnsi="宋体" w:cs="宋体"/>
          <w:szCs w:val="21"/>
          <w:highlight w:val="none"/>
        </w:rPr>
        <w:t>4.本表格须附在正副的投标文件中，并另封装一份在 “唱标信封”内。</w:t>
      </w:r>
    </w:p>
    <w:p>
      <w:pPr>
        <w:autoSpaceDE w:val="0"/>
        <w:autoSpaceDN w:val="0"/>
        <w:adjustRightInd w:val="0"/>
        <w:snapToGrid w:val="0"/>
        <w:spacing w:line="360" w:lineRule="auto"/>
        <w:rPr>
          <w:rFonts w:ascii="宋体" w:hAnsi="宋体"/>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hint="eastAsia" w:ascii="宋体" w:hAnsi="宋体"/>
          <w:highlight w:val="none"/>
        </w:rPr>
      </w:pPr>
      <w:r>
        <w:rPr>
          <w:rFonts w:hint="eastAsia" w:ascii="宋体" w:hAnsi="宋体"/>
          <w:highlight w:val="none"/>
        </w:rPr>
        <w:t>日   期：     年    月   日</w:t>
      </w:r>
    </w:p>
    <w:p>
      <w:pPr>
        <w:autoSpaceDE w:val="0"/>
        <w:autoSpaceDN w:val="0"/>
        <w:adjustRightInd w:val="0"/>
        <w:snapToGrid w:val="0"/>
        <w:spacing w:line="360" w:lineRule="auto"/>
        <w:rPr>
          <w:rFonts w:hint="eastAsia" w:ascii="宋体" w:hAnsi="宋体"/>
          <w:highlight w:val="none"/>
        </w:rPr>
        <w:sectPr>
          <w:pgSz w:w="11907" w:h="16840"/>
          <w:pgMar w:top="1440" w:right="1800" w:bottom="1440" w:left="1800" w:header="737" w:footer="737" w:gutter="0"/>
          <w:pgNumType w:fmt="decimal"/>
          <w:cols w:space="720" w:num="1"/>
          <w:docGrid w:linePitch="312" w:charSpace="0"/>
        </w:sectPr>
      </w:pPr>
    </w:p>
    <w:p>
      <w:pPr>
        <w:pStyle w:val="128"/>
        <w:spacing w:before="120" w:after="120" w:line="360" w:lineRule="auto"/>
        <w:ind w:firstLine="0" w:firstLineChars="0"/>
        <w:jc w:val="center"/>
        <w:rPr>
          <w:rFonts w:ascii="宋体" w:hAnsi="宋体" w:cs="宋体"/>
          <w:b/>
          <w:sz w:val="28"/>
          <w:szCs w:val="28"/>
          <w:highlight w:val="none"/>
        </w:rPr>
      </w:pPr>
      <w:r>
        <w:rPr>
          <w:rFonts w:hint="eastAsia" w:ascii="宋体" w:hAnsi="宋体" w:cs="宋体"/>
          <w:b/>
          <w:sz w:val="28"/>
          <w:szCs w:val="28"/>
          <w:highlight w:val="none"/>
        </w:rPr>
        <w:t>8.</w:t>
      </w:r>
      <w:r>
        <w:rPr>
          <w:rFonts w:hint="eastAsia" w:ascii="宋体" w:hAnsi="宋体" w:cs="宋体"/>
          <w:b/>
          <w:sz w:val="28"/>
          <w:szCs w:val="28"/>
          <w:highlight w:val="none"/>
          <w:lang w:val="en-US" w:eastAsia="zh-CN"/>
        </w:rPr>
        <w:t>2费用明细</w:t>
      </w:r>
      <w:r>
        <w:rPr>
          <w:rFonts w:hint="eastAsia" w:ascii="宋体" w:hAnsi="宋体" w:cs="宋体"/>
          <w:b/>
          <w:sz w:val="28"/>
          <w:szCs w:val="28"/>
          <w:highlight w:val="none"/>
        </w:rPr>
        <w:t>表</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国家税务总局广东潮州经济开发区税务局后勤综合服务项目</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采购代理编号：</w:t>
      </w:r>
      <w:r>
        <w:rPr>
          <w:rFonts w:hint="eastAsia" w:ascii="宋体" w:hAnsi="宋体" w:cs="宋体"/>
          <w:szCs w:val="21"/>
          <w:highlight w:val="none"/>
          <w:lang w:eastAsia="zh-CN"/>
        </w:rPr>
        <w:t>05-12-04A-2022-D-E13897</w:t>
      </w:r>
    </w:p>
    <w:p>
      <w:pPr>
        <w:spacing w:line="360" w:lineRule="auto"/>
        <w:jc w:val="right"/>
        <w:rPr>
          <w:rFonts w:hint="default" w:ascii="宋体" w:hAnsi="宋体" w:cs="宋体"/>
          <w:szCs w:val="21"/>
          <w:highlight w:val="none"/>
          <w:lang w:val="en-US" w:eastAsia="zh-CN"/>
        </w:rPr>
      </w:pPr>
      <w:r>
        <w:rPr>
          <w:rFonts w:hint="eastAsia" w:ascii="宋体" w:hAnsi="宋体" w:cs="宋体"/>
          <w:szCs w:val="21"/>
          <w:highlight w:val="none"/>
          <w:lang w:val="en-US" w:eastAsia="zh-CN"/>
        </w:rPr>
        <w:t>单位：元</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2926"/>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7" w:type="pct"/>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年度</w:t>
            </w:r>
          </w:p>
        </w:tc>
        <w:tc>
          <w:tcPr>
            <w:tcW w:w="1717" w:type="pct"/>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每月报价</w:t>
            </w:r>
          </w:p>
        </w:tc>
        <w:tc>
          <w:tcPr>
            <w:tcW w:w="2175" w:type="pct"/>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全年报价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107" w:type="pct"/>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2022-2023</w:t>
            </w:r>
          </w:p>
        </w:tc>
        <w:tc>
          <w:tcPr>
            <w:tcW w:w="1717" w:type="pct"/>
            <w:vAlign w:val="center"/>
          </w:tcPr>
          <w:p>
            <w:pPr>
              <w:jc w:val="center"/>
              <w:rPr>
                <w:rFonts w:hint="default" w:ascii="宋体" w:hAnsi="宋体" w:eastAsia="宋体"/>
                <w:szCs w:val="21"/>
                <w:highlight w:val="none"/>
                <w:lang w:val="en-US" w:eastAsia="zh-CN"/>
              </w:rPr>
            </w:pPr>
          </w:p>
        </w:tc>
        <w:tc>
          <w:tcPr>
            <w:tcW w:w="2175" w:type="pct"/>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107" w:type="pct"/>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2023-2024</w:t>
            </w:r>
          </w:p>
        </w:tc>
        <w:tc>
          <w:tcPr>
            <w:tcW w:w="1717" w:type="pct"/>
            <w:vAlign w:val="center"/>
          </w:tcPr>
          <w:p>
            <w:pPr>
              <w:jc w:val="center"/>
              <w:rPr>
                <w:rFonts w:hint="default" w:ascii="宋体" w:hAnsi="宋体"/>
                <w:szCs w:val="21"/>
                <w:highlight w:val="none"/>
                <w:u w:val="single"/>
                <w:lang w:val="en-US" w:eastAsia="zh-CN"/>
              </w:rPr>
            </w:pPr>
          </w:p>
        </w:tc>
        <w:tc>
          <w:tcPr>
            <w:tcW w:w="2175" w:type="pct"/>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107" w:type="pct"/>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2024-2025</w:t>
            </w:r>
          </w:p>
        </w:tc>
        <w:tc>
          <w:tcPr>
            <w:tcW w:w="1717" w:type="pct"/>
            <w:vAlign w:val="center"/>
          </w:tcPr>
          <w:p>
            <w:pPr>
              <w:jc w:val="center"/>
              <w:rPr>
                <w:rFonts w:hint="eastAsia" w:ascii="宋体" w:hAnsi="宋体"/>
                <w:szCs w:val="21"/>
                <w:highlight w:val="none"/>
                <w:u w:val="single"/>
                <w:lang w:val="en-US" w:eastAsia="zh-CN"/>
              </w:rPr>
            </w:pPr>
          </w:p>
        </w:tc>
        <w:tc>
          <w:tcPr>
            <w:tcW w:w="2175" w:type="pct"/>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107" w:type="pct"/>
            <w:vAlign w:val="center"/>
          </w:tcPr>
          <w:p>
            <w:pPr>
              <w:jc w:val="center"/>
              <w:rPr>
                <w:rFonts w:hint="default" w:ascii="宋体" w:hAnsi="宋体"/>
                <w:szCs w:val="21"/>
                <w:highlight w:val="none"/>
                <w:u w:val="single"/>
                <w:lang w:val="en-US" w:eastAsia="zh-CN"/>
              </w:rPr>
            </w:pPr>
            <w:r>
              <w:rPr>
                <w:rFonts w:hint="eastAsia" w:ascii="宋体" w:hAnsi="宋体"/>
                <w:szCs w:val="21"/>
                <w:highlight w:val="none"/>
                <w:u w:val="none"/>
                <w:lang w:val="en-US" w:eastAsia="zh-CN"/>
              </w:rPr>
              <w:t>合计</w:t>
            </w:r>
          </w:p>
        </w:tc>
        <w:tc>
          <w:tcPr>
            <w:tcW w:w="3892" w:type="pct"/>
            <w:gridSpan w:val="2"/>
            <w:vAlign w:val="center"/>
          </w:tcPr>
          <w:p>
            <w:pPr>
              <w:jc w:val="center"/>
              <w:rPr>
                <w:rFonts w:hint="eastAsia" w:ascii="宋体" w:hAnsi="宋体"/>
                <w:szCs w:val="21"/>
                <w:highlight w:val="none"/>
              </w:rPr>
            </w:pP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107" w:type="pct"/>
            <w:vAlign w:val="center"/>
          </w:tcPr>
          <w:p>
            <w:pPr>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备注</w:t>
            </w:r>
          </w:p>
        </w:tc>
        <w:tc>
          <w:tcPr>
            <w:tcW w:w="3892" w:type="pct"/>
            <w:gridSpan w:val="2"/>
            <w:vAlign w:val="center"/>
          </w:tcPr>
          <w:p>
            <w:pPr>
              <w:jc w:val="center"/>
              <w:rPr>
                <w:rFonts w:hint="eastAsia" w:ascii="宋体" w:hAnsi="宋体"/>
                <w:szCs w:val="21"/>
                <w:highlight w:val="none"/>
              </w:rPr>
            </w:pPr>
            <w:r>
              <w:rPr>
                <w:rFonts w:hint="eastAsia" w:ascii="宋体" w:hAnsi="宋体" w:cs="宋体"/>
                <w:kern w:val="0"/>
                <w:sz w:val="24"/>
                <w:highlight w:val="none"/>
                <w:lang w:val="en-US" w:eastAsia="zh-CN"/>
              </w:rPr>
              <w:t>报价</w:t>
            </w:r>
            <w:r>
              <w:rPr>
                <w:rFonts w:hint="eastAsia" w:ascii="宋体" w:hAnsi="宋体" w:cs="宋体"/>
                <w:kern w:val="0"/>
                <w:sz w:val="24"/>
                <w:highlight w:val="none"/>
              </w:rPr>
              <w:t>金额不得超过各列明服务费上限</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详见用户需求书附页1：服务费用明细表）</w:t>
            </w:r>
            <w:r>
              <w:rPr>
                <w:rFonts w:hint="eastAsia" w:ascii="宋体" w:hAnsi="宋体" w:cs="宋体"/>
                <w:kern w:val="0"/>
                <w:sz w:val="24"/>
                <w:highlight w:val="none"/>
              </w:rPr>
              <w:t>；服务费用含</w:t>
            </w:r>
            <w:r>
              <w:rPr>
                <w:rFonts w:hint="eastAsia" w:ascii="宋体" w:hAnsi="宋体" w:cs="宋体"/>
                <w:kern w:val="0"/>
                <w:sz w:val="24"/>
                <w:highlight w:val="none"/>
                <w:lang w:eastAsia="zh-CN"/>
              </w:rPr>
              <w:t>人工费用、</w:t>
            </w:r>
            <w:r>
              <w:rPr>
                <w:rFonts w:hint="eastAsia" w:ascii="宋体" w:hAnsi="宋体" w:cs="宋体"/>
                <w:kern w:val="0"/>
                <w:sz w:val="24"/>
                <w:highlight w:val="none"/>
              </w:rPr>
              <w:t>员工服装费、入职体检费、培训费、保安器材、管理费、税</w:t>
            </w:r>
            <w:r>
              <w:rPr>
                <w:rFonts w:hint="eastAsia" w:ascii="宋体" w:hAnsi="宋体" w:cs="宋体"/>
                <w:kern w:val="0"/>
                <w:sz w:val="24"/>
                <w:highlight w:val="none"/>
                <w:lang w:eastAsia="zh-CN"/>
              </w:rPr>
              <w:t>费</w:t>
            </w:r>
            <w:r>
              <w:rPr>
                <w:rFonts w:hint="eastAsia" w:ascii="宋体" w:hAnsi="宋体" w:cs="宋体"/>
                <w:kern w:val="0"/>
                <w:sz w:val="24"/>
                <w:highlight w:val="none"/>
              </w:rPr>
              <w:t>等服务配套费用</w:t>
            </w:r>
          </w:p>
        </w:tc>
      </w:tr>
    </w:tbl>
    <w:p>
      <w:pPr>
        <w:pStyle w:val="12"/>
        <w:rPr>
          <w:highlight w:val="none"/>
        </w:rPr>
      </w:pPr>
    </w:p>
    <w:p>
      <w:pPr>
        <w:spacing w:line="360" w:lineRule="auto"/>
        <w:rPr>
          <w:rFonts w:ascii="宋体" w:hAnsi="宋体" w:cs="宋体"/>
          <w:szCs w:val="21"/>
          <w:highlight w:val="none"/>
        </w:rPr>
      </w:pPr>
      <w:r>
        <w:rPr>
          <w:rFonts w:hint="eastAsia" w:ascii="宋体" w:hAnsi="宋体" w:cs="宋体"/>
          <w:szCs w:val="21"/>
          <w:highlight w:val="none"/>
        </w:rPr>
        <w:t>注:</w:t>
      </w:r>
    </w:p>
    <w:p>
      <w:pPr>
        <w:spacing w:line="360" w:lineRule="auto"/>
        <w:rPr>
          <w:rFonts w:ascii="宋体" w:hAnsi="宋体" w:cs="宋体"/>
          <w:szCs w:val="21"/>
          <w:highlight w:val="none"/>
        </w:rPr>
      </w:pPr>
      <w:r>
        <w:rPr>
          <w:rFonts w:hint="eastAsia" w:ascii="宋体" w:hAnsi="宋体" w:cs="宋体"/>
          <w:szCs w:val="21"/>
          <w:highlight w:val="none"/>
        </w:rPr>
        <w:t>1.投标人应按“</w:t>
      </w:r>
      <w:r>
        <w:rPr>
          <w:rFonts w:hint="eastAsia" w:ascii="宋体" w:hAnsi="宋体" w:cs="宋体"/>
          <w:szCs w:val="21"/>
          <w:highlight w:val="none"/>
          <w:lang w:val="en-US" w:eastAsia="zh-CN"/>
        </w:rPr>
        <w:t xml:space="preserve">第二部分 </w:t>
      </w:r>
      <w:r>
        <w:rPr>
          <w:rFonts w:hint="eastAsia" w:ascii="宋体" w:hAnsi="宋体" w:cs="宋体"/>
          <w:szCs w:val="21"/>
          <w:highlight w:val="none"/>
        </w:rPr>
        <w:t>采购项目内容”的要求，根据实际情况进行报价</w:t>
      </w:r>
      <w:r>
        <w:rPr>
          <w:rFonts w:hint="eastAsia" w:ascii="宋体" w:hAnsi="宋体" w:cs="宋体"/>
          <w:szCs w:val="21"/>
          <w:highlight w:val="none"/>
          <w:lang w:eastAsia="zh-CN"/>
        </w:rPr>
        <w:t>，</w:t>
      </w:r>
      <w:r>
        <w:rPr>
          <w:rFonts w:hint="eastAsia" w:ascii="宋体" w:hAnsi="宋体" w:cs="宋体"/>
          <w:szCs w:val="21"/>
          <w:highlight w:val="none"/>
        </w:rPr>
        <w:t>本表内的</w:t>
      </w:r>
      <w:r>
        <w:rPr>
          <w:rFonts w:hint="eastAsia" w:ascii="宋体" w:hAnsi="宋体" w:cs="宋体"/>
          <w:szCs w:val="21"/>
          <w:highlight w:val="none"/>
          <w:lang w:val="en-US" w:eastAsia="zh-CN"/>
        </w:rPr>
        <w:t>合计金额应与《开标一览表》中的投标报价一致。</w:t>
      </w:r>
      <w:r>
        <w:rPr>
          <w:rFonts w:hint="eastAsia" w:ascii="宋体" w:hAnsi="宋体" w:cs="宋体"/>
          <w:szCs w:val="21"/>
          <w:highlight w:val="none"/>
        </w:rPr>
        <w:t>投标文件内不得含有任何对本报价进行修改的其他说明，否则将被视为无效投标；</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报价</w:t>
      </w:r>
      <w:r>
        <w:rPr>
          <w:rFonts w:hint="eastAsia" w:ascii="宋体" w:hAnsi="宋体" w:cs="宋体"/>
          <w:szCs w:val="21"/>
          <w:highlight w:val="none"/>
        </w:rPr>
        <w:t>包括了中标单位完成《用户需求书》所需的一切工作内容而发生的所有直接费用、间接费用、其它费用、税金等全部费用和中标单位要求获得的利润以及应由中标单位承担的义务、责任和风险所发生的一切费用</w:t>
      </w:r>
      <w:r>
        <w:rPr>
          <w:rFonts w:hint="eastAsia" w:ascii="宋体" w:hAnsi="宋体" w:cs="宋体"/>
          <w:szCs w:val="21"/>
          <w:highlight w:val="none"/>
          <w:lang w:eastAsia="zh-CN"/>
        </w:rPr>
        <w:t>；</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3.本</w:t>
      </w:r>
      <w:r>
        <w:rPr>
          <w:rFonts w:hint="eastAsia" w:ascii="宋体" w:hAnsi="宋体" w:cs="宋体"/>
          <w:szCs w:val="21"/>
          <w:highlight w:val="none"/>
          <w:lang w:val="en-US" w:eastAsia="zh-CN"/>
        </w:rPr>
        <w:t>表中的报价</w:t>
      </w:r>
      <w:r>
        <w:rPr>
          <w:rFonts w:hint="eastAsia" w:ascii="宋体" w:hAnsi="宋体" w:cs="宋体"/>
          <w:szCs w:val="21"/>
          <w:highlight w:val="none"/>
        </w:rPr>
        <w:t>为固定不变价</w:t>
      </w:r>
      <w:r>
        <w:rPr>
          <w:rFonts w:hint="eastAsia" w:ascii="宋体" w:hAnsi="宋体" w:cs="宋体"/>
          <w:szCs w:val="21"/>
          <w:highlight w:val="none"/>
          <w:lang w:eastAsia="zh-CN"/>
        </w:rPr>
        <w:t>；</w:t>
      </w:r>
    </w:p>
    <w:p>
      <w:pPr>
        <w:spacing w:line="360" w:lineRule="auto"/>
        <w:rPr>
          <w:rFonts w:ascii="宋体" w:hAnsi="宋体" w:cs="宋体"/>
          <w:szCs w:val="21"/>
          <w:highlight w:val="none"/>
        </w:rPr>
      </w:pPr>
      <w:r>
        <w:rPr>
          <w:rFonts w:hint="eastAsia" w:ascii="宋体" w:hAnsi="宋体" w:cs="宋体"/>
          <w:szCs w:val="21"/>
          <w:highlight w:val="none"/>
        </w:rPr>
        <w:t>4.本表格须</w:t>
      </w:r>
      <w:r>
        <w:rPr>
          <w:rFonts w:hint="eastAsia" w:ascii="宋体" w:hAnsi="宋体" w:cs="宋体"/>
          <w:szCs w:val="21"/>
          <w:highlight w:val="none"/>
          <w:lang w:val="en-US" w:eastAsia="zh-CN"/>
        </w:rPr>
        <w:t>与《开标一览表》同时</w:t>
      </w:r>
      <w:r>
        <w:rPr>
          <w:rFonts w:hint="eastAsia" w:ascii="宋体" w:hAnsi="宋体" w:cs="宋体"/>
          <w:szCs w:val="21"/>
          <w:highlight w:val="none"/>
        </w:rPr>
        <w:t>附在正副的投标文件中。</w:t>
      </w:r>
    </w:p>
    <w:p>
      <w:pPr>
        <w:autoSpaceDE w:val="0"/>
        <w:autoSpaceDN w:val="0"/>
        <w:adjustRightInd w:val="0"/>
        <w:snapToGrid w:val="0"/>
        <w:spacing w:line="360" w:lineRule="auto"/>
        <w:rPr>
          <w:rFonts w:ascii="宋体" w:hAnsi="宋体"/>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hint="eastAsia" w:ascii="宋体" w:hAnsi="宋体"/>
          <w:highlight w:val="none"/>
        </w:rPr>
      </w:pPr>
      <w:r>
        <w:rPr>
          <w:rFonts w:hint="eastAsia" w:ascii="宋体" w:hAnsi="宋体"/>
          <w:highlight w:val="none"/>
        </w:rPr>
        <w:t>日   期：     年    月   日</w:t>
      </w:r>
    </w:p>
    <w:p>
      <w:pPr>
        <w:autoSpaceDE w:val="0"/>
        <w:autoSpaceDN w:val="0"/>
        <w:adjustRightInd w:val="0"/>
        <w:snapToGrid w:val="0"/>
        <w:spacing w:line="360" w:lineRule="auto"/>
        <w:ind w:firstLine="3840" w:firstLineChars="1600"/>
        <w:rPr>
          <w:rFonts w:ascii="宋体" w:hAnsi="宋体"/>
          <w:highlight w:val="none"/>
        </w:rPr>
        <w:sectPr>
          <w:pgSz w:w="11907" w:h="16840"/>
          <w:pgMar w:top="1440" w:right="1800" w:bottom="1440" w:left="1800" w:header="737" w:footer="737" w:gutter="0"/>
          <w:pgNumType w:fmt="decimal"/>
          <w:cols w:space="720" w:num="1"/>
          <w:docGrid w:linePitch="312" w:charSpace="0"/>
        </w:sectPr>
      </w:pPr>
    </w:p>
    <w:p>
      <w:pPr>
        <w:spacing w:line="360" w:lineRule="auto"/>
        <w:jc w:val="center"/>
        <w:outlineLvl w:val="1"/>
        <w:rPr>
          <w:rFonts w:ascii="宋体" w:hAnsi="宋体" w:cs="宋体"/>
          <w:b/>
          <w:sz w:val="32"/>
          <w:szCs w:val="32"/>
          <w:highlight w:val="none"/>
        </w:rPr>
      </w:pPr>
      <w:r>
        <w:rPr>
          <w:rFonts w:hint="eastAsia" w:ascii="宋体" w:hAnsi="宋体" w:cs="宋体"/>
          <w:b/>
          <w:sz w:val="32"/>
          <w:szCs w:val="32"/>
          <w:highlight w:val="none"/>
        </w:rPr>
        <w:t>九、其他文件</w:t>
      </w:r>
    </w:p>
    <w:p>
      <w:pPr>
        <w:spacing w:line="360" w:lineRule="auto"/>
        <w:rPr>
          <w:rFonts w:ascii="宋体" w:hAnsi="宋体" w:cs="宋体"/>
          <w:b/>
          <w:highlight w:val="none"/>
        </w:rPr>
      </w:pPr>
      <w:r>
        <w:rPr>
          <w:rFonts w:hint="eastAsia" w:ascii="宋体" w:hAnsi="宋体" w:cs="宋体"/>
          <w:b/>
          <w:highlight w:val="none"/>
        </w:rPr>
        <w:t>9.1、中小企业声明函（如不是中小企业则无须提供）</w:t>
      </w:r>
    </w:p>
    <w:p>
      <w:pPr>
        <w:autoSpaceDE w:val="0"/>
        <w:autoSpaceDN w:val="0"/>
        <w:adjustRightInd w:val="0"/>
        <w:snapToGrid w:val="0"/>
        <w:spacing w:line="360" w:lineRule="auto"/>
        <w:jc w:val="center"/>
        <w:rPr>
          <w:rFonts w:ascii="宋体" w:hAnsi="宋体"/>
          <w:highlight w:val="none"/>
        </w:rPr>
      </w:pPr>
      <w:r>
        <w:rPr>
          <w:rFonts w:ascii="宋体" w:hAnsi="宋体"/>
          <w:b/>
          <w:bCs/>
          <w:sz w:val="28"/>
          <w:szCs w:val="28"/>
          <w:highlight w:val="none"/>
        </w:rPr>
        <w:t>中小企业声明函</w:t>
      </w:r>
    </w:p>
    <w:p>
      <w:pPr>
        <w:autoSpaceDE w:val="0"/>
        <w:autoSpaceDN w:val="0"/>
        <w:adjustRightInd w:val="0"/>
        <w:snapToGrid w:val="0"/>
        <w:spacing w:line="360" w:lineRule="auto"/>
        <w:ind w:firstLine="480" w:firstLineChars="200"/>
        <w:rPr>
          <w:rFonts w:ascii="宋体" w:hAnsi="宋体"/>
          <w:highlight w:val="none"/>
        </w:rPr>
      </w:pPr>
      <w:r>
        <w:rPr>
          <w:rFonts w:ascii="宋体" w:hAnsi="宋体"/>
          <w:highlight w:val="none"/>
        </w:rPr>
        <w:t>本公司郑重声明，</w:t>
      </w:r>
      <w:r>
        <w:rPr>
          <w:rFonts w:hint="eastAsia" w:ascii="宋体" w:hAnsi="宋体"/>
          <w:highlight w:val="none"/>
        </w:rPr>
        <w:t>根据《政府采购促进中小企业发展管理办法》（财库﹝2020﹞46 号）</w:t>
      </w:r>
      <w:r>
        <w:rPr>
          <w:rFonts w:ascii="宋体" w:hAnsi="宋体"/>
          <w:highlight w:val="none"/>
        </w:rPr>
        <w:t>的规定。本公司</w:t>
      </w:r>
      <w:r>
        <w:rPr>
          <w:rFonts w:hint="eastAsia" w:ascii="宋体" w:hAnsi="宋体"/>
          <w:highlight w:val="none"/>
        </w:rPr>
        <w:t>参加</w:t>
      </w:r>
      <w:r>
        <w:rPr>
          <w:rFonts w:hint="eastAsia" w:ascii="宋体" w:hAnsi="宋体"/>
          <w:highlight w:val="none"/>
          <w:u w:val="single"/>
        </w:rPr>
        <w:t>（单位名称）</w:t>
      </w:r>
      <w:r>
        <w:rPr>
          <w:rFonts w:hint="eastAsia" w:ascii="宋体" w:hAnsi="宋体"/>
          <w:highlight w:val="none"/>
        </w:rPr>
        <w:t>的</w:t>
      </w:r>
      <w:r>
        <w:rPr>
          <w:rFonts w:hint="eastAsia" w:ascii="宋体" w:hAnsi="宋体"/>
          <w:highlight w:val="none"/>
          <w:u w:val="single"/>
        </w:rPr>
        <w:t>（项目名称）</w:t>
      </w:r>
      <w:r>
        <w:rPr>
          <w:rFonts w:hint="eastAsia" w:ascii="宋体" w:hAnsi="宋体"/>
          <w:highlight w:val="none"/>
        </w:rPr>
        <w:t>采购活动，服务全部由符合政策要求的中小企业承接。相关企业（含联合体中的中小企业、签订分包意向协议的中小企业）的具体情况如下：</w:t>
      </w:r>
    </w:p>
    <w:p>
      <w:pPr>
        <w:numPr>
          <w:ilvl w:val="0"/>
          <w:numId w:val="5"/>
        </w:num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u w:val="single"/>
        </w:rPr>
        <w:t>（标的名称）</w:t>
      </w:r>
      <w:r>
        <w:rPr>
          <w:rFonts w:hint="eastAsia" w:ascii="宋体" w:hAnsi="宋体"/>
          <w:highlight w:val="none"/>
        </w:rPr>
        <w:t>，属于</w:t>
      </w:r>
      <w:r>
        <w:rPr>
          <w:rFonts w:hint="eastAsia" w:ascii="宋体" w:hAnsi="宋体"/>
          <w:highlight w:val="none"/>
          <w:u w:val="single"/>
        </w:rPr>
        <w:t xml:space="preserve"> （采购文件中明确的所属行业）行业 </w:t>
      </w:r>
      <w:r>
        <w:rPr>
          <w:rFonts w:hint="eastAsia" w:ascii="宋体" w:hAnsi="宋体"/>
          <w:highlight w:val="none"/>
        </w:rPr>
        <w:t>；承接企业为</w:t>
      </w:r>
      <w:r>
        <w:rPr>
          <w:rFonts w:hint="eastAsia" w:ascii="宋体" w:hAnsi="宋体"/>
          <w:highlight w:val="none"/>
          <w:u w:val="single"/>
        </w:rPr>
        <w:t>（企业名称）</w:t>
      </w:r>
      <w:r>
        <w:rPr>
          <w:rFonts w:hint="eastAsia" w:ascii="宋体" w:hAnsi="宋体"/>
          <w:highlight w:val="none"/>
        </w:rPr>
        <w:t>，从业人员</w:t>
      </w:r>
      <w:r>
        <w:rPr>
          <w:rFonts w:hint="eastAsia" w:ascii="宋体" w:hAnsi="宋体"/>
          <w:highlight w:val="none"/>
          <w:u w:val="single"/>
        </w:rPr>
        <w:t xml:space="preserve">      </w:t>
      </w:r>
      <w:r>
        <w:rPr>
          <w:rFonts w:hint="eastAsia" w:ascii="宋体" w:hAnsi="宋体"/>
          <w:highlight w:val="none"/>
        </w:rPr>
        <w:t>人，营业收入为</w:t>
      </w:r>
      <w:r>
        <w:rPr>
          <w:rFonts w:hint="eastAsia" w:ascii="宋体" w:hAnsi="宋体"/>
          <w:highlight w:val="none"/>
          <w:u w:val="single"/>
        </w:rPr>
        <w:t xml:space="preserve">      </w:t>
      </w:r>
      <w:r>
        <w:rPr>
          <w:rFonts w:hint="eastAsia" w:ascii="宋体" w:hAnsi="宋体"/>
          <w:highlight w:val="none"/>
        </w:rPr>
        <w:t>万元，资产总额为</w:t>
      </w:r>
      <w:r>
        <w:rPr>
          <w:rFonts w:hint="eastAsia" w:ascii="宋体" w:hAnsi="宋体"/>
          <w:highlight w:val="none"/>
          <w:u w:val="single"/>
        </w:rPr>
        <w:t xml:space="preserve">      </w:t>
      </w:r>
      <w:r>
        <w:rPr>
          <w:rFonts w:hint="eastAsia" w:ascii="宋体" w:hAnsi="宋体"/>
          <w:highlight w:val="none"/>
        </w:rPr>
        <w:t>万元，属于（</w:t>
      </w:r>
      <w:r>
        <w:rPr>
          <w:rFonts w:hint="eastAsia" w:ascii="宋体" w:hAnsi="宋体"/>
          <w:highlight w:val="none"/>
          <w:u w:val="single"/>
        </w:rPr>
        <w:t>中型企业、小型企业、微型企业）</w:t>
      </w:r>
      <w:r>
        <w:rPr>
          <w:rFonts w:hint="eastAsia" w:ascii="宋体" w:hAnsi="宋体"/>
          <w:highlight w:val="none"/>
        </w:rPr>
        <w:t>；</w:t>
      </w:r>
    </w:p>
    <w:p>
      <w:pPr>
        <w:numPr>
          <w:ilvl w:val="0"/>
          <w:numId w:val="5"/>
        </w:num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u w:val="single"/>
        </w:rPr>
        <w:t>标的名称）</w:t>
      </w:r>
      <w:r>
        <w:rPr>
          <w:rFonts w:hint="eastAsia" w:ascii="宋体" w:hAnsi="宋体"/>
          <w:highlight w:val="none"/>
        </w:rPr>
        <w:t>，属于</w:t>
      </w:r>
      <w:r>
        <w:rPr>
          <w:rFonts w:hint="eastAsia" w:ascii="宋体" w:hAnsi="宋体"/>
          <w:highlight w:val="none"/>
          <w:u w:val="single"/>
        </w:rPr>
        <w:t xml:space="preserve"> （采购文件中明确的所属行业）行业 </w:t>
      </w:r>
      <w:r>
        <w:rPr>
          <w:rFonts w:hint="eastAsia" w:ascii="宋体" w:hAnsi="宋体"/>
          <w:highlight w:val="none"/>
        </w:rPr>
        <w:t>；承接企业为</w:t>
      </w:r>
      <w:r>
        <w:rPr>
          <w:rFonts w:hint="eastAsia" w:ascii="宋体" w:hAnsi="宋体"/>
          <w:highlight w:val="none"/>
          <w:u w:val="single"/>
        </w:rPr>
        <w:t>（企业名称）</w:t>
      </w:r>
      <w:r>
        <w:rPr>
          <w:rFonts w:hint="eastAsia" w:ascii="宋体" w:hAnsi="宋体"/>
          <w:highlight w:val="none"/>
        </w:rPr>
        <w:t>，从业人员</w:t>
      </w:r>
      <w:r>
        <w:rPr>
          <w:rFonts w:hint="eastAsia" w:ascii="宋体" w:hAnsi="宋体"/>
          <w:highlight w:val="none"/>
          <w:u w:val="single"/>
        </w:rPr>
        <w:t xml:space="preserve">      </w:t>
      </w:r>
      <w:r>
        <w:rPr>
          <w:rFonts w:hint="eastAsia" w:ascii="宋体" w:hAnsi="宋体"/>
          <w:highlight w:val="none"/>
        </w:rPr>
        <w:t>人，营业收入为</w:t>
      </w:r>
      <w:r>
        <w:rPr>
          <w:rFonts w:hint="eastAsia" w:ascii="宋体" w:hAnsi="宋体"/>
          <w:highlight w:val="none"/>
          <w:u w:val="single"/>
        </w:rPr>
        <w:t xml:space="preserve">      </w:t>
      </w:r>
      <w:r>
        <w:rPr>
          <w:rFonts w:hint="eastAsia" w:ascii="宋体" w:hAnsi="宋体"/>
          <w:highlight w:val="none"/>
        </w:rPr>
        <w:t>万元，资产总额为</w:t>
      </w:r>
      <w:r>
        <w:rPr>
          <w:rFonts w:hint="eastAsia" w:ascii="宋体" w:hAnsi="宋体"/>
          <w:highlight w:val="none"/>
          <w:u w:val="single"/>
        </w:rPr>
        <w:t xml:space="preserve">      </w:t>
      </w:r>
      <w:r>
        <w:rPr>
          <w:rFonts w:hint="eastAsia" w:ascii="宋体" w:hAnsi="宋体"/>
          <w:highlight w:val="none"/>
        </w:rPr>
        <w:t>万元，属于（</w:t>
      </w:r>
      <w:r>
        <w:rPr>
          <w:rFonts w:hint="eastAsia" w:ascii="宋体" w:hAnsi="宋体"/>
          <w:highlight w:val="none"/>
          <w:u w:val="single"/>
        </w:rPr>
        <w:t>中型企业、小型企业、微型企业）</w:t>
      </w:r>
      <w:r>
        <w:rPr>
          <w:rFonts w:hint="eastAsia" w:ascii="宋体" w:hAnsi="宋体"/>
          <w:highlight w:val="none"/>
        </w:rPr>
        <w:t xml:space="preserve">； </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 xml:space="preserve">以上企业，不属于大企业的分支机构，不存在控股股东为大企业的情形，也不存在与大企业的负责人为同一人的情形。 </w:t>
      </w:r>
    </w:p>
    <w:p>
      <w:pPr>
        <w:autoSpaceDE w:val="0"/>
        <w:autoSpaceDN w:val="0"/>
        <w:adjustRightInd w:val="0"/>
        <w:snapToGrid w:val="0"/>
        <w:spacing w:line="360" w:lineRule="auto"/>
        <w:ind w:left="480" w:leftChars="200"/>
        <w:rPr>
          <w:rFonts w:ascii="宋体" w:hAnsi="宋体"/>
          <w:highlight w:val="none"/>
        </w:rPr>
      </w:pPr>
      <w:r>
        <w:rPr>
          <w:rFonts w:hint="eastAsia" w:ascii="宋体" w:hAnsi="宋体"/>
          <w:highlight w:val="none"/>
        </w:rPr>
        <w:t>本企业对上述声明内容的真实性负责。如有虚假，将依法承担相应责任。</w:t>
      </w:r>
    </w:p>
    <w:p>
      <w:pPr>
        <w:autoSpaceDE w:val="0"/>
        <w:autoSpaceDN w:val="0"/>
        <w:adjustRightInd w:val="0"/>
        <w:snapToGrid w:val="0"/>
        <w:spacing w:line="360" w:lineRule="auto"/>
        <w:rPr>
          <w:rFonts w:ascii="宋体" w:hAnsi="宋体"/>
          <w:sz w:val="21"/>
          <w:szCs w:val="21"/>
          <w:highlight w:val="none"/>
        </w:rPr>
      </w:pPr>
    </w:p>
    <w:p>
      <w:pPr>
        <w:autoSpaceDE w:val="0"/>
        <w:autoSpaceDN w:val="0"/>
        <w:adjustRightInd w:val="0"/>
        <w:snapToGrid w:val="0"/>
        <w:spacing w:line="360" w:lineRule="auto"/>
        <w:rPr>
          <w:rFonts w:ascii="宋体" w:hAnsi="宋体"/>
          <w:highlight w:val="none"/>
        </w:rPr>
      </w:pP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日   期：     年    月   日</w:t>
      </w:r>
    </w:p>
    <w:p>
      <w:pPr>
        <w:pStyle w:val="12"/>
        <w:rPr>
          <w:highlight w:val="none"/>
        </w:rPr>
      </w:pPr>
    </w:p>
    <w:p>
      <w:pPr>
        <w:autoSpaceDE w:val="0"/>
        <w:autoSpaceDN w:val="0"/>
        <w:adjustRightInd w:val="0"/>
        <w:snapToGrid w:val="0"/>
        <w:spacing w:line="360" w:lineRule="auto"/>
        <w:rPr>
          <w:rFonts w:ascii="宋体" w:hAnsi="宋体"/>
          <w:sz w:val="21"/>
          <w:szCs w:val="21"/>
          <w:highlight w:val="none"/>
        </w:rPr>
      </w:pPr>
      <w:r>
        <w:rPr>
          <w:rFonts w:hint="eastAsia" w:ascii="宋体" w:hAnsi="宋体"/>
          <w:sz w:val="21"/>
          <w:szCs w:val="21"/>
          <w:highlight w:val="none"/>
        </w:rPr>
        <w:t>注:</w:t>
      </w:r>
    </w:p>
    <w:p>
      <w:pPr>
        <w:numPr>
          <w:ilvl w:val="0"/>
          <w:numId w:val="6"/>
        </w:numPr>
        <w:autoSpaceDE w:val="0"/>
        <w:autoSpaceDN w:val="0"/>
        <w:adjustRightInd w:val="0"/>
        <w:snapToGrid w:val="0"/>
        <w:spacing w:line="360" w:lineRule="auto"/>
        <w:rPr>
          <w:rFonts w:ascii="宋体" w:hAnsi="宋体"/>
          <w:sz w:val="21"/>
          <w:szCs w:val="21"/>
          <w:highlight w:val="none"/>
        </w:rPr>
      </w:pPr>
      <w:r>
        <w:rPr>
          <w:rFonts w:hint="eastAsia" w:ascii="宋体" w:hAnsi="宋体"/>
          <w:sz w:val="21"/>
          <w:szCs w:val="21"/>
          <w:highlight w:val="none"/>
        </w:rPr>
        <w:t>本项内容为非必须提供内容，供应商根据自身情况决定是否提供此项资料。本声明函内容不得擅自删改。</w:t>
      </w:r>
    </w:p>
    <w:p>
      <w:pPr>
        <w:numPr>
          <w:ilvl w:val="0"/>
          <w:numId w:val="6"/>
        </w:numPr>
        <w:autoSpaceDE w:val="0"/>
        <w:autoSpaceDN w:val="0"/>
        <w:adjustRightInd w:val="0"/>
        <w:snapToGrid w:val="0"/>
        <w:spacing w:line="360" w:lineRule="auto"/>
        <w:rPr>
          <w:highlight w:val="none"/>
        </w:rPr>
      </w:pPr>
      <w:r>
        <w:rPr>
          <w:rFonts w:hint="eastAsia" w:ascii="宋体" w:hAnsi="宋体"/>
          <w:sz w:val="21"/>
          <w:szCs w:val="21"/>
          <w:highlight w:val="none"/>
        </w:rPr>
        <w:t>从业人员、营业收入、资产总额填报上一年度数据，无上一年数据的新成立企业可不填报。</w:t>
      </w:r>
    </w:p>
    <w:p>
      <w:pPr>
        <w:numPr>
          <w:ilvl w:val="0"/>
          <w:numId w:val="6"/>
        </w:numPr>
        <w:autoSpaceDE w:val="0"/>
        <w:autoSpaceDN w:val="0"/>
        <w:adjustRightInd w:val="0"/>
        <w:snapToGrid w:val="0"/>
        <w:spacing w:line="360" w:lineRule="auto"/>
        <w:rPr>
          <w:rFonts w:ascii="宋体" w:hAnsi="宋体"/>
          <w:sz w:val="21"/>
          <w:szCs w:val="21"/>
          <w:highlight w:val="none"/>
        </w:rPr>
      </w:pPr>
      <w:r>
        <w:rPr>
          <w:rFonts w:hint="eastAsia" w:ascii="宋体" w:hAnsi="宋体"/>
          <w:sz w:val="21"/>
          <w:szCs w:val="21"/>
          <w:highlight w:val="none"/>
        </w:rPr>
        <w:t>投标人应当自行核实是否属于小微企业，并认真填写声明函，若有虚假将追究其责任。</w:t>
      </w:r>
    </w:p>
    <w:p>
      <w:pPr>
        <w:spacing w:line="360" w:lineRule="auto"/>
        <w:rPr>
          <w:rFonts w:ascii="宋体" w:hAnsi="宋体" w:cs="宋体"/>
          <w:b/>
          <w:highlight w:val="none"/>
        </w:rPr>
      </w:pPr>
      <w:r>
        <w:rPr>
          <w:highlight w:val="none"/>
        </w:rPr>
        <w:br w:type="page"/>
      </w:r>
      <w:r>
        <w:rPr>
          <w:rFonts w:hint="eastAsia" w:ascii="宋体" w:hAnsi="宋体" w:cs="宋体"/>
          <w:b/>
          <w:highlight w:val="none"/>
        </w:rPr>
        <w:t>9.2、对于招标文件写明提供承诺的条款，供应商可参照以下格式提供承诺</w:t>
      </w:r>
    </w:p>
    <w:p>
      <w:pPr>
        <w:autoSpaceDE w:val="0"/>
        <w:autoSpaceDN w:val="0"/>
        <w:adjustRightInd w:val="0"/>
        <w:snapToGrid w:val="0"/>
        <w:spacing w:line="360" w:lineRule="auto"/>
        <w:ind w:firstLine="723" w:firstLineChars="200"/>
        <w:jc w:val="center"/>
        <w:rPr>
          <w:rFonts w:ascii="宋体" w:hAnsi="宋体"/>
          <w:b/>
          <w:bCs/>
          <w:sz w:val="36"/>
          <w:szCs w:val="36"/>
          <w:highlight w:val="none"/>
        </w:rPr>
      </w:pPr>
      <w:r>
        <w:rPr>
          <w:rFonts w:hint="eastAsia" w:ascii="宋体" w:hAnsi="宋体"/>
          <w:b/>
          <w:bCs/>
          <w:sz w:val="36"/>
          <w:szCs w:val="36"/>
          <w:highlight w:val="none"/>
        </w:rPr>
        <w:t>承诺函</w:t>
      </w:r>
    </w:p>
    <w:p>
      <w:pPr>
        <w:autoSpaceDE w:val="0"/>
        <w:autoSpaceDN w:val="0"/>
        <w:adjustRightInd w:val="0"/>
        <w:snapToGrid w:val="0"/>
        <w:spacing w:line="360" w:lineRule="auto"/>
        <w:rPr>
          <w:rFonts w:ascii="宋体" w:hAnsi="宋体"/>
          <w:highlight w:val="none"/>
        </w:rPr>
      </w:pPr>
      <w:r>
        <w:rPr>
          <w:rFonts w:hint="eastAsia" w:ascii="宋体" w:hAnsi="宋体"/>
          <w:highlight w:val="none"/>
        </w:rPr>
        <w:t>致：（采购人名称）</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对于</w:t>
      </w:r>
      <w:r>
        <w:rPr>
          <w:rFonts w:hint="eastAsia" w:ascii="宋体" w:hAnsi="宋体"/>
          <w:highlight w:val="none"/>
          <w:u w:val="single"/>
        </w:rPr>
        <w:t xml:space="preserve">       </w:t>
      </w:r>
      <w:r>
        <w:rPr>
          <w:rFonts w:hint="eastAsia" w:ascii="宋体" w:hAnsi="宋体"/>
          <w:highlight w:val="none"/>
        </w:rPr>
        <w:t>项目（项目编号：</w:t>
      </w:r>
      <w:r>
        <w:rPr>
          <w:rFonts w:hint="eastAsia" w:ascii="宋体" w:hAnsi="宋体"/>
          <w:highlight w:val="none"/>
          <w:u w:val="single"/>
        </w:rPr>
        <w:t xml:space="preserve">        </w:t>
      </w:r>
      <w:r>
        <w:rPr>
          <w:rFonts w:hint="eastAsia" w:ascii="宋体" w:hAnsi="宋体"/>
          <w:highlight w:val="none"/>
        </w:rPr>
        <w:t>），我方郑重承诺如下：</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如中标/成交，我方承诺严格落实采购文件以下条款：</w:t>
      </w:r>
      <w:r>
        <w:rPr>
          <w:rFonts w:hint="eastAsia" w:ascii="宋体" w:hAnsi="宋体"/>
          <w:b/>
          <w:bCs/>
          <w:highlight w:val="none"/>
        </w:rPr>
        <w:t>(建议逐条复制采购文件相关条款原文)</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（一）★条款</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1、</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2、</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（二）其他</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1、</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2、</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w:t>
      </w:r>
    </w:p>
    <w:p>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本企业对上述承诺内容的负责。如有虚假，将依法承担相应责任。</w:t>
      </w:r>
    </w:p>
    <w:p>
      <w:pPr>
        <w:autoSpaceDE w:val="0"/>
        <w:autoSpaceDN w:val="0"/>
        <w:adjustRightInd w:val="0"/>
        <w:snapToGrid w:val="0"/>
        <w:spacing w:line="360" w:lineRule="auto"/>
        <w:ind w:firstLine="480" w:firstLineChars="200"/>
        <w:rPr>
          <w:rFonts w:ascii="宋体" w:hAnsi="宋体"/>
          <w:highlight w:val="none"/>
        </w:rPr>
      </w:pPr>
    </w:p>
    <w:p>
      <w:pPr>
        <w:rPr>
          <w:highlight w:val="none"/>
        </w:rPr>
      </w:pPr>
    </w:p>
    <w:p>
      <w:pPr>
        <w:rPr>
          <w:highlight w:val="none"/>
        </w:rPr>
      </w:pPr>
    </w:p>
    <w:p>
      <w:pPr>
        <w:rPr>
          <w:highlight w:val="none"/>
        </w:rPr>
      </w:pPr>
    </w:p>
    <w:p>
      <w:pPr>
        <w:rPr>
          <w:highlight w:val="none"/>
        </w:rPr>
      </w:pPr>
    </w:p>
    <w:p>
      <w:pPr>
        <w:wordWrap w:val="0"/>
        <w:autoSpaceDE w:val="0"/>
        <w:autoSpaceDN w:val="0"/>
        <w:adjustRightInd w:val="0"/>
        <w:snapToGrid w:val="0"/>
        <w:spacing w:line="360" w:lineRule="auto"/>
        <w:ind w:firstLine="480" w:firstLineChars="200"/>
        <w:jc w:val="right"/>
        <w:rPr>
          <w:rFonts w:ascii="宋体" w:hAnsi="宋体"/>
          <w:highlight w:val="none"/>
        </w:rPr>
      </w:pPr>
      <w:r>
        <w:rPr>
          <w:rFonts w:hint="eastAsia" w:ascii="宋体" w:hAnsi="宋体"/>
          <w:highlight w:val="none"/>
        </w:rPr>
        <w:t xml:space="preserve">投标人（加盖公章）： </w:t>
      </w:r>
      <w:r>
        <w:rPr>
          <w:rFonts w:ascii="宋体" w:hAnsi="宋体"/>
          <w:highlight w:val="none"/>
        </w:rPr>
        <w:t xml:space="preserve">       </w:t>
      </w:r>
    </w:p>
    <w:p>
      <w:pPr>
        <w:wordWrap w:val="0"/>
        <w:autoSpaceDE w:val="0"/>
        <w:autoSpaceDN w:val="0"/>
        <w:adjustRightInd w:val="0"/>
        <w:snapToGrid w:val="0"/>
        <w:spacing w:line="360" w:lineRule="auto"/>
        <w:ind w:firstLine="480" w:firstLineChars="200"/>
        <w:jc w:val="right"/>
        <w:rPr>
          <w:rFonts w:ascii="宋体" w:hAnsi="宋体"/>
          <w:highlight w:val="none"/>
        </w:rPr>
      </w:pPr>
      <w:r>
        <w:rPr>
          <w:rFonts w:hint="eastAsia" w:ascii="宋体" w:hAnsi="宋体"/>
          <w:highlight w:val="none"/>
        </w:rPr>
        <w:t xml:space="preserve">法定代表人（或负责人）或委托代理人签字： </w:t>
      </w:r>
      <w:r>
        <w:rPr>
          <w:rFonts w:ascii="宋体" w:hAnsi="宋体"/>
          <w:highlight w:val="none"/>
        </w:rPr>
        <w:t xml:space="preserve">       </w:t>
      </w:r>
    </w:p>
    <w:p>
      <w:pPr>
        <w:autoSpaceDE w:val="0"/>
        <w:autoSpaceDN w:val="0"/>
        <w:adjustRightInd w:val="0"/>
        <w:snapToGrid w:val="0"/>
        <w:spacing w:line="360" w:lineRule="auto"/>
        <w:ind w:firstLine="480" w:firstLineChars="200"/>
        <w:jc w:val="right"/>
        <w:rPr>
          <w:rFonts w:ascii="宋体" w:hAnsi="宋体"/>
          <w:highlight w:val="none"/>
        </w:rPr>
      </w:pPr>
      <w:r>
        <w:rPr>
          <w:rFonts w:hint="eastAsia" w:ascii="宋体" w:hAnsi="宋体"/>
          <w:highlight w:val="none"/>
        </w:rPr>
        <w:t>日   期：     年    月   日</w:t>
      </w:r>
    </w:p>
    <w:p>
      <w:pPr>
        <w:numPr>
          <w:ilvl w:val="255"/>
          <w:numId w:val="0"/>
        </w:numPr>
        <w:autoSpaceDE w:val="0"/>
        <w:autoSpaceDN w:val="0"/>
        <w:adjustRightInd w:val="0"/>
        <w:snapToGrid w:val="0"/>
        <w:spacing w:line="360" w:lineRule="auto"/>
        <w:rPr>
          <w:rFonts w:ascii="宋体" w:hAnsi="宋体"/>
          <w:sz w:val="21"/>
          <w:szCs w:val="21"/>
          <w:highlight w:val="none"/>
        </w:rPr>
      </w:pPr>
    </w:p>
    <w:p>
      <w:pPr>
        <w:numPr>
          <w:ilvl w:val="255"/>
          <w:numId w:val="0"/>
        </w:numPr>
        <w:autoSpaceDE w:val="0"/>
        <w:autoSpaceDN w:val="0"/>
        <w:adjustRightInd w:val="0"/>
        <w:snapToGrid w:val="0"/>
        <w:spacing w:line="360" w:lineRule="auto"/>
        <w:rPr>
          <w:rFonts w:ascii="宋体" w:hAnsi="宋体"/>
          <w:sz w:val="21"/>
          <w:szCs w:val="21"/>
          <w:highlight w:val="none"/>
        </w:rPr>
        <w:sectPr>
          <w:pgSz w:w="11907" w:h="16840"/>
          <w:pgMar w:top="1440" w:right="1800" w:bottom="1440" w:left="1800" w:header="737" w:footer="737" w:gutter="0"/>
          <w:pgNumType w:fmt="decimal"/>
          <w:cols w:space="720" w:num="1"/>
          <w:docGrid w:linePitch="312" w:charSpace="0"/>
        </w:sectPr>
      </w:pPr>
    </w:p>
    <w:p>
      <w:pPr>
        <w:spacing w:line="360" w:lineRule="auto"/>
        <w:rPr>
          <w:rFonts w:ascii="宋体" w:hAnsi="宋体" w:cs="宋体"/>
          <w:b/>
          <w:highlight w:val="none"/>
        </w:rPr>
      </w:pPr>
      <w:r>
        <w:rPr>
          <w:rFonts w:hint="eastAsia" w:ascii="宋体" w:hAnsi="宋体" w:cs="宋体"/>
          <w:b/>
          <w:highlight w:val="none"/>
        </w:rPr>
        <w:t>9.</w:t>
      </w:r>
      <w:r>
        <w:rPr>
          <w:rFonts w:ascii="宋体" w:hAnsi="宋体" w:cs="宋体"/>
          <w:b/>
          <w:highlight w:val="none"/>
        </w:rPr>
        <w:t>3</w:t>
      </w:r>
      <w:r>
        <w:rPr>
          <w:rFonts w:hint="eastAsia" w:ascii="宋体" w:hAnsi="宋体" w:cs="宋体"/>
          <w:b/>
          <w:highlight w:val="none"/>
        </w:rPr>
        <w:t>、监狱企业声明函（如不是监狱企业则无须提供）</w:t>
      </w:r>
    </w:p>
    <w:p>
      <w:pPr>
        <w:autoSpaceDE w:val="0"/>
        <w:autoSpaceDN w:val="0"/>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监狱企业声明函</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本公司郑重声明，根据《关于政府采购支持监狱企业发展有关问题的通知》（财库[2014]68号）的规定，本公司为监狱企业。即，本公司同时满足以下条件：</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2.本公司参加</w:t>
      </w:r>
      <w:r>
        <w:rPr>
          <w:rFonts w:hint="eastAsia" w:ascii="宋体" w:hAnsi="宋体" w:cs="宋体"/>
          <w:highlight w:val="none"/>
          <w:u w:val="single"/>
        </w:rPr>
        <w:t xml:space="preserve">                           </w:t>
      </w:r>
      <w:r>
        <w:rPr>
          <w:rFonts w:hint="eastAsia" w:ascii="宋体" w:hAnsi="宋体" w:cs="宋体"/>
          <w:highlight w:val="none"/>
        </w:rPr>
        <w:t>项目（项目编号：</w:t>
      </w:r>
      <w:r>
        <w:rPr>
          <w:rFonts w:hint="eastAsia" w:ascii="宋体" w:hAnsi="宋体" w:cs="宋体"/>
          <w:highlight w:val="none"/>
          <w:u w:val="single"/>
        </w:rPr>
        <w:t xml:space="preserve">            </w:t>
      </w:r>
      <w:r>
        <w:rPr>
          <w:rFonts w:hint="eastAsia" w:ascii="宋体" w:hAnsi="宋体" w:cs="宋体"/>
          <w:highlight w:val="none"/>
        </w:rPr>
        <w:t>）采购活动时提供的是本企业的产品（包括由本企业承担的工程和提供的服务），或者提供的是其他监狱企业制造的产品。</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本公司对上述声明的真实性负责。如有虚假，将依法承担相应责任。</w:t>
      </w:r>
    </w:p>
    <w:p>
      <w:pPr>
        <w:autoSpaceDE w:val="0"/>
        <w:autoSpaceDN w:val="0"/>
        <w:adjustRightInd w:val="0"/>
        <w:snapToGrid w:val="0"/>
        <w:spacing w:line="360" w:lineRule="auto"/>
        <w:rPr>
          <w:rFonts w:ascii="宋体" w:hAnsi="宋体" w:cs="宋体"/>
          <w:highlight w:val="none"/>
        </w:rPr>
      </w:pP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附件：提供由监狱管理局、戒毒管理局(含新疆生产建设兵团)出具的属于监狱企业的证明文件</w:t>
      </w:r>
    </w:p>
    <w:p>
      <w:pPr>
        <w:autoSpaceDE w:val="0"/>
        <w:autoSpaceDN w:val="0"/>
        <w:adjustRightInd w:val="0"/>
        <w:snapToGrid w:val="0"/>
        <w:spacing w:line="360" w:lineRule="auto"/>
        <w:rPr>
          <w:rFonts w:ascii="宋体" w:hAnsi="宋体" w:cs="宋体"/>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pStyle w:val="12"/>
        <w:rPr>
          <w:rFonts w:cs="宋体"/>
          <w:highlight w:val="none"/>
        </w:rPr>
      </w:pPr>
    </w:p>
    <w:p>
      <w:pPr>
        <w:rPr>
          <w:rFonts w:ascii="宋体" w:hAnsi="宋体" w:cs="宋体"/>
          <w:highlight w:val="none"/>
        </w:rPr>
      </w:pPr>
    </w:p>
    <w:p>
      <w:pPr>
        <w:autoSpaceDE w:val="0"/>
        <w:autoSpaceDN w:val="0"/>
        <w:adjustRightInd w:val="0"/>
        <w:snapToGrid w:val="0"/>
        <w:spacing w:line="360" w:lineRule="auto"/>
        <w:rPr>
          <w:rFonts w:ascii="宋体" w:hAnsi="宋体"/>
          <w:sz w:val="21"/>
          <w:szCs w:val="21"/>
          <w:highlight w:val="none"/>
        </w:rPr>
      </w:pPr>
      <w:r>
        <w:rPr>
          <w:rFonts w:hint="eastAsia" w:ascii="宋体" w:hAnsi="宋体"/>
          <w:sz w:val="21"/>
          <w:szCs w:val="21"/>
          <w:highlight w:val="none"/>
        </w:rPr>
        <w:t>注:本函内容未填写视作未做声明。</w:t>
      </w:r>
    </w:p>
    <w:p>
      <w:pPr>
        <w:pStyle w:val="39"/>
        <w:ind w:firstLine="560"/>
        <w:rPr>
          <w:rFonts w:cs="宋体"/>
          <w:highlight w:val="none"/>
        </w:rPr>
      </w:pPr>
    </w:p>
    <w:p>
      <w:pPr>
        <w:pStyle w:val="39"/>
        <w:ind w:firstLine="560"/>
        <w:rPr>
          <w:rFonts w:cs="宋体"/>
          <w:highlight w:val="none"/>
        </w:rPr>
        <w:sectPr>
          <w:pgSz w:w="11907" w:h="16840"/>
          <w:pgMar w:top="1440" w:right="1800" w:bottom="1440" w:left="1800" w:header="737" w:footer="737" w:gutter="0"/>
          <w:pgNumType w:fmt="decimal"/>
          <w:cols w:space="720" w:num="1"/>
          <w:docGrid w:linePitch="312" w:charSpace="0"/>
        </w:sectPr>
      </w:pPr>
    </w:p>
    <w:p>
      <w:pPr>
        <w:spacing w:line="360" w:lineRule="auto"/>
        <w:rPr>
          <w:rFonts w:ascii="宋体" w:hAnsi="宋体" w:cs="宋体"/>
          <w:b/>
          <w:highlight w:val="none"/>
        </w:rPr>
      </w:pPr>
      <w:r>
        <w:rPr>
          <w:rFonts w:hint="eastAsia" w:ascii="宋体" w:hAnsi="宋体" w:cs="宋体"/>
          <w:b/>
          <w:highlight w:val="none"/>
        </w:rPr>
        <w:t>9.</w:t>
      </w:r>
      <w:r>
        <w:rPr>
          <w:rFonts w:ascii="宋体" w:hAnsi="宋体" w:cs="宋体"/>
          <w:b/>
          <w:highlight w:val="none"/>
        </w:rPr>
        <w:t>4</w:t>
      </w:r>
      <w:r>
        <w:rPr>
          <w:rFonts w:hint="eastAsia" w:ascii="宋体" w:hAnsi="宋体" w:cs="宋体"/>
          <w:b/>
          <w:highlight w:val="none"/>
        </w:rPr>
        <w:t>、残疾人福利性单位声明函（如不是残疾人福利性单位则无须提供）</w:t>
      </w:r>
      <w:bookmarkStart w:id="74" w:name="OLE_LINK13"/>
      <w:bookmarkStart w:id="75" w:name="OLE_LINK14"/>
    </w:p>
    <w:p>
      <w:pPr>
        <w:spacing w:line="360" w:lineRule="auto"/>
        <w:jc w:val="center"/>
        <w:rPr>
          <w:rFonts w:ascii="宋体" w:hAnsi="宋体" w:cs="宋体"/>
          <w:b/>
          <w:spacing w:val="6"/>
          <w:sz w:val="28"/>
          <w:szCs w:val="28"/>
          <w:highlight w:val="none"/>
        </w:rPr>
      </w:pPr>
      <w:r>
        <w:rPr>
          <w:rFonts w:hint="eastAsia" w:ascii="宋体" w:hAnsi="宋体" w:cs="宋体"/>
          <w:b/>
          <w:spacing w:val="6"/>
          <w:sz w:val="28"/>
          <w:szCs w:val="28"/>
          <w:highlight w:val="none"/>
        </w:rPr>
        <w:t>残疾人福利性单位声明函</w:t>
      </w:r>
      <w:bookmarkEnd w:id="74"/>
      <w:bookmarkEnd w:id="75"/>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中国残疾人联合会关于促进残疾人就业政府采购政策的通知》（财库[2017]141号）的规定，本单位为符合条件的残疾人福利性单位。即，本单位同时满足以下条件：</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1.安置的残疾人占本单位在职职工人数的比例不低于25%（含25%），并且安置的残疾人人数不少于10人（含10人）；</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2.本单位依法与安置的每位残疾人签订了一年以上（含一年）的劳动合同或服务协议；</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3.本单位为安置的每位残疾人按月足额缴纳了基本养老保险、基本医疗保险、失业保险、工伤保险和生育保险等社会保险费；</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4.本单位通过银行等金融机构向安置的每位残疾人，按月支付了不低于单位所在区县适用的经省级人民政府批准的月最低工资标准的工资；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5.本单位参加</w:t>
      </w:r>
      <w:r>
        <w:rPr>
          <w:rFonts w:hint="eastAsia" w:ascii="宋体" w:hAnsi="宋体" w:cs="宋体"/>
          <w:highlight w:val="none"/>
          <w:u w:val="single"/>
        </w:rPr>
        <w:t xml:space="preserve">                           </w:t>
      </w:r>
      <w:r>
        <w:rPr>
          <w:rFonts w:hint="eastAsia" w:ascii="宋体" w:hAnsi="宋体" w:cs="宋体"/>
          <w:highlight w:val="none"/>
        </w:rPr>
        <w:t>项目（项目编号：</w:t>
      </w:r>
      <w:r>
        <w:rPr>
          <w:rFonts w:hint="eastAsia" w:ascii="宋体" w:hAnsi="宋体" w:cs="宋体"/>
          <w:highlight w:val="none"/>
          <w:u w:val="single"/>
        </w:rPr>
        <w:t xml:space="preserve">            </w:t>
      </w:r>
      <w:r>
        <w:rPr>
          <w:rFonts w:hint="eastAsia" w:ascii="宋体" w:hAnsi="宋体" w:cs="宋体"/>
          <w:highlight w:val="none"/>
        </w:rPr>
        <w:t>）采购活动时提供的是本单位的产品（包括由本单位承担的工程和提供的服务），或者提供的是其他残疾人福利性单位制造的产品。</w:t>
      </w: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本公司对上述声明的真实性负责。如有虚假，将依法承担相应责任。</w:t>
      </w:r>
    </w:p>
    <w:p>
      <w:pPr>
        <w:autoSpaceDE w:val="0"/>
        <w:autoSpaceDN w:val="0"/>
        <w:adjustRightInd w:val="0"/>
        <w:snapToGrid w:val="0"/>
        <w:spacing w:line="360" w:lineRule="auto"/>
        <w:rPr>
          <w:rFonts w:ascii="宋体" w:hAnsi="宋体" w:cs="宋体"/>
          <w:highlight w:val="none"/>
        </w:rPr>
      </w:pPr>
    </w:p>
    <w:p>
      <w:pPr>
        <w:autoSpaceDE w:val="0"/>
        <w:autoSpaceDN w:val="0"/>
        <w:adjustRightInd w:val="0"/>
        <w:snapToGrid w:val="0"/>
        <w:spacing w:line="360" w:lineRule="auto"/>
        <w:ind w:firstLine="480" w:firstLineChars="200"/>
        <w:rPr>
          <w:rFonts w:ascii="宋体" w:hAnsi="宋体" w:cs="宋体"/>
          <w:highlight w:val="none"/>
        </w:rPr>
      </w:pPr>
      <w:r>
        <w:rPr>
          <w:rFonts w:hint="eastAsia" w:ascii="宋体" w:hAnsi="宋体" w:cs="宋体"/>
          <w:highlight w:val="none"/>
        </w:rPr>
        <w:t>附件：近三个月依法为安置残疾人缴纳社会保障资金的证明文件</w:t>
      </w:r>
    </w:p>
    <w:p>
      <w:pPr>
        <w:autoSpaceDE w:val="0"/>
        <w:autoSpaceDN w:val="0"/>
        <w:adjustRightInd w:val="0"/>
        <w:snapToGrid w:val="0"/>
        <w:spacing w:line="360" w:lineRule="auto"/>
        <w:rPr>
          <w:rFonts w:ascii="宋体" w:hAnsi="宋体" w:cs="宋体"/>
          <w:highlight w:val="none"/>
        </w:rPr>
      </w:pP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投标人（加盖公章）：</w:t>
      </w:r>
    </w:p>
    <w:p>
      <w:pPr>
        <w:autoSpaceDE w:val="0"/>
        <w:autoSpaceDN w:val="0"/>
        <w:adjustRightInd w:val="0"/>
        <w:snapToGrid w:val="0"/>
        <w:spacing w:line="360" w:lineRule="auto"/>
        <w:ind w:firstLine="3840" w:firstLineChars="1600"/>
        <w:rPr>
          <w:rFonts w:ascii="宋体" w:hAnsi="宋体"/>
          <w:highlight w:val="none"/>
        </w:rPr>
      </w:pPr>
      <w:r>
        <w:rPr>
          <w:rFonts w:ascii="宋体" w:hAnsi="宋体"/>
          <w:highlight w:val="none"/>
        </w:rPr>
        <w:t>法定代表人</w:t>
      </w:r>
      <w:r>
        <w:rPr>
          <w:rFonts w:hint="eastAsia" w:ascii="宋体" w:hAnsi="宋体" w:cs="宋体"/>
          <w:highlight w:val="none"/>
        </w:rPr>
        <w:t>（或负责人）</w:t>
      </w:r>
      <w:r>
        <w:rPr>
          <w:rFonts w:ascii="宋体" w:hAnsi="宋体"/>
          <w:highlight w:val="none"/>
        </w:rPr>
        <w:t>或委托代理人签字：</w:t>
      </w:r>
    </w:p>
    <w:p>
      <w:pPr>
        <w:autoSpaceDE w:val="0"/>
        <w:autoSpaceDN w:val="0"/>
        <w:adjustRightInd w:val="0"/>
        <w:snapToGrid w:val="0"/>
        <w:spacing w:line="360" w:lineRule="auto"/>
        <w:ind w:firstLine="3840" w:firstLineChars="1600"/>
        <w:rPr>
          <w:rFonts w:ascii="宋体" w:hAnsi="宋体" w:cs="宋体"/>
          <w:highlight w:val="none"/>
        </w:rPr>
      </w:pPr>
      <w:r>
        <w:rPr>
          <w:rFonts w:hint="eastAsia" w:ascii="宋体" w:hAnsi="宋体" w:cs="宋体"/>
          <w:highlight w:val="none"/>
        </w:rPr>
        <w:t>日   期：     年    月   日</w:t>
      </w:r>
    </w:p>
    <w:p>
      <w:pPr>
        <w:autoSpaceDE w:val="0"/>
        <w:autoSpaceDN w:val="0"/>
        <w:adjustRightInd w:val="0"/>
        <w:snapToGrid w:val="0"/>
        <w:spacing w:line="360" w:lineRule="auto"/>
        <w:rPr>
          <w:rFonts w:ascii="宋体" w:hAnsi="宋体" w:cs="宋体"/>
          <w:highlight w:val="none"/>
        </w:rPr>
      </w:pPr>
    </w:p>
    <w:p>
      <w:pPr>
        <w:autoSpaceDE w:val="0"/>
        <w:autoSpaceDN w:val="0"/>
        <w:adjustRightInd w:val="0"/>
        <w:snapToGrid w:val="0"/>
        <w:spacing w:line="360" w:lineRule="auto"/>
        <w:rPr>
          <w:rFonts w:ascii="宋体" w:hAnsi="宋体" w:cs="宋体"/>
          <w:highlight w:val="none"/>
        </w:rPr>
      </w:pPr>
    </w:p>
    <w:p>
      <w:pPr>
        <w:autoSpaceDE w:val="0"/>
        <w:autoSpaceDN w:val="0"/>
        <w:adjustRightInd w:val="0"/>
        <w:snapToGrid w:val="0"/>
        <w:spacing w:line="360" w:lineRule="auto"/>
        <w:rPr>
          <w:rFonts w:ascii="宋体" w:hAnsi="宋体"/>
          <w:sz w:val="21"/>
          <w:szCs w:val="21"/>
          <w:highlight w:val="none"/>
        </w:rPr>
      </w:pPr>
      <w:r>
        <w:rPr>
          <w:rFonts w:hint="eastAsia" w:ascii="宋体" w:hAnsi="宋体"/>
          <w:sz w:val="21"/>
          <w:szCs w:val="21"/>
          <w:highlight w:val="none"/>
        </w:rPr>
        <w:t>注:本函内容未填写视作未做声明。</w:t>
      </w:r>
    </w:p>
    <w:p>
      <w:pPr>
        <w:pStyle w:val="64"/>
        <w:rPr>
          <w:highlight w:val="none"/>
        </w:rPr>
      </w:pPr>
    </w:p>
    <w:p>
      <w:pPr>
        <w:tabs>
          <w:tab w:val="left" w:pos="420"/>
          <w:tab w:val="left" w:pos="540"/>
          <w:tab w:val="left" w:pos="720"/>
        </w:tabs>
        <w:spacing w:line="360" w:lineRule="auto"/>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b/>
          <w:bCs/>
          <w:szCs w:val="21"/>
          <w:highlight w:val="none"/>
        </w:rPr>
        <w:t>9.</w:t>
      </w:r>
      <w:r>
        <w:rPr>
          <w:rFonts w:ascii="宋体" w:hAnsi="宋体" w:cs="宋体"/>
          <w:b/>
          <w:bCs/>
          <w:szCs w:val="21"/>
          <w:highlight w:val="none"/>
        </w:rPr>
        <w:t>5</w:t>
      </w:r>
      <w:r>
        <w:rPr>
          <w:rFonts w:hint="eastAsia" w:ascii="宋体" w:hAnsi="宋体" w:cs="宋体"/>
          <w:b/>
          <w:bCs/>
          <w:szCs w:val="21"/>
          <w:highlight w:val="none"/>
        </w:rPr>
        <w:t>政策适用性说明（可选）（适用于强制采购及优先采购节能产品或环境标志产品）</w:t>
      </w:r>
    </w:p>
    <w:tbl>
      <w:tblPr>
        <w:tblStyle w:val="40"/>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631"/>
        <w:gridCol w:w="2298"/>
        <w:gridCol w:w="1310"/>
        <w:gridCol w:w="62"/>
        <w:gridCol w:w="167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52" w:type="dxa"/>
            <w:vMerge w:val="restart"/>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r>
              <w:rPr>
                <w:rFonts w:hint="eastAsia" w:ascii="宋体" w:hAnsi="宋体" w:cs="宋体"/>
                <w:szCs w:val="21"/>
                <w:highlight w:val="none"/>
                <w:lang w:val="en-GB"/>
              </w:rPr>
              <w:t>节能产品</w:t>
            </w:r>
          </w:p>
        </w:tc>
        <w:tc>
          <w:tcPr>
            <w:tcW w:w="1631" w:type="dxa"/>
            <w:vMerge w:val="restart"/>
            <w:tcBorders>
              <w:top w:val="single" w:color="auto" w:sz="4" w:space="0"/>
              <w:left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szCs w:val="21"/>
                <w:highlight w:val="none"/>
                <w:lang w:val="en-GB"/>
              </w:rPr>
              <w:t>所投产品名称</w:t>
            </w:r>
          </w:p>
        </w:tc>
        <w:tc>
          <w:tcPr>
            <w:tcW w:w="2298" w:type="dxa"/>
            <w:vMerge w:val="restart"/>
            <w:tcBorders>
              <w:top w:val="single" w:color="auto" w:sz="4" w:space="0"/>
              <w:left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szCs w:val="21"/>
                <w:highlight w:val="none"/>
              </w:rPr>
              <w:t>在《节能产品政府采购品目清单》中的产品类别名称</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kern w:val="0"/>
                <w:szCs w:val="21"/>
                <w:highlight w:val="none"/>
              </w:rPr>
              <w:t>节能产品认证证书</w:t>
            </w:r>
          </w:p>
        </w:tc>
        <w:tc>
          <w:tcPr>
            <w:tcW w:w="1705" w:type="dxa"/>
            <w:vMerge w:val="restart"/>
            <w:tcBorders>
              <w:top w:val="single" w:color="auto" w:sz="4" w:space="0"/>
              <w:left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631" w:type="dxa"/>
            <w:vMerge w:val="continue"/>
            <w:tcBorders>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p>
        </w:tc>
        <w:tc>
          <w:tcPr>
            <w:tcW w:w="2298" w:type="dxa"/>
            <w:vMerge w:val="continue"/>
            <w:tcBorders>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kern w:val="0"/>
                <w:szCs w:val="21"/>
                <w:highlight w:val="none"/>
              </w:rPr>
            </w:pPr>
            <w:r>
              <w:rPr>
                <w:rFonts w:hint="eastAsia" w:ascii="宋体" w:hAnsi="宋体" w:cs="宋体"/>
                <w:kern w:val="0"/>
                <w:szCs w:val="21"/>
                <w:highlight w:val="none"/>
              </w:rPr>
              <w:t>认证机构</w:t>
            </w:r>
          </w:p>
        </w:tc>
        <w:tc>
          <w:tcPr>
            <w:tcW w:w="1672"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kern w:val="0"/>
                <w:szCs w:val="21"/>
                <w:highlight w:val="none"/>
              </w:rPr>
            </w:pPr>
            <w:r>
              <w:rPr>
                <w:rFonts w:hint="eastAsia" w:ascii="宋体" w:hAnsi="宋体" w:cs="宋体"/>
                <w:kern w:val="0"/>
                <w:szCs w:val="21"/>
                <w:highlight w:val="none"/>
              </w:rPr>
              <w:t>证书有效期</w:t>
            </w:r>
          </w:p>
        </w:tc>
        <w:tc>
          <w:tcPr>
            <w:tcW w:w="1705" w:type="dxa"/>
            <w:vMerge w:val="continue"/>
            <w:tcBorders>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1631"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2298"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672"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1631"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2298"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672"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6973" w:type="dxa"/>
            <w:gridSpan w:val="5"/>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r>
              <w:rPr>
                <w:rFonts w:hint="eastAsia" w:ascii="宋体" w:hAnsi="宋体" w:cs="宋体"/>
                <w:szCs w:val="21"/>
                <w:highlight w:val="none"/>
                <w:lang w:val="en-GB"/>
              </w:rPr>
              <w:t>节能产品金额合计</w:t>
            </w:r>
          </w:p>
        </w:tc>
        <w:tc>
          <w:tcPr>
            <w:tcW w:w="1705"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6973" w:type="dxa"/>
            <w:gridSpan w:val="5"/>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r>
              <w:rPr>
                <w:rFonts w:hint="eastAsia" w:ascii="宋体" w:hAnsi="宋体" w:cs="宋体"/>
                <w:szCs w:val="21"/>
                <w:highlight w:val="none"/>
                <w:lang w:val="en-GB"/>
              </w:rPr>
              <w:t>比重（节能产品金额/投标总价）</w:t>
            </w:r>
          </w:p>
        </w:tc>
        <w:tc>
          <w:tcPr>
            <w:tcW w:w="1705"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r>
              <w:rPr>
                <w:rFonts w:hint="eastAsia" w:ascii="宋体" w:hAnsi="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8678" w:type="dxa"/>
            <w:gridSpan w:val="6"/>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b/>
                <w:szCs w:val="21"/>
                <w:highlight w:val="none"/>
                <w:lang w:val="en-GB"/>
              </w:rPr>
            </w:pPr>
            <w:r>
              <w:rPr>
                <w:rFonts w:hint="eastAsia" w:ascii="宋体" w:hAnsi="宋体" w:cs="宋体"/>
                <w:szCs w:val="21"/>
                <w:highlight w:val="none"/>
                <w:lang w:val="en-GB"/>
              </w:rPr>
              <w:t>节能产品</w:t>
            </w:r>
            <w:r>
              <w:rPr>
                <w:rFonts w:hint="eastAsia" w:ascii="宋体" w:hAnsi="宋体" w:cs="宋体"/>
                <w:szCs w:val="21"/>
                <w:highlight w:val="none"/>
              </w:rPr>
              <w:t>证明材料见《技术文件》第</w:t>
            </w:r>
            <w:r>
              <w:rPr>
                <w:rFonts w:hint="eastAsia" w:ascii="宋体" w:hAnsi="宋体" w:cs="宋体"/>
                <w:szCs w:val="21"/>
                <w:highlight w:val="none"/>
                <w:u w:val="single"/>
              </w:rPr>
              <w:t xml:space="preserve">   </w:t>
            </w:r>
            <w:r>
              <w:rPr>
                <w:rFonts w:hint="eastAsia" w:ascii="宋体" w:hAnsi="宋体" w:cs="宋体"/>
                <w:szCs w:val="21"/>
                <w:highlight w:val="none"/>
              </w:rPr>
              <w:t>至</w:t>
            </w:r>
            <w:r>
              <w:rPr>
                <w:rFonts w:hint="eastAsia" w:ascii="宋体" w:hAnsi="宋体" w:cs="宋体"/>
                <w:szCs w:val="21"/>
                <w:highlight w:val="none"/>
                <w:u w:val="single"/>
              </w:rPr>
              <w:t xml:space="preserve">   </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52" w:type="dxa"/>
            <w:vMerge w:val="restart"/>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r>
              <w:rPr>
                <w:rFonts w:hint="eastAsia" w:ascii="宋体" w:hAnsi="宋体" w:cs="宋体"/>
                <w:szCs w:val="21"/>
                <w:highlight w:val="none"/>
                <w:lang w:val="en-GB"/>
              </w:rPr>
              <w:t>环境标志产品</w:t>
            </w:r>
          </w:p>
        </w:tc>
        <w:tc>
          <w:tcPr>
            <w:tcW w:w="1631" w:type="dxa"/>
            <w:vMerge w:val="restart"/>
            <w:tcBorders>
              <w:top w:val="single" w:color="auto" w:sz="4" w:space="0"/>
              <w:left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szCs w:val="21"/>
                <w:highlight w:val="none"/>
                <w:lang w:val="en-GB"/>
              </w:rPr>
              <w:t>所投产品名称</w:t>
            </w:r>
          </w:p>
        </w:tc>
        <w:tc>
          <w:tcPr>
            <w:tcW w:w="2298" w:type="dxa"/>
            <w:vMerge w:val="restart"/>
            <w:tcBorders>
              <w:top w:val="single" w:color="auto" w:sz="4" w:space="0"/>
              <w:left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szCs w:val="21"/>
                <w:highlight w:val="none"/>
              </w:rPr>
              <w:t>在《环境标志产品政府采购品目清单》中的产品类别名称</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szCs w:val="21"/>
                <w:highlight w:val="none"/>
              </w:rPr>
              <w:t>环境标志产品认证证书</w:t>
            </w:r>
          </w:p>
        </w:tc>
        <w:tc>
          <w:tcPr>
            <w:tcW w:w="1705" w:type="dxa"/>
            <w:vMerge w:val="restart"/>
            <w:tcBorders>
              <w:top w:val="single" w:color="auto" w:sz="4" w:space="0"/>
              <w:left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631" w:type="dxa"/>
            <w:vMerge w:val="continue"/>
            <w:tcBorders>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p>
        </w:tc>
        <w:tc>
          <w:tcPr>
            <w:tcW w:w="2298" w:type="dxa"/>
            <w:vMerge w:val="continue"/>
            <w:tcBorders>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kern w:val="0"/>
                <w:szCs w:val="21"/>
                <w:highlight w:val="none"/>
              </w:rPr>
              <w:t>认证机构</w:t>
            </w:r>
          </w:p>
        </w:tc>
        <w:tc>
          <w:tcPr>
            <w:tcW w:w="1734" w:type="dxa"/>
            <w:gridSpan w:val="2"/>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r>
              <w:rPr>
                <w:rFonts w:hint="eastAsia" w:ascii="宋体" w:hAnsi="宋体" w:cs="宋体"/>
                <w:kern w:val="0"/>
                <w:szCs w:val="21"/>
                <w:highlight w:val="none"/>
              </w:rPr>
              <w:t>证书有效期</w:t>
            </w:r>
          </w:p>
        </w:tc>
        <w:tc>
          <w:tcPr>
            <w:tcW w:w="1705" w:type="dxa"/>
            <w:vMerge w:val="continue"/>
            <w:tcBorders>
              <w:left w:val="single" w:color="auto" w:sz="4" w:space="0"/>
              <w:bottom w:val="single" w:color="auto" w:sz="4" w:space="0"/>
              <w:right w:val="single" w:color="auto" w:sz="4" w:space="0"/>
            </w:tcBorders>
            <w:vAlign w:val="center"/>
          </w:tcPr>
          <w:p>
            <w:pPr>
              <w:pStyle w:val="147"/>
              <w:tabs>
                <w:tab w:val="left" w:pos="1260"/>
              </w:tabs>
              <w:spacing w:before="40" w:after="40"/>
              <w:jc w:val="center"/>
              <w:rPr>
                <w:rFonts w:ascii="宋体" w:hAnsi="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1631"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2298"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310"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734" w:type="dxa"/>
            <w:gridSpan w:val="2"/>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1631"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2298"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310"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734" w:type="dxa"/>
            <w:gridSpan w:val="2"/>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6973" w:type="dxa"/>
            <w:gridSpan w:val="5"/>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r>
              <w:rPr>
                <w:rFonts w:hint="eastAsia" w:ascii="宋体" w:hAnsi="宋体" w:cs="宋体"/>
                <w:szCs w:val="21"/>
                <w:highlight w:val="none"/>
                <w:lang w:val="en-GB"/>
              </w:rPr>
              <w:t>环境标志产品金额合计</w:t>
            </w:r>
          </w:p>
        </w:tc>
        <w:tc>
          <w:tcPr>
            <w:tcW w:w="1705"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6973" w:type="dxa"/>
            <w:gridSpan w:val="5"/>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r>
              <w:rPr>
                <w:rFonts w:hint="eastAsia" w:ascii="宋体" w:hAnsi="宋体" w:cs="宋体"/>
                <w:szCs w:val="21"/>
                <w:highlight w:val="none"/>
                <w:lang w:val="en-GB"/>
              </w:rPr>
              <w:t>比重（环境标志产品金额/投标总价）</w:t>
            </w:r>
          </w:p>
        </w:tc>
        <w:tc>
          <w:tcPr>
            <w:tcW w:w="1705" w:type="dxa"/>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szCs w:val="21"/>
                <w:highlight w:val="none"/>
                <w:lang w:val="en-GB"/>
              </w:rPr>
            </w:pPr>
            <w:r>
              <w:rPr>
                <w:rFonts w:hint="eastAsia" w:ascii="宋体" w:hAnsi="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pStyle w:val="147"/>
              <w:widowControl/>
              <w:jc w:val="left"/>
              <w:rPr>
                <w:rFonts w:ascii="宋体" w:hAnsi="宋体" w:cs="宋体"/>
                <w:szCs w:val="21"/>
                <w:highlight w:val="none"/>
                <w:lang w:val="en-GB"/>
              </w:rPr>
            </w:pPr>
          </w:p>
        </w:tc>
        <w:tc>
          <w:tcPr>
            <w:tcW w:w="8678" w:type="dxa"/>
            <w:gridSpan w:val="6"/>
            <w:tcBorders>
              <w:top w:val="single" w:color="auto" w:sz="4" w:space="0"/>
              <w:left w:val="single" w:color="auto" w:sz="4" w:space="0"/>
              <w:bottom w:val="single" w:color="auto" w:sz="4" w:space="0"/>
              <w:right w:val="single" w:color="auto" w:sz="4" w:space="0"/>
            </w:tcBorders>
            <w:vAlign w:val="center"/>
          </w:tcPr>
          <w:p>
            <w:pPr>
              <w:pStyle w:val="147"/>
              <w:tabs>
                <w:tab w:val="left" w:pos="1260"/>
              </w:tabs>
              <w:spacing w:before="156" w:after="156"/>
              <w:jc w:val="center"/>
              <w:rPr>
                <w:rFonts w:ascii="宋体" w:hAnsi="宋体" w:cs="宋体"/>
                <w:b/>
                <w:szCs w:val="21"/>
                <w:highlight w:val="none"/>
                <w:lang w:val="en-GB"/>
              </w:rPr>
            </w:pPr>
            <w:r>
              <w:rPr>
                <w:rFonts w:hint="eastAsia" w:ascii="宋体" w:hAnsi="宋体" w:cs="宋体"/>
                <w:szCs w:val="21"/>
                <w:highlight w:val="none"/>
                <w:lang w:val="en-GB"/>
              </w:rPr>
              <w:t>环境标志产品</w:t>
            </w:r>
            <w:r>
              <w:rPr>
                <w:rFonts w:hint="eastAsia" w:ascii="宋体" w:hAnsi="宋体" w:cs="宋体"/>
                <w:szCs w:val="21"/>
                <w:highlight w:val="none"/>
              </w:rPr>
              <w:t>证明材料见《技术文件》第</w:t>
            </w:r>
            <w:r>
              <w:rPr>
                <w:rFonts w:hint="eastAsia" w:ascii="宋体" w:hAnsi="宋体" w:cs="宋体"/>
                <w:szCs w:val="21"/>
                <w:highlight w:val="none"/>
                <w:u w:val="single"/>
              </w:rPr>
              <w:t xml:space="preserve">   </w:t>
            </w:r>
            <w:r>
              <w:rPr>
                <w:rFonts w:hint="eastAsia" w:ascii="宋体" w:hAnsi="宋体" w:cs="宋体"/>
                <w:szCs w:val="21"/>
                <w:highlight w:val="none"/>
              </w:rPr>
              <w:t>至</w:t>
            </w:r>
            <w:r>
              <w:rPr>
                <w:rFonts w:hint="eastAsia" w:ascii="宋体" w:hAnsi="宋体" w:cs="宋体"/>
                <w:szCs w:val="21"/>
                <w:highlight w:val="none"/>
                <w:u w:val="single"/>
              </w:rPr>
              <w:t xml:space="preserve">   </w:t>
            </w:r>
            <w:r>
              <w:rPr>
                <w:rFonts w:hint="eastAsia" w:ascii="宋体" w:hAnsi="宋体" w:cs="宋体"/>
                <w:szCs w:val="21"/>
                <w:highlight w:val="none"/>
              </w:rPr>
              <w:t>页。</w:t>
            </w:r>
          </w:p>
        </w:tc>
      </w:tr>
    </w:tbl>
    <w:p>
      <w:pPr>
        <w:pStyle w:val="98"/>
        <w:spacing w:line="460" w:lineRule="exact"/>
        <w:ind w:left="718" w:hanging="718" w:hangingChars="342"/>
        <w:rPr>
          <w:rFonts w:ascii="宋体" w:hAnsi="宋体" w:cs="宋体"/>
          <w:szCs w:val="21"/>
          <w:highlight w:val="none"/>
          <w:lang w:val="en-GB"/>
        </w:rPr>
      </w:pPr>
      <w:r>
        <w:rPr>
          <w:rFonts w:hint="eastAsia" w:ascii="宋体" w:hAnsi="宋体" w:cs="宋体"/>
          <w:szCs w:val="21"/>
          <w:highlight w:val="none"/>
          <w:lang w:val="en-GB"/>
        </w:rPr>
        <w:t>填报要求：</w:t>
      </w:r>
    </w:p>
    <w:p>
      <w:pPr>
        <w:pStyle w:val="98"/>
        <w:widowControl/>
        <w:spacing w:line="360" w:lineRule="auto"/>
        <w:ind w:right="96" w:rightChars="40" w:firstLine="48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GB"/>
        </w:rPr>
        <w:t>.请提供所投节能产品属于</w:t>
      </w:r>
      <w:r>
        <w:rPr>
          <w:rFonts w:hint="eastAsia" w:ascii="宋体" w:hAnsi="宋体" w:cs="宋体"/>
          <w:szCs w:val="21"/>
          <w:highlight w:val="none"/>
        </w:rPr>
        <w:t>《节能产品政府采购品目清单》</w:t>
      </w:r>
      <w:r>
        <w:rPr>
          <w:rFonts w:hint="eastAsia" w:ascii="宋体" w:hAnsi="宋体" w:cs="宋体"/>
          <w:szCs w:val="21"/>
          <w:highlight w:val="none"/>
          <w:lang w:val="en-GB"/>
        </w:rPr>
        <w:t>范围</w:t>
      </w:r>
      <w:r>
        <w:rPr>
          <w:rFonts w:hint="eastAsia" w:ascii="宋体" w:hAnsi="宋体" w:cs="宋体"/>
          <w:szCs w:val="21"/>
          <w:highlight w:val="none"/>
        </w:rPr>
        <w:t>中政府优先采购产品类别</w:t>
      </w:r>
      <w:r>
        <w:rPr>
          <w:rFonts w:hint="eastAsia" w:ascii="宋体" w:hAnsi="宋体" w:cs="宋体"/>
          <w:szCs w:val="21"/>
          <w:highlight w:val="none"/>
          <w:lang w:val="en-GB"/>
        </w:rPr>
        <w:t>的相关内容页（并对相关内容作圈记）、市场监管总局公布的</w:t>
      </w:r>
      <w:r>
        <w:rPr>
          <w:rFonts w:hint="eastAsia" w:ascii="宋体" w:hAnsi="宋体" w:cs="宋体"/>
          <w:szCs w:val="21"/>
          <w:highlight w:val="none"/>
        </w:rPr>
        <w:t>参与实施政府采购节能产品认证机构名录</w:t>
      </w:r>
      <w:r>
        <w:rPr>
          <w:rFonts w:hint="eastAsia" w:ascii="宋体" w:hAnsi="宋体" w:cs="宋体"/>
          <w:szCs w:val="21"/>
          <w:highlight w:val="none"/>
          <w:lang w:val="en-GB"/>
        </w:rPr>
        <w:t>截图及该产品获得的由国家确定的认证机构出具的、处于有效期之内的节能产品认证证书（</w:t>
      </w:r>
      <w:r>
        <w:rPr>
          <w:rFonts w:hint="eastAsia" w:ascii="宋体" w:hAnsi="宋体" w:cs="宋体"/>
          <w:b/>
          <w:szCs w:val="21"/>
          <w:highlight w:val="none"/>
          <w:lang w:val="en-GB"/>
        </w:rPr>
        <w:t>注：属于</w:t>
      </w:r>
      <w:r>
        <w:rPr>
          <w:rFonts w:hint="eastAsia" w:ascii="宋体" w:hAnsi="宋体" w:cs="宋体"/>
          <w:b/>
          <w:szCs w:val="21"/>
          <w:highlight w:val="none"/>
        </w:rPr>
        <w:t>《节能产品政府采购品目清单》范围中政府强制采购产品类别的，在价格评审中不作价格扣除，投标人（供应商）无需将该产品填写在此表中</w:t>
      </w:r>
      <w:r>
        <w:rPr>
          <w:rFonts w:hint="eastAsia" w:ascii="宋体" w:hAnsi="宋体" w:cs="宋体"/>
          <w:szCs w:val="21"/>
          <w:highlight w:val="none"/>
        </w:rPr>
        <w:t>）。</w:t>
      </w:r>
    </w:p>
    <w:p>
      <w:pPr>
        <w:pStyle w:val="98"/>
        <w:widowControl/>
        <w:spacing w:line="360" w:lineRule="auto"/>
        <w:ind w:right="96" w:rightChars="40" w:firstLine="480"/>
        <w:jc w:val="left"/>
        <w:rPr>
          <w:rFonts w:ascii="宋体" w:hAnsi="宋体" w:cs="宋体"/>
          <w:szCs w:val="21"/>
          <w:highlight w:val="none"/>
          <w:lang w:val="en-GB"/>
        </w:rPr>
      </w:pPr>
      <w:r>
        <w:rPr>
          <w:rFonts w:hint="eastAsia" w:ascii="宋体" w:hAnsi="宋体" w:cs="宋体"/>
          <w:szCs w:val="21"/>
          <w:highlight w:val="none"/>
        </w:rPr>
        <w:t>2.请提供所投</w:t>
      </w:r>
      <w:r>
        <w:rPr>
          <w:rFonts w:hint="eastAsia" w:ascii="宋体" w:hAnsi="宋体" w:cs="宋体"/>
          <w:szCs w:val="21"/>
          <w:highlight w:val="none"/>
          <w:lang w:val="en-GB"/>
        </w:rPr>
        <w:t>环境标志产品属于</w:t>
      </w:r>
      <w:r>
        <w:rPr>
          <w:rFonts w:hint="eastAsia" w:ascii="宋体" w:hAnsi="宋体" w:cs="宋体"/>
          <w:szCs w:val="21"/>
          <w:highlight w:val="none"/>
        </w:rPr>
        <w:t>《</w:t>
      </w:r>
      <w:r>
        <w:rPr>
          <w:rFonts w:hint="eastAsia" w:ascii="宋体" w:hAnsi="宋体" w:cs="宋体"/>
          <w:szCs w:val="21"/>
          <w:highlight w:val="none"/>
          <w:lang w:val="en-GB"/>
        </w:rPr>
        <w:t>环境标志产品政府采购品目清单</w:t>
      </w:r>
      <w:r>
        <w:rPr>
          <w:rFonts w:hint="eastAsia" w:ascii="宋体" w:hAnsi="宋体" w:cs="宋体"/>
          <w:szCs w:val="21"/>
          <w:highlight w:val="none"/>
        </w:rPr>
        <w:t>》</w:t>
      </w:r>
      <w:r>
        <w:rPr>
          <w:rFonts w:hint="eastAsia" w:ascii="宋体" w:hAnsi="宋体" w:cs="宋体"/>
          <w:szCs w:val="21"/>
          <w:highlight w:val="none"/>
          <w:lang w:val="en-GB"/>
        </w:rPr>
        <w:t>范围的相关内容页（并对相关内容作圈记）、市场监管总局公布的</w:t>
      </w:r>
      <w:r>
        <w:rPr>
          <w:rFonts w:hint="eastAsia" w:ascii="宋体" w:hAnsi="宋体" w:cs="宋体"/>
          <w:szCs w:val="21"/>
          <w:highlight w:val="none"/>
        </w:rPr>
        <w:t>参与实施政府采购环境标志产品认证机构名录</w:t>
      </w:r>
      <w:r>
        <w:rPr>
          <w:rFonts w:hint="eastAsia" w:ascii="宋体" w:hAnsi="宋体" w:cs="宋体"/>
          <w:szCs w:val="21"/>
          <w:highlight w:val="none"/>
          <w:lang w:val="en-GB"/>
        </w:rPr>
        <w:t>截图及该产品获得的由国家确定的认证机构出具的、处于有效期之内的环境标志产品认证证书</w:t>
      </w:r>
      <w:r>
        <w:rPr>
          <w:rFonts w:hint="eastAsia" w:ascii="宋体" w:hAnsi="宋体" w:cs="宋体"/>
          <w:szCs w:val="21"/>
          <w:highlight w:val="none"/>
        </w:rPr>
        <w:t>。</w:t>
      </w:r>
    </w:p>
    <w:p>
      <w:pPr>
        <w:pStyle w:val="115"/>
        <w:spacing w:line="360" w:lineRule="auto"/>
        <w:ind w:firstLine="421"/>
        <w:jc w:val="left"/>
        <w:rPr>
          <w:rFonts w:ascii="宋体" w:hAnsi="宋体" w:cs="宋体"/>
          <w:highlight w:val="none"/>
          <w:lang w:val="en-GB"/>
        </w:rPr>
        <w:sectPr>
          <w:pgSz w:w="11907" w:h="16840"/>
          <w:pgMar w:top="1440" w:right="1800" w:bottom="1440" w:left="1800" w:header="737" w:footer="737" w:gutter="0"/>
          <w:pgNumType w:fmt="decimal"/>
          <w:cols w:space="720" w:num="1"/>
          <w:docGrid w:linePitch="312" w:charSpace="0"/>
        </w:sectPr>
      </w:pPr>
      <w:r>
        <w:rPr>
          <w:rFonts w:hint="eastAsia" w:ascii="宋体" w:hAnsi="宋体" w:cs="宋体"/>
          <w:szCs w:val="21"/>
          <w:highlight w:val="none"/>
        </w:rPr>
        <w:t>3</w:t>
      </w:r>
      <w:r>
        <w:rPr>
          <w:rFonts w:hint="eastAsia" w:ascii="宋体" w:hAnsi="宋体" w:cs="宋体"/>
          <w:szCs w:val="21"/>
          <w:highlight w:val="none"/>
          <w:lang w:val="en-GB"/>
        </w:rPr>
        <w:t>.请投标人（供应商）正确填写本表，所填内容及相关证明材料将作为价格评审价格扣除的依据。所填内容应与对应的证明资料相符，如不一致的，可能导致该项的得分为0分</w:t>
      </w:r>
      <w:r>
        <w:rPr>
          <w:rFonts w:hint="eastAsia" w:ascii="宋体" w:hAnsi="宋体" w:cs="宋体"/>
          <w:highlight w:val="none"/>
          <w:lang w:val="en-GB"/>
        </w:rPr>
        <w:t>。</w:t>
      </w:r>
    </w:p>
    <w:p>
      <w:pPr>
        <w:spacing w:line="300" w:lineRule="auto"/>
        <w:rPr>
          <w:rFonts w:ascii="宋体" w:hAnsi="宋体" w:cs="宋体"/>
          <w:b/>
          <w:szCs w:val="21"/>
          <w:highlight w:val="none"/>
        </w:rPr>
      </w:pPr>
      <w:r>
        <w:rPr>
          <w:rFonts w:hint="eastAsia" w:ascii="宋体" w:hAnsi="宋体" w:cs="宋体"/>
          <w:b/>
          <w:szCs w:val="21"/>
          <w:highlight w:val="none"/>
        </w:rPr>
        <w:t>9.</w:t>
      </w:r>
      <w:r>
        <w:rPr>
          <w:rFonts w:hint="eastAsia" w:ascii="宋体" w:hAnsi="宋体" w:cs="宋体"/>
          <w:b/>
          <w:szCs w:val="21"/>
          <w:highlight w:val="none"/>
          <w:lang w:val="en-US" w:eastAsia="zh-CN"/>
        </w:rPr>
        <w:t>6</w:t>
      </w:r>
      <w:r>
        <w:rPr>
          <w:rFonts w:hint="eastAsia" w:ascii="宋体" w:hAnsi="宋体" w:cs="宋体"/>
          <w:b/>
          <w:szCs w:val="21"/>
          <w:highlight w:val="none"/>
        </w:rPr>
        <w:t>、采购代理服务费支付承诺书</w:t>
      </w:r>
    </w:p>
    <w:p>
      <w:pPr>
        <w:spacing w:before="240" w:beforeLines="100" w:line="360" w:lineRule="auto"/>
        <w:jc w:val="center"/>
        <w:rPr>
          <w:rFonts w:ascii="宋体" w:hAnsi="宋体" w:cs="宋体"/>
          <w:b/>
          <w:sz w:val="28"/>
          <w:szCs w:val="28"/>
          <w:highlight w:val="none"/>
        </w:rPr>
      </w:pPr>
      <w:r>
        <w:rPr>
          <w:rFonts w:hint="eastAsia" w:ascii="宋体" w:hAnsi="宋体" w:cs="宋体"/>
          <w:b/>
          <w:sz w:val="28"/>
          <w:szCs w:val="28"/>
          <w:highlight w:val="none"/>
        </w:rPr>
        <w:t>采购代理服务费支付承诺书</w:t>
      </w:r>
    </w:p>
    <w:p>
      <w:pPr>
        <w:spacing w:line="360" w:lineRule="auto"/>
        <w:rPr>
          <w:rFonts w:ascii="宋体" w:hAnsi="宋体" w:cs="宋体"/>
          <w:szCs w:val="28"/>
          <w:highlight w:val="none"/>
        </w:rPr>
      </w:pPr>
      <w:r>
        <w:rPr>
          <w:rFonts w:hint="eastAsia" w:ascii="宋体" w:hAnsi="宋体" w:cs="宋体"/>
          <w:szCs w:val="28"/>
          <w:highlight w:val="none"/>
        </w:rPr>
        <w:t>公诚管理咨询有限公司：</w:t>
      </w:r>
    </w:p>
    <w:p>
      <w:pPr>
        <w:spacing w:line="360" w:lineRule="auto"/>
        <w:ind w:firstLine="426"/>
        <w:rPr>
          <w:rFonts w:ascii="宋体" w:hAnsi="宋体" w:cs="宋体"/>
          <w:szCs w:val="28"/>
          <w:highlight w:val="none"/>
        </w:rPr>
      </w:pPr>
      <w:r>
        <w:rPr>
          <w:rFonts w:hint="eastAsia" w:ascii="宋体" w:hAnsi="宋体" w:cs="宋体"/>
          <w:szCs w:val="28"/>
          <w:highlight w:val="none"/>
        </w:rPr>
        <w:t>我公司参加贵司作为采购代理机构组织的【</w:t>
      </w:r>
      <w:r>
        <w:rPr>
          <w:rFonts w:hint="eastAsia" w:ascii="宋体" w:hAnsi="宋体" w:cs="宋体"/>
          <w:szCs w:val="28"/>
          <w:highlight w:val="none"/>
          <w:lang w:eastAsia="zh-CN"/>
        </w:rPr>
        <w:t>国家税务总局广东潮州经济开发区税务局后勤综合服务项目</w:t>
      </w:r>
      <w:r>
        <w:rPr>
          <w:rFonts w:hint="eastAsia" w:ascii="宋体" w:hAnsi="宋体" w:cs="宋体"/>
          <w:szCs w:val="28"/>
          <w:highlight w:val="none"/>
        </w:rPr>
        <w:t>】（采购代理编号：</w:t>
      </w:r>
      <w:r>
        <w:rPr>
          <w:rFonts w:hint="eastAsia" w:ascii="宋体" w:hAnsi="宋体" w:cs="宋体"/>
          <w:szCs w:val="28"/>
          <w:highlight w:val="none"/>
          <w:lang w:eastAsia="zh-CN"/>
        </w:rPr>
        <w:t>05-12-04A-2022-D-E13897</w:t>
      </w:r>
      <w:r>
        <w:rPr>
          <w:rFonts w:hint="eastAsia" w:ascii="宋体" w:hAnsi="宋体" w:cs="宋体"/>
          <w:szCs w:val="28"/>
          <w:highlight w:val="none"/>
        </w:rPr>
        <w:t>）采购。我公司作为投标单位，若在本项目获得中标，同意支付采购代理服务费。</w:t>
      </w:r>
    </w:p>
    <w:p>
      <w:pPr>
        <w:spacing w:line="360" w:lineRule="auto"/>
        <w:ind w:firstLine="425"/>
        <w:rPr>
          <w:rFonts w:ascii="宋体" w:hAnsi="宋体" w:cs="宋体"/>
          <w:szCs w:val="28"/>
          <w:highlight w:val="none"/>
        </w:rPr>
      </w:pPr>
      <w:r>
        <w:rPr>
          <w:rFonts w:hint="eastAsia" w:ascii="宋体" w:hAnsi="宋体" w:cs="宋体"/>
          <w:szCs w:val="28"/>
          <w:highlight w:val="none"/>
        </w:rPr>
        <w:t>采购代理服务费取费标准如下：约定本项目委托代理服务费为人民币</w:t>
      </w:r>
      <w:r>
        <w:rPr>
          <w:rFonts w:hint="eastAsia" w:ascii="宋体" w:hAnsi="宋体" w:cs="宋体"/>
          <w:szCs w:val="28"/>
          <w:highlight w:val="none"/>
          <w:lang w:eastAsia="zh-CN"/>
        </w:rPr>
        <w:t>肆万玖仟元</w:t>
      </w:r>
      <w:r>
        <w:rPr>
          <w:rFonts w:hint="eastAsia" w:ascii="宋体" w:hAnsi="宋体" w:cs="宋体"/>
          <w:szCs w:val="28"/>
          <w:highlight w:val="none"/>
        </w:rPr>
        <w:t>整（￥</w:t>
      </w:r>
      <w:r>
        <w:rPr>
          <w:rFonts w:hint="eastAsia" w:ascii="宋体" w:hAnsi="宋体" w:cs="宋体"/>
          <w:szCs w:val="28"/>
          <w:highlight w:val="none"/>
          <w:lang w:eastAsia="zh-CN"/>
        </w:rPr>
        <w:t>49,000.00</w:t>
      </w:r>
      <w:r>
        <w:rPr>
          <w:rFonts w:hint="eastAsia" w:ascii="宋体" w:hAnsi="宋体" w:cs="宋体"/>
          <w:szCs w:val="28"/>
          <w:highlight w:val="none"/>
        </w:rPr>
        <w:t>元）</w:t>
      </w:r>
    </w:p>
    <w:p>
      <w:pPr>
        <w:spacing w:line="360" w:lineRule="auto"/>
        <w:ind w:firstLine="426"/>
        <w:rPr>
          <w:rFonts w:ascii="宋体" w:hAnsi="宋体" w:cs="宋体"/>
          <w:szCs w:val="28"/>
          <w:highlight w:val="none"/>
        </w:rPr>
      </w:pPr>
      <w:r>
        <w:rPr>
          <w:rFonts w:hint="eastAsia" w:ascii="宋体" w:hAnsi="宋体" w:cs="宋体"/>
          <w:szCs w:val="28"/>
          <w:highlight w:val="none"/>
        </w:rPr>
        <w:t>采购代理服务费付款期限为贵司发出中标通知书后</w:t>
      </w:r>
      <w:r>
        <w:rPr>
          <w:rFonts w:hint="eastAsia" w:ascii="宋体" w:hAnsi="宋体" w:cs="宋体"/>
          <w:szCs w:val="28"/>
          <w:highlight w:val="none"/>
          <w:u w:val="single"/>
        </w:rPr>
        <w:t xml:space="preserve"> 15 </w:t>
      </w:r>
      <w:r>
        <w:rPr>
          <w:rFonts w:hint="eastAsia" w:ascii="宋体" w:hAnsi="宋体" w:cs="宋体"/>
          <w:szCs w:val="28"/>
          <w:highlight w:val="none"/>
        </w:rPr>
        <w:t>日内，我司以银行电汇形式向贵公司缴交。</w:t>
      </w:r>
    </w:p>
    <w:p>
      <w:pPr>
        <w:spacing w:line="360" w:lineRule="auto"/>
        <w:rPr>
          <w:rFonts w:ascii="宋体" w:hAnsi="宋体" w:cs="宋体"/>
          <w:szCs w:val="28"/>
          <w:highlight w:val="none"/>
        </w:rPr>
      </w:pPr>
      <w:r>
        <w:rPr>
          <w:rFonts w:hint="eastAsia" w:ascii="宋体" w:hAnsi="宋体" w:cs="宋体"/>
          <w:b/>
          <w:szCs w:val="28"/>
          <w:highlight w:val="none"/>
        </w:rPr>
        <w:t>备注（1）采购代理机构银行信息</w:t>
      </w:r>
      <w:r>
        <w:rPr>
          <w:rFonts w:hint="eastAsia" w:ascii="宋体" w:hAnsi="宋体" w:cs="宋体"/>
          <w:szCs w:val="28"/>
          <w:highlight w:val="none"/>
        </w:rPr>
        <w:t>：</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4"/>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8" w:type="pct"/>
            <w:vAlign w:val="center"/>
          </w:tcPr>
          <w:p>
            <w:pPr>
              <w:jc w:val="center"/>
              <w:rPr>
                <w:rFonts w:ascii="宋体" w:hAnsi="宋体" w:cs="宋体"/>
                <w:b w:val="0"/>
                <w:bCs/>
                <w:sz w:val="22"/>
                <w:highlight w:val="none"/>
              </w:rPr>
            </w:pPr>
            <w:r>
              <w:rPr>
                <w:rFonts w:hint="eastAsia" w:ascii="宋体" w:hAnsi="宋体" w:cs="宋体"/>
                <w:b w:val="0"/>
                <w:bCs/>
                <w:sz w:val="22"/>
                <w:highlight w:val="none"/>
              </w:rPr>
              <w:t>开户名</w:t>
            </w:r>
          </w:p>
        </w:tc>
        <w:tc>
          <w:tcPr>
            <w:tcW w:w="2591" w:type="pct"/>
            <w:vAlign w:val="center"/>
          </w:tcPr>
          <w:p>
            <w:pPr>
              <w:jc w:val="center"/>
              <w:rPr>
                <w:rFonts w:hint="eastAsia" w:ascii="宋体" w:hAnsi="宋体" w:cs="宋体"/>
                <w:b w:val="0"/>
                <w:bCs/>
                <w:sz w:val="22"/>
                <w:highlight w:val="none"/>
              </w:rPr>
            </w:pPr>
            <w:r>
              <w:rPr>
                <w:rFonts w:hint="eastAsia" w:ascii="宋体" w:hAnsi="宋体" w:cs="宋体"/>
                <w:b w:val="0"/>
                <w:bCs/>
                <w:sz w:val="22"/>
                <w:highlight w:val="none"/>
              </w:rPr>
              <w:t>公诚管理咨询有限公司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8" w:type="pct"/>
            <w:vAlign w:val="center"/>
          </w:tcPr>
          <w:p>
            <w:pPr>
              <w:jc w:val="center"/>
              <w:rPr>
                <w:rFonts w:ascii="宋体" w:hAnsi="宋体" w:cs="宋体"/>
                <w:b w:val="0"/>
                <w:bCs/>
                <w:sz w:val="22"/>
                <w:highlight w:val="none"/>
              </w:rPr>
            </w:pPr>
            <w:r>
              <w:rPr>
                <w:rFonts w:hint="eastAsia" w:ascii="宋体" w:hAnsi="宋体" w:cs="宋体"/>
                <w:b w:val="0"/>
                <w:bCs/>
                <w:sz w:val="22"/>
                <w:highlight w:val="none"/>
              </w:rPr>
              <w:t>银行所在地</w:t>
            </w:r>
          </w:p>
        </w:tc>
        <w:tc>
          <w:tcPr>
            <w:tcW w:w="2591" w:type="pct"/>
            <w:vAlign w:val="center"/>
          </w:tcPr>
          <w:p>
            <w:pPr>
              <w:jc w:val="center"/>
              <w:rPr>
                <w:rFonts w:hint="eastAsia" w:ascii="宋体" w:hAnsi="宋体" w:cs="宋体"/>
                <w:b w:val="0"/>
                <w:bCs/>
                <w:sz w:val="22"/>
                <w:highlight w:val="none"/>
              </w:rPr>
            </w:pPr>
            <w:r>
              <w:rPr>
                <w:rFonts w:hint="eastAsia" w:ascii="宋体" w:hAnsi="宋体" w:cs="宋体"/>
                <w:sz w:val="22"/>
                <w:highlight w:val="none"/>
              </w:rPr>
              <w:t>广东省广州市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8" w:type="pct"/>
            <w:vAlign w:val="center"/>
          </w:tcPr>
          <w:p>
            <w:pPr>
              <w:jc w:val="center"/>
              <w:rPr>
                <w:rFonts w:ascii="宋体" w:hAnsi="宋体" w:cs="宋体"/>
                <w:b w:val="0"/>
                <w:bCs/>
                <w:sz w:val="22"/>
                <w:highlight w:val="none"/>
              </w:rPr>
            </w:pPr>
            <w:r>
              <w:rPr>
                <w:rFonts w:hint="eastAsia" w:ascii="宋体" w:hAnsi="宋体" w:cs="宋体"/>
                <w:b w:val="0"/>
                <w:bCs/>
                <w:sz w:val="22"/>
                <w:highlight w:val="none"/>
              </w:rPr>
              <w:t>开户银行</w:t>
            </w:r>
          </w:p>
        </w:tc>
        <w:tc>
          <w:tcPr>
            <w:tcW w:w="2591" w:type="pct"/>
            <w:vAlign w:val="center"/>
          </w:tcPr>
          <w:p>
            <w:pPr>
              <w:jc w:val="center"/>
              <w:rPr>
                <w:rFonts w:hint="eastAsia" w:ascii="宋体" w:hAnsi="宋体" w:cs="宋体"/>
                <w:b w:val="0"/>
                <w:bCs/>
                <w:sz w:val="22"/>
                <w:highlight w:val="none"/>
              </w:rPr>
            </w:pPr>
            <w:r>
              <w:rPr>
                <w:rFonts w:hint="eastAsia" w:ascii="宋体" w:hAnsi="宋体" w:cs="宋体"/>
                <w:b w:val="0"/>
                <w:bCs/>
                <w:sz w:val="22"/>
                <w:highlight w:val="none"/>
              </w:rPr>
              <w:t>中信银行广州花园支行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8" w:type="pct"/>
            <w:vAlign w:val="center"/>
          </w:tcPr>
          <w:p>
            <w:pPr>
              <w:jc w:val="center"/>
              <w:rPr>
                <w:rFonts w:ascii="宋体" w:hAnsi="宋体" w:cs="宋体"/>
                <w:b w:val="0"/>
                <w:bCs/>
                <w:sz w:val="22"/>
                <w:highlight w:val="none"/>
              </w:rPr>
            </w:pPr>
            <w:r>
              <w:rPr>
                <w:rFonts w:hint="eastAsia" w:ascii="宋体" w:hAnsi="宋体" w:cs="宋体"/>
                <w:b w:val="0"/>
                <w:bCs/>
                <w:sz w:val="22"/>
                <w:highlight w:val="none"/>
              </w:rPr>
              <w:t>帐号</w:t>
            </w:r>
          </w:p>
        </w:tc>
        <w:tc>
          <w:tcPr>
            <w:tcW w:w="2591" w:type="pct"/>
            <w:vAlign w:val="center"/>
          </w:tcPr>
          <w:p>
            <w:pPr>
              <w:jc w:val="center"/>
              <w:rPr>
                <w:rFonts w:hint="eastAsia" w:ascii="宋体" w:hAnsi="宋体" w:eastAsia="宋体" w:cs="宋体"/>
                <w:b w:val="0"/>
                <w:bCs/>
                <w:sz w:val="22"/>
                <w:highlight w:val="none"/>
                <w:lang w:eastAsia="zh-CN"/>
              </w:rPr>
            </w:pPr>
            <w:r>
              <w:rPr>
                <w:rFonts w:hint="eastAsia" w:ascii="宋体" w:hAnsi="宋体" w:cs="宋体"/>
                <w:b w:val="0"/>
                <w:bCs/>
                <w:sz w:val="22"/>
                <w:highlight w:val="none"/>
                <w:lang w:eastAsia="zh-CN"/>
              </w:rPr>
              <w:t>3110910037672213897</w:t>
            </w:r>
          </w:p>
        </w:tc>
      </w:tr>
    </w:tbl>
    <w:p>
      <w:pPr>
        <w:spacing w:before="120" w:beforeLines="50" w:line="360" w:lineRule="auto"/>
        <w:rPr>
          <w:rFonts w:ascii="宋体" w:hAnsi="宋体" w:cs="宋体"/>
          <w:szCs w:val="28"/>
          <w:highlight w:val="none"/>
        </w:rPr>
      </w:pPr>
      <w:r>
        <w:rPr>
          <w:rFonts w:hint="eastAsia" w:ascii="宋体" w:hAnsi="宋体" w:cs="宋体"/>
          <w:b/>
          <w:szCs w:val="28"/>
          <w:highlight w:val="none"/>
        </w:rPr>
        <w:t>备注（2）</w:t>
      </w:r>
      <w:r>
        <w:rPr>
          <w:rFonts w:hint="eastAsia" w:ascii="宋体" w:hAnsi="宋体" w:cs="宋体"/>
          <w:szCs w:val="28"/>
          <w:highlight w:val="none"/>
        </w:rPr>
        <w:t>如需邮寄采购代理服务费发票，请填写以下信息：</w:t>
      </w:r>
    </w:p>
    <w:p>
      <w:pPr>
        <w:spacing w:line="360" w:lineRule="auto"/>
        <w:rPr>
          <w:rFonts w:ascii="宋体" w:hAnsi="宋体" w:cs="宋体"/>
          <w:szCs w:val="28"/>
          <w:highlight w:val="none"/>
          <w:u w:val="single"/>
        </w:rPr>
      </w:pPr>
      <w:r>
        <w:rPr>
          <w:rFonts w:hint="eastAsia" w:ascii="宋体" w:hAnsi="宋体" w:cs="宋体"/>
          <w:szCs w:val="28"/>
          <w:highlight w:val="none"/>
        </w:rPr>
        <w:t>收件人姓名及电话：</w:t>
      </w:r>
    </w:p>
    <w:p>
      <w:pPr>
        <w:spacing w:line="360" w:lineRule="auto"/>
        <w:rPr>
          <w:rFonts w:ascii="宋体" w:hAnsi="宋体" w:cs="宋体"/>
          <w:szCs w:val="28"/>
          <w:highlight w:val="none"/>
        </w:rPr>
      </w:pPr>
      <w:r>
        <w:rPr>
          <w:rFonts w:hint="eastAsia" w:ascii="宋体" w:hAnsi="宋体" w:cs="宋体"/>
          <w:szCs w:val="28"/>
          <w:highlight w:val="none"/>
        </w:rPr>
        <w:t>收  件  地  址  ：</w:t>
      </w:r>
    </w:p>
    <w:p>
      <w:pPr>
        <w:spacing w:line="360" w:lineRule="auto"/>
        <w:ind w:firstLine="600"/>
        <w:rPr>
          <w:rFonts w:ascii="宋体" w:hAnsi="宋体" w:cs="宋体"/>
          <w:szCs w:val="28"/>
          <w:highlight w:val="none"/>
        </w:rPr>
      </w:pPr>
      <w:r>
        <w:rPr>
          <w:rFonts w:hint="eastAsia" w:ascii="宋体" w:hAnsi="宋体" w:cs="宋体"/>
          <w:szCs w:val="28"/>
          <w:highlight w:val="none"/>
        </w:rPr>
        <w:t>若我司未按前述期限支付代理服务费，贵司有权直接在应付我司任何一笔款项中直接扣除。</w:t>
      </w:r>
    </w:p>
    <w:p>
      <w:pPr>
        <w:spacing w:line="360" w:lineRule="auto"/>
        <w:ind w:firstLine="600"/>
        <w:rPr>
          <w:rFonts w:ascii="宋体" w:hAnsi="宋体" w:cs="宋体"/>
          <w:szCs w:val="28"/>
          <w:highlight w:val="none"/>
        </w:rPr>
      </w:pPr>
      <w:r>
        <w:rPr>
          <w:rFonts w:hint="eastAsia" w:ascii="宋体" w:hAnsi="宋体" w:cs="宋体"/>
          <w:szCs w:val="28"/>
          <w:highlight w:val="none"/>
        </w:rPr>
        <w:t>因前述事项发生争议，我方同意将争议提交北海国际仲裁院华南庭审中心仲裁解决。</w:t>
      </w:r>
    </w:p>
    <w:p>
      <w:pPr>
        <w:spacing w:line="360" w:lineRule="auto"/>
        <w:ind w:firstLine="600"/>
        <w:jc w:val="right"/>
        <w:rPr>
          <w:rFonts w:ascii="宋体" w:hAnsi="宋体" w:cs="宋体"/>
          <w:szCs w:val="28"/>
          <w:highlight w:val="none"/>
        </w:rPr>
      </w:pPr>
      <w:r>
        <w:rPr>
          <w:rFonts w:hint="eastAsia" w:ascii="宋体" w:hAnsi="宋体" w:cs="宋体"/>
          <w:szCs w:val="28"/>
          <w:highlight w:val="none"/>
        </w:rPr>
        <w:t>投标人（盖章）：XXX公司</w:t>
      </w:r>
    </w:p>
    <w:p>
      <w:pPr>
        <w:spacing w:line="360" w:lineRule="auto"/>
        <w:ind w:firstLine="1368" w:firstLineChars="570"/>
        <w:jc w:val="right"/>
        <w:rPr>
          <w:rFonts w:ascii="宋体" w:hAnsi="宋体" w:cs="宋体"/>
          <w:szCs w:val="28"/>
          <w:highlight w:val="none"/>
        </w:rPr>
        <w:sectPr>
          <w:pgSz w:w="11907" w:h="16840"/>
          <w:pgMar w:top="1440" w:right="1800" w:bottom="1440" w:left="1800" w:header="737" w:footer="737" w:gutter="0"/>
          <w:pgNumType w:fmt="decimal"/>
          <w:cols w:space="720" w:num="1"/>
          <w:docGrid w:linePitch="312" w:charSpace="0"/>
        </w:sectPr>
      </w:pPr>
      <w:r>
        <w:rPr>
          <w:rFonts w:hint="eastAsia" w:ascii="宋体" w:hAnsi="宋体" w:cs="宋体"/>
          <w:szCs w:val="28"/>
          <w:highlight w:val="none"/>
        </w:rPr>
        <w:t>年   月   日</w:t>
      </w:r>
    </w:p>
    <w:p>
      <w:pPr>
        <w:spacing w:line="360" w:lineRule="auto"/>
        <w:rPr>
          <w:rFonts w:ascii="宋体" w:hAnsi="宋体" w:cs="宋体"/>
          <w:b/>
          <w:szCs w:val="21"/>
          <w:highlight w:val="none"/>
        </w:rPr>
      </w:pPr>
      <w:r>
        <w:rPr>
          <w:rFonts w:hint="eastAsia" w:ascii="宋体" w:hAnsi="宋体" w:cs="宋体"/>
          <w:b/>
          <w:szCs w:val="21"/>
          <w:highlight w:val="none"/>
        </w:rPr>
        <w:t>9.</w:t>
      </w:r>
      <w:r>
        <w:rPr>
          <w:rFonts w:hint="eastAsia" w:ascii="宋体" w:hAnsi="宋体" w:cs="宋体"/>
          <w:b/>
          <w:szCs w:val="21"/>
          <w:highlight w:val="none"/>
          <w:lang w:val="en-US" w:eastAsia="zh-CN"/>
        </w:rPr>
        <w:t>7</w:t>
      </w:r>
      <w:r>
        <w:rPr>
          <w:rFonts w:hint="eastAsia" w:ascii="宋体" w:hAnsi="宋体" w:cs="宋体"/>
          <w:b/>
          <w:szCs w:val="21"/>
          <w:highlight w:val="none"/>
        </w:rPr>
        <w:t>、其他文件资料及说明</w:t>
      </w:r>
      <w:bookmarkEnd w:id="71"/>
      <w:bookmarkEnd w:id="72"/>
      <w:bookmarkEnd w:id="73"/>
    </w:p>
    <w:p>
      <w:pPr>
        <w:spacing w:line="360" w:lineRule="auto"/>
        <w:rPr>
          <w:rFonts w:ascii="宋体" w:hAnsi="宋体" w:cs="宋体"/>
          <w:szCs w:val="21"/>
          <w:highlight w:val="none"/>
        </w:rPr>
      </w:pPr>
      <w:r>
        <w:rPr>
          <w:rFonts w:hint="eastAsia" w:ascii="宋体" w:hAnsi="宋体" w:cs="宋体"/>
          <w:szCs w:val="21"/>
          <w:highlight w:val="none"/>
        </w:rPr>
        <w:t>本节内容为供应商认为有必要提供的其他文件材料。</w:t>
      </w:r>
    </w:p>
    <w:p>
      <w:pPr>
        <w:spacing w:line="360" w:lineRule="auto"/>
        <w:rPr>
          <w:rFonts w:ascii="宋体" w:hAnsi="宋体" w:cs="宋体"/>
          <w:szCs w:val="21"/>
          <w:highlight w:val="none"/>
        </w:rPr>
      </w:pPr>
      <w:r>
        <w:rPr>
          <w:rFonts w:hint="eastAsia" w:ascii="宋体" w:hAnsi="宋体" w:cs="宋体"/>
          <w:szCs w:val="21"/>
          <w:highlight w:val="none"/>
        </w:rPr>
        <w:t>本节仅为供应商在项目竞标中可更有效地提升自身竞争力而增设的内容，因此所提交的内容和编制格式等均不受任何限制，一切递交情况由供应商自行决定和设计排版。</w:t>
      </w:r>
    </w:p>
    <w:p>
      <w:pPr>
        <w:spacing w:line="360" w:lineRule="auto"/>
        <w:rPr>
          <w:rFonts w:ascii="宋体" w:hAnsi="宋体" w:cs="宋体"/>
          <w:szCs w:val="21"/>
          <w:highlight w:val="none"/>
        </w:rPr>
      </w:pPr>
    </w:p>
    <w:p>
      <w:pPr>
        <w:snapToGrid w:val="0"/>
        <w:spacing w:line="400" w:lineRule="atLeast"/>
        <w:rPr>
          <w:rFonts w:ascii="宋体" w:hAnsi="宋体" w:cs="宋体"/>
          <w:szCs w:val="21"/>
          <w:highlight w:val="none"/>
        </w:rPr>
        <w:sectPr>
          <w:pgSz w:w="11907" w:h="16840"/>
          <w:pgMar w:top="1440" w:right="1800" w:bottom="1440" w:left="1800" w:header="737" w:footer="737" w:gutter="0"/>
          <w:pgNumType w:fmt="decimal"/>
          <w:cols w:space="720" w:num="1"/>
          <w:docGrid w:linePitch="312" w:charSpace="0"/>
        </w:sectPr>
      </w:pPr>
    </w:p>
    <w:p>
      <w:pPr>
        <w:jc w:val="center"/>
        <w:rPr>
          <w:rFonts w:ascii="宋体" w:hAnsi="宋体" w:cs="宋体"/>
          <w:szCs w:val="21"/>
          <w:highlight w:val="none"/>
        </w:rPr>
      </w:pPr>
    </w:p>
    <w:p>
      <w:pPr>
        <w:spacing w:line="360" w:lineRule="auto"/>
        <w:ind w:left="550" w:hanging="550"/>
        <w:rPr>
          <w:rFonts w:ascii="宋体" w:hAnsi="宋体" w:cs="宋体"/>
          <w:b/>
          <w:bCs/>
          <w:sz w:val="28"/>
          <w:szCs w:val="28"/>
          <w:highlight w:val="none"/>
        </w:rPr>
      </w:pPr>
      <w:r>
        <w:rPr>
          <w:rFonts w:hint="eastAsia" w:ascii="宋体" w:hAnsi="宋体" w:cs="宋体"/>
          <w:b/>
          <w:bCs/>
          <w:sz w:val="28"/>
          <w:szCs w:val="28"/>
          <w:highlight w:val="none"/>
        </w:rPr>
        <w:t>附件1：（</w:t>
      </w:r>
      <w:r>
        <w:rPr>
          <w:rFonts w:hint="eastAsia" w:ascii="宋体" w:hAnsi="宋体" w:cs="宋体"/>
          <w:b/>
          <w:sz w:val="28"/>
          <w:szCs w:val="28"/>
          <w:highlight w:val="none"/>
        </w:rPr>
        <w:t>说明：本部分格式不属于投标文件格式的组成部分</w:t>
      </w:r>
      <w:r>
        <w:rPr>
          <w:rFonts w:hint="eastAsia" w:ascii="宋体" w:hAnsi="宋体" w:cs="宋体"/>
          <w:b/>
          <w:bCs/>
          <w:sz w:val="28"/>
          <w:szCs w:val="28"/>
          <w:highlight w:val="none"/>
        </w:rPr>
        <w:t>）</w:t>
      </w:r>
    </w:p>
    <w:p>
      <w:pPr>
        <w:spacing w:line="360" w:lineRule="auto"/>
        <w:ind w:left="471" w:hanging="471"/>
        <w:jc w:val="center"/>
        <w:rPr>
          <w:rFonts w:ascii="宋体" w:hAnsi="宋体" w:cs="宋体"/>
          <w:b/>
          <w:bCs/>
          <w:highlight w:val="none"/>
        </w:rPr>
      </w:pPr>
      <w:r>
        <w:rPr>
          <w:rFonts w:hint="eastAsia" w:ascii="宋体" w:hAnsi="宋体" w:cs="宋体"/>
          <w:b/>
          <w:bCs/>
          <w:szCs w:val="21"/>
          <w:highlight w:val="none"/>
        </w:rPr>
        <w:t>文件包装袋封面标贴格式</w:t>
      </w:r>
    </w:p>
    <w:tbl>
      <w:tblPr>
        <w:tblStyle w:val="40"/>
        <w:tblW w:w="9329" w:type="dxa"/>
        <w:jc w:val="center"/>
        <w:tblLayout w:type="fixed"/>
        <w:tblCellMar>
          <w:top w:w="0" w:type="dxa"/>
          <w:left w:w="10" w:type="dxa"/>
          <w:bottom w:w="0" w:type="dxa"/>
          <w:right w:w="10" w:type="dxa"/>
        </w:tblCellMar>
      </w:tblPr>
      <w:tblGrid>
        <w:gridCol w:w="9329"/>
      </w:tblGrid>
      <w:tr>
        <w:tblPrEx>
          <w:tblCellMar>
            <w:top w:w="0" w:type="dxa"/>
            <w:left w:w="10" w:type="dxa"/>
            <w:bottom w:w="0" w:type="dxa"/>
            <w:right w:w="10" w:type="dxa"/>
          </w:tblCellMar>
        </w:tblPrEx>
        <w:trPr>
          <w:trHeight w:val="8364" w:hRule="atLeast"/>
          <w:jc w:val="center"/>
        </w:trPr>
        <w:tc>
          <w:tcPr>
            <w:tcW w:w="9329" w:type="dxa"/>
            <w:tcBorders>
              <w:top w:val="single" w:color="003366" w:sz="2" w:space="0"/>
              <w:left w:val="single" w:color="003366" w:sz="2" w:space="0"/>
              <w:bottom w:val="single" w:color="003366" w:sz="2" w:space="0"/>
              <w:right w:val="single" w:color="003366" w:sz="2" w:space="0"/>
            </w:tcBorders>
            <w:shd w:val="clear" w:color="000000" w:fill="FFFFCC"/>
            <w:tcMar>
              <w:top w:w="0" w:type="dxa"/>
              <w:left w:w="108" w:type="dxa"/>
              <w:bottom w:w="0" w:type="dxa"/>
              <w:right w:w="108" w:type="dxa"/>
            </w:tcMar>
          </w:tcPr>
          <w:p>
            <w:pPr>
              <w:rPr>
                <w:rFonts w:ascii="宋体" w:hAnsi="宋体" w:cs="宋体"/>
                <w:sz w:val="18"/>
                <w:szCs w:val="18"/>
                <w:highlight w:val="none"/>
              </w:rPr>
            </w:pPr>
          </w:p>
          <w:p>
            <w:pPr>
              <w:spacing w:line="360" w:lineRule="auto"/>
              <w:jc w:val="center"/>
              <w:rPr>
                <w:rFonts w:ascii="宋体" w:hAnsi="宋体" w:cs="宋体"/>
                <w:b/>
                <w:bCs/>
                <w:sz w:val="44"/>
                <w:szCs w:val="44"/>
                <w:highlight w:val="none"/>
              </w:rPr>
            </w:pPr>
          </w:p>
          <w:p>
            <w:pPr>
              <w:jc w:val="center"/>
              <w:rPr>
                <w:rFonts w:ascii="宋体" w:hAnsi="宋体" w:cs="宋体"/>
                <w:b/>
                <w:bCs/>
                <w:highlight w:val="none"/>
              </w:rPr>
            </w:pPr>
          </w:p>
          <w:p>
            <w:pPr>
              <w:spacing w:line="360" w:lineRule="auto"/>
              <w:jc w:val="center"/>
              <w:rPr>
                <w:rFonts w:ascii="宋体" w:hAnsi="宋体" w:cs="宋体"/>
                <w:b/>
                <w:bCs/>
                <w:sz w:val="72"/>
                <w:szCs w:val="72"/>
                <w:highlight w:val="none"/>
              </w:rPr>
            </w:pPr>
            <w:r>
              <w:rPr>
                <w:rFonts w:hint="eastAsia" w:ascii="宋体" w:hAnsi="宋体" w:cs="宋体"/>
                <w:b/>
                <w:bCs/>
                <w:sz w:val="72"/>
                <w:szCs w:val="72"/>
                <w:highlight w:val="none"/>
              </w:rPr>
              <w:t>投 标 文 件</w:t>
            </w:r>
          </w:p>
          <w:p>
            <w:pPr>
              <w:jc w:val="center"/>
              <w:rPr>
                <w:rFonts w:ascii="宋体" w:hAnsi="宋体" w:cs="宋体"/>
                <w:b/>
                <w:bCs/>
                <w:highlight w:val="none"/>
              </w:rPr>
            </w:pPr>
          </w:p>
          <w:p>
            <w:pPr>
              <w:spacing w:line="360" w:lineRule="auto"/>
              <w:jc w:val="center"/>
              <w:rPr>
                <w:rFonts w:ascii="宋体" w:hAnsi="宋体" w:cs="宋体"/>
                <w:bCs/>
                <w:sz w:val="28"/>
                <w:szCs w:val="28"/>
                <w:highlight w:val="none"/>
              </w:rPr>
            </w:pPr>
            <w:r>
              <w:rPr>
                <w:rFonts w:hint="eastAsia" w:ascii="宋体" w:hAnsi="宋体" w:cs="宋体"/>
                <w:bCs/>
                <w:highlight w:val="none"/>
              </w:rPr>
              <w:t>密封内容：</w:t>
            </w:r>
            <w:r>
              <w:rPr>
                <w:rFonts w:hint="eastAsia" w:ascii="宋体" w:hAnsi="宋体" w:cs="宋体"/>
                <w:highlight w:val="none"/>
              </w:rPr>
              <w:t>□</w:t>
            </w:r>
            <w:r>
              <w:rPr>
                <w:rFonts w:hint="eastAsia" w:ascii="宋体" w:hAnsi="宋体" w:cs="宋体"/>
                <w:b/>
                <w:highlight w:val="none"/>
              </w:rPr>
              <w:t>投标</w:t>
            </w:r>
            <w:r>
              <w:rPr>
                <w:rFonts w:hint="eastAsia" w:ascii="宋体" w:hAnsi="宋体" w:cs="宋体"/>
                <w:highlight w:val="none"/>
              </w:rPr>
              <w:t>文件（正/副本）</w:t>
            </w:r>
            <w:r>
              <w:rPr>
                <w:rFonts w:hint="eastAsia" w:ascii="宋体" w:hAnsi="宋体" w:cs="宋体"/>
                <w:bCs/>
                <w:highlight w:val="none"/>
              </w:rPr>
              <w:t>/</w:t>
            </w:r>
            <w:r>
              <w:rPr>
                <w:rFonts w:hint="eastAsia" w:ascii="宋体" w:hAnsi="宋体" w:cs="宋体"/>
                <w:highlight w:val="none"/>
              </w:rPr>
              <w:t>□报价信封</w:t>
            </w:r>
          </w:p>
          <w:p>
            <w:pPr>
              <w:spacing w:line="360" w:lineRule="auto"/>
              <w:jc w:val="center"/>
              <w:rPr>
                <w:rFonts w:ascii="宋体" w:hAnsi="宋体" w:cs="宋体"/>
                <w:b/>
                <w:szCs w:val="36"/>
                <w:highlight w:val="none"/>
              </w:rPr>
            </w:pPr>
            <w:r>
              <w:rPr>
                <w:rFonts w:hint="eastAsia" w:ascii="宋体" w:hAnsi="宋体" w:cs="宋体"/>
                <w:b/>
                <w:szCs w:val="36"/>
                <w:highlight w:val="none"/>
              </w:rPr>
              <w:t>投标人于密封前自行对上述资料的密封情况进行自查，并于相应“□”处中打“√”</w:t>
            </w:r>
          </w:p>
          <w:p>
            <w:pPr>
              <w:ind w:firstLine="2474"/>
              <w:rPr>
                <w:rFonts w:ascii="宋体" w:hAnsi="宋体" w:cs="宋体"/>
                <w:b/>
                <w:szCs w:val="36"/>
                <w:highlight w:val="none"/>
              </w:rPr>
            </w:pPr>
          </w:p>
          <w:p>
            <w:pPr>
              <w:ind w:firstLine="2474"/>
              <w:rPr>
                <w:rFonts w:ascii="宋体" w:hAnsi="宋体" w:cs="宋体"/>
                <w:b/>
                <w:szCs w:val="36"/>
                <w:highlight w:val="none"/>
              </w:rPr>
            </w:pPr>
          </w:p>
          <w:p>
            <w:pPr>
              <w:spacing w:line="360" w:lineRule="auto"/>
              <w:jc w:val="center"/>
              <w:rPr>
                <w:rFonts w:ascii="宋体" w:hAnsi="宋体" w:cs="宋体"/>
                <w:b/>
                <w:highlight w:val="none"/>
              </w:rPr>
            </w:pPr>
            <w:r>
              <w:rPr>
                <w:rFonts w:hint="eastAsia" w:ascii="宋体" w:hAnsi="宋体" w:cs="宋体"/>
                <w:b/>
                <w:highlight w:val="none"/>
              </w:rPr>
              <w:t>项目名称：</w:t>
            </w:r>
          </w:p>
          <w:p>
            <w:pPr>
              <w:spacing w:line="360" w:lineRule="auto"/>
              <w:ind w:right="145"/>
              <w:jc w:val="center"/>
              <w:rPr>
                <w:rFonts w:ascii="宋体" w:hAnsi="宋体" w:cs="宋体"/>
                <w:b/>
                <w:highlight w:val="none"/>
              </w:rPr>
            </w:pPr>
            <w:r>
              <w:rPr>
                <w:rFonts w:hint="eastAsia" w:ascii="宋体" w:hAnsi="宋体" w:cs="宋体"/>
                <w:b/>
                <w:bCs/>
                <w:highlight w:val="none"/>
              </w:rPr>
              <w:t>采购项目编号</w:t>
            </w:r>
            <w:r>
              <w:rPr>
                <w:rFonts w:hint="eastAsia" w:ascii="宋体" w:hAnsi="宋体" w:cs="宋体"/>
                <w:b/>
                <w:highlight w:val="none"/>
              </w:rPr>
              <w:t>：</w:t>
            </w:r>
          </w:p>
          <w:p>
            <w:pPr>
              <w:ind w:firstLine="1079"/>
              <w:rPr>
                <w:rFonts w:ascii="宋体" w:hAnsi="宋体" w:cs="宋体"/>
                <w:b/>
                <w:highlight w:val="none"/>
              </w:rPr>
            </w:pPr>
          </w:p>
          <w:p>
            <w:pPr>
              <w:ind w:firstLine="1079"/>
              <w:rPr>
                <w:rFonts w:ascii="宋体" w:hAnsi="宋体" w:cs="宋体"/>
                <w:b/>
                <w:bCs/>
                <w:highlight w:val="none"/>
              </w:rPr>
            </w:pPr>
          </w:p>
          <w:p>
            <w:pPr>
              <w:spacing w:line="360" w:lineRule="auto"/>
              <w:jc w:val="center"/>
              <w:rPr>
                <w:rFonts w:ascii="宋体" w:hAnsi="宋体" w:cs="宋体"/>
                <w:b/>
                <w:bCs/>
                <w:highlight w:val="none"/>
              </w:rPr>
            </w:pPr>
            <w:r>
              <w:rPr>
                <w:rFonts w:hint="eastAsia" w:ascii="宋体" w:hAnsi="宋体" w:cs="宋体"/>
                <w:b/>
                <w:bCs/>
                <w:sz w:val="28"/>
                <w:highlight w:val="none"/>
              </w:rPr>
              <w:t>投 标 人：</w:t>
            </w:r>
            <w:r>
              <w:rPr>
                <w:rFonts w:hint="eastAsia" w:ascii="宋体" w:hAnsi="宋体" w:cs="宋体"/>
                <w:b/>
                <w:bCs/>
                <w:sz w:val="28"/>
                <w:highlight w:val="none"/>
                <w:u w:val="single"/>
              </w:rPr>
              <w:t xml:space="preserve">                      (加盖投标人法人公章)</w:t>
            </w:r>
          </w:p>
          <w:p>
            <w:pPr>
              <w:jc w:val="center"/>
              <w:rPr>
                <w:rFonts w:ascii="宋体" w:hAnsi="宋体" w:cs="宋体"/>
                <w:b/>
                <w:bCs/>
                <w:highlight w:val="none"/>
              </w:rPr>
            </w:pPr>
          </w:p>
          <w:p>
            <w:pPr>
              <w:jc w:val="center"/>
              <w:rPr>
                <w:rFonts w:ascii="宋体" w:hAnsi="宋体" w:cs="宋体"/>
                <w:b/>
                <w:bCs/>
                <w:szCs w:val="21"/>
                <w:highlight w:val="none"/>
              </w:rPr>
            </w:pPr>
            <w:r>
              <w:rPr>
                <w:rFonts w:hint="eastAsia" w:ascii="宋体" w:hAnsi="宋体" w:cs="宋体"/>
                <w:b/>
                <w:bCs/>
                <w:szCs w:val="21"/>
                <w:highlight w:val="none"/>
              </w:rPr>
              <w:t>在    年  月  日  午  ：  分之前不得启封</w:t>
            </w:r>
          </w:p>
          <w:p>
            <w:pPr>
              <w:jc w:val="center"/>
              <w:rPr>
                <w:rFonts w:ascii="宋体" w:hAnsi="宋体" w:cs="宋体"/>
                <w:b/>
                <w:szCs w:val="21"/>
                <w:highlight w:val="none"/>
              </w:rPr>
            </w:pPr>
            <w:r>
              <w:rPr>
                <w:rFonts w:hint="eastAsia" w:ascii="宋体" w:hAnsi="宋体" w:cs="宋体"/>
                <w:b/>
                <w:bCs/>
                <w:szCs w:val="21"/>
                <w:highlight w:val="none"/>
              </w:rPr>
              <w:t>递交地点：XXXXX</w:t>
            </w:r>
          </w:p>
          <w:p>
            <w:pPr>
              <w:jc w:val="center"/>
              <w:rPr>
                <w:rFonts w:ascii="宋体" w:hAnsi="宋体" w:cs="宋体"/>
                <w:highlight w:val="none"/>
              </w:rPr>
            </w:pPr>
          </w:p>
        </w:tc>
      </w:tr>
    </w:tbl>
    <w:p>
      <w:pPr>
        <w:tabs>
          <w:tab w:val="left" w:pos="598"/>
        </w:tabs>
        <w:spacing w:line="360" w:lineRule="auto"/>
        <w:rPr>
          <w:rFonts w:ascii="宋体" w:hAnsi="宋体" w:cs="宋体"/>
          <w:highlight w:val="none"/>
        </w:rPr>
      </w:pPr>
    </w:p>
    <w:p>
      <w:pPr>
        <w:tabs>
          <w:tab w:val="left" w:pos="598"/>
        </w:tabs>
        <w:spacing w:line="360" w:lineRule="auto"/>
        <w:rPr>
          <w:rFonts w:ascii="宋体" w:hAnsi="宋体" w:cs="宋体"/>
          <w:highlight w:val="none"/>
        </w:rPr>
      </w:pPr>
      <w:r>
        <w:rPr>
          <w:rFonts w:hint="eastAsia" w:ascii="宋体" w:hAnsi="宋体" w:cs="宋体"/>
          <w:highlight w:val="none"/>
        </w:rPr>
        <w:t>重要提示：</w:t>
      </w:r>
    </w:p>
    <w:p>
      <w:pPr>
        <w:spacing w:line="360" w:lineRule="auto"/>
        <w:rPr>
          <w:rFonts w:ascii="宋体" w:hAnsi="宋体" w:cs="宋体"/>
          <w:highlight w:val="none"/>
        </w:rPr>
      </w:pPr>
      <w:r>
        <w:rPr>
          <w:rFonts w:hint="eastAsia" w:ascii="宋体" w:hAnsi="宋体" w:cs="宋体"/>
          <w:highlight w:val="none"/>
        </w:rPr>
        <w:t>1、投标文件的正本、副本，均应密封在同一密封包中。若上述资料确实无法密封在同一密封包中，则可按实际情况分开密封，但须在密封包装上标明密封内容。</w:t>
      </w:r>
    </w:p>
    <w:p>
      <w:pPr>
        <w:spacing w:line="360" w:lineRule="auto"/>
        <w:rPr>
          <w:rFonts w:ascii="宋体" w:hAnsi="宋体" w:cs="宋体"/>
          <w:highlight w:val="none"/>
        </w:rPr>
      </w:pPr>
      <w:r>
        <w:rPr>
          <w:rFonts w:hint="eastAsia" w:ascii="宋体" w:hAnsi="宋体" w:cs="宋体"/>
          <w:highlight w:val="none"/>
        </w:rPr>
        <w:t>2、报价信封应单独密封。</w:t>
      </w:r>
    </w:p>
    <w:p>
      <w:pPr>
        <w:spacing w:line="360" w:lineRule="auto"/>
        <w:rPr>
          <w:rFonts w:ascii="宋体" w:hAnsi="宋体" w:cs="宋体"/>
          <w:highlight w:val="none"/>
        </w:rPr>
      </w:pPr>
      <w:r>
        <w:rPr>
          <w:rFonts w:hint="eastAsia" w:ascii="宋体" w:hAnsi="宋体" w:cs="宋体"/>
          <w:highlight w:val="none"/>
        </w:rPr>
        <w:t>3、因交通及停车或有不便，递交投标文件时务请提早到达！</w:t>
      </w:r>
    </w:p>
    <w:p>
      <w:pPr>
        <w:spacing w:line="360" w:lineRule="auto"/>
        <w:rPr>
          <w:rFonts w:ascii="宋体" w:hAnsi="宋体" w:cs="宋体"/>
          <w:b/>
          <w:bCs/>
          <w:sz w:val="28"/>
          <w:szCs w:val="28"/>
          <w:highlight w:val="none"/>
        </w:rPr>
      </w:pPr>
      <w:r>
        <w:rPr>
          <w:rFonts w:hint="eastAsia" w:ascii="宋体" w:hAnsi="宋体" w:cs="宋体"/>
          <w:b/>
          <w:bCs/>
          <w:sz w:val="28"/>
          <w:szCs w:val="28"/>
          <w:highlight w:val="none"/>
        </w:rPr>
        <w:br w:type="page"/>
      </w:r>
    </w:p>
    <w:p>
      <w:pPr>
        <w:rPr>
          <w:rFonts w:ascii="宋体" w:hAnsi="宋体" w:cs="宋体"/>
          <w:b/>
          <w:bCs/>
          <w:sz w:val="28"/>
          <w:szCs w:val="28"/>
          <w:highlight w:val="none"/>
        </w:rPr>
      </w:pPr>
      <w:r>
        <w:rPr>
          <w:rFonts w:hint="eastAsia" w:ascii="宋体" w:hAnsi="宋体" w:cs="宋体"/>
          <w:b/>
          <w:bCs/>
          <w:sz w:val="28"/>
          <w:szCs w:val="28"/>
          <w:highlight w:val="none"/>
        </w:rPr>
        <w:t>附件2：</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询问函、质疑函、投诉书格式</w:t>
      </w:r>
    </w:p>
    <w:p>
      <w:pPr>
        <w:pStyle w:val="36"/>
        <w:snapToGrid w:val="0"/>
        <w:spacing w:line="360" w:lineRule="auto"/>
        <w:jc w:val="both"/>
        <w:rPr>
          <w:rFonts w:cs="宋体"/>
          <w:szCs w:val="21"/>
          <w:highlight w:val="none"/>
        </w:rPr>
      </w:pPr>
    </w:p>
    <w:p>
      <w:pPr>
        <w:snapToGrid w:val="0"/>
        <w:spacing w:line="360" w:lineRule="auto"/>
        <w:ind w:firstLine="565" w:firstLineChars="201"/>
        <w:rPr>
          <w:rFonts w:ascii="宋体" w:hAnsi="宋体" w:cs="宋体"/>
          <w:b/>
          <w:sz w:val="28"/>
          <w:szCs w:val="28"/>
          <w:highlight w:val="none"/>
        </w:rPr>
      </w:pPr>
      <w:r>
        <w:rPr>
          <w:rFonts w:hint="eastAsia" w:ascii="宋体" w:hAnsi="宋体" w:cs="宋体"/>
          <w:b/>
          <w:sz w:val="28"/>
          <w:szCs w:val="28"/>
          <w:highlight w:val="none"/>
        </w:rPr>
        <w:t>说明：本部分格式为投标人（或响应供应商）提交询问函、质疑函、投诉函时使用，不属于投标（或磋商）文件格式的组成部分。</w:t>
      </w:r>
    </w:p>
    <w:p>
      <w:pPr>
        <w:pStyle w:val="36"/>
        <w:snapToGrid w:val="0"/>
        <w:spacing w:line="360" w:lineRule="auto"/>
        <w:ind w:firstLine="560"/>
        <w:jc w:val="both"/>
        <w:rPr>
          <w:rFonts w:cs="宋体"/>
          <w:sz w:val="28"/>
          <w:szCs w:val="28"/>
          <w:highlight w:val="none"/>
        </w:rPr>
      </w:pPr>
    </w:p>
    <w:p>
      <w:pPr>
        <w:pStyle w:val="36"/>
        <w:adjustRightInd w:val="0"/>
        <w:snapToGrid w:val="0"/>
        <w:spacing w:line="360" w:lineRule="auto"/>
        <w:ind w:firstLine="560"/>
        <w:jc w:val="both"/>
        <w:rPr>
          <w:rFonts w:cs="宋体"/>
          <w:b/>
          <w:bCs/>
          <w:sz w:val="28"/>
          <w:szCs w:val="28"/>
          <w:highlight w:val="none"/>
        </w:rPr>
      </w:pPr>
      <w:r>
        <w:rPr>
          <w:rFonts w:hint="eastAsia" w:cs="宋体"/>
          <w:b/>
          <w:bCs/>
          <w:sz w:val="28"/>
          <w:szCs w:val="28"/>
          <w:highlight w:val="none"/>
        </w:rPr>
        <w:t>1：询问函格式</w:t>
      </w:r>
    </w:p>
    <w:p>
      <w:pPr>
        <w:pStyle w:val="36"/>
        <w:spacing w:line="360" w:lineRule="auto"/>
        <w:ind w:firstLine="560"/>
        <w:jc w:val="center"/>
        <w:rPr>
          <w:rStyle w:val="44"/>
          <w:rFonts w:ascii="宋体" w:hAnsi="宋体" w:cs="宋体"/>
          <w:sz w:val="28"/>
          <w:szCs w:val="28"/>
          <w:highlight w:val="none"/>
        </w:rPr>
      </w:pPr>
      <w:r>
        <w:rPr>
          <w:rStyle w:val="44"/>
          <w:rFonts w:hint="eastAsia" w:ascii="宋体" w:hAnsi="宋体" w:cs="宋体"/>
          <w:sz w:val="28"/>
          <w:szCs w:val="28"/>
          <w:highlight w:val="none"/>
        </w:rPr>
        <w:t>询问函</w:t>
      </w:r>
    </w:p>
    <w:p>
      <w:pPr>
        <w:tabs>
          <w:tab w:val="left" w:pos="6300"/>
        </w:tabs>
        <w:snapToGrid w:val="0"/>
        <w:spacing w:line="360" w:lineRule="auto"/>
        <w:rPr>
          <w:rFonts w:ascii="宋体" w:hAnsi="宋体" w:cs="宋体"/>
          <w:sz w:val="28"/>
          <w:szCs w:val="28"/>
          <w:highlight w:val="none"/>
        </w:rPr>
      </w:pPr>
      <w:r>
        <w:rPr>
          <w:rFonts w:hint="eastAsia" w:ascii="宋体" w:hAnsi="宋体" w:cs="宋体"/>
          <w:sz w:val="28"/>
          <w:szCs w:val="28"/>
          <w:highlight w:val="none"/>
        </w:rPr>
        <w:t>XXXXXXX：</w:t>
      </w:r>
    </w:p>
    <w:p>
      <w:pPr>
        <w:tabs>
          <w:tab w:val="left" w:pos="6300"/>
        </w:tabs>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我单位已报名并准备参与</w:t>
      </w:r>
      <w:r>
        <w:rPr>
          <w:rFonts w:hint="eastAsia" w:ascii="宋体" w:hAnsi="宋体" w:cs="宋体"/>
          <w:iCs/>
          <w:sz w:val="28"/>
          <w:szCs w:val="28"/>
          <w:highlight w:val="none"/>
          <w:u w:val="single"/>
        </w:rPr>
        <w:t>（项目名称）</w:t>
      </w:r>
      <w:r>
        <w:rPr>
          <w:rFonts w:hint="eastAsia" w:ascii="宋体" w:hAnsi="宋体" w:cs="宋体"/>
          <w:sz w:val="28"/>
          <w:szCs w:val="28"/>
          <w:highlight w:val="none"/>
        </w:rPr>
        <w:t>项目（采购文件编号：）的投标（或报价）活动，现有以下几个内容（或条款）存在疑问（或无法理解），特提出询问。</w:t>
      </w:r>
    </w:p>
    <w:p>
      <w:pPr>
        <w:tabs>
          <w:tab w:val="left" w:pos="6300"/>
        </w:tabs>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一、_____________________（事项一）</w:t>
      </w:r>
    </w:p>
    <w:p>
      <w:pPr>
        <w:tabs>
          <w:tab w:val="left" w:pos="6300"/>
        </w:tabs>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（1）____________________（问题或条款内容）</w:t>
      </w:r>
    </w:p>
    <w:p>
      <w:pPr>
        <w:tabs>
          <w:tab w:val="left" w:pos="6300"/>
        </w:tabs>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（2）____________________（说明疑问或无法理解原因）</w:t>
      </w:r>
    </w:p>
    <w:p>
      <w:pPr>
        <w:tabs>
          <w:tab w:val="left" w:pos="6300"/>
        </w:tabs>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（3）____________________（建议）</w:t>
      </w:r>
    </w:p>
    <w:p>
      <w:pPr>
        <w:tabs>
          <w:tab w:val="left" w:pos="6300"/>
        </w:tabs>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二、_____________________（事项二）</w:t>
      </w:r>
    </w:p>
    <w:p>
      <w:pPr>
        <w:tabs>
          <w:tab w:val="left" w:pos="6300"/>
        </w:tabs>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w:t>
      </w:r>
    </w:p>
    <w:p>
      <w:pPr>
        <w:tabs>
          <w:tab w:val="left" w:pos="6300"/>
        </w:tabs>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随附相关证明材料如下：（目录）。</w:t>
      </w:r>
    </w:p>
    <w:p>
      <w:pPr>
        <w:tabs>
          <w:tab w:val="left" w:pos="6300"/>
        </w:tabs>
        <w:snapToGrid w:val="0"/>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询问人：（公章）</w:t>
      </w:r>
    </w:p>
    <w:p>
      <w:pPr>
        <w:tabs>
          <w:tab w:val="left" w:pos="6300"/>
        </w:tabs>
        <w:snapToGrid w:val="0"/>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法定代表人（或负责人）或委托代理人签字：</w:t>
      </w:r>
    </w:p>
    <w:p>
      <w:pPr>
        <w:tabs>
          <w:tab w:val="left" w:pos="6300"/>
        </w:tabs>
        <w:snapToGrid w:val="0"/>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地址/邮编：</w:t>
      </w:r>
    </w:p>
    <w:p>
      <w:pPr>
        <w:tabs>
          <w:tab w:val="left" w:pos="6300"/>
        </w:tabs>
        <w:snapToGrid w:val="0"/>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电话/传真：</w:t>
      </w:r>
    </w:p>
    <w:p>
      <w:pPr>
        <w:spacing w:line="360" w:lineRule="auto"/>
        <w:jc w:val="right"/>
        <w:rPr>
          <w:rFonts w:ascii="宋体" w:hAnsi="宋体" w:cs="宋体"/>
          <w:sz w:val="28"/>
          <w:szCs w:val="28"/>
          <w:highlight w:val="none"/>
        </w:rPr>
      </w:pPr>
      <w:r>
        <w:rPr>
          <w:rFonts w:hint="eastAsia" w:ascii="宋体" w:hAnsi="宋体" w:cs="宋体"/>
          <w:sz w:val="28"/>
          <w:szCs w:val="28"/>
          <w:highlight w:val="none"/>
        </w:rPr>
        <w:t>年   月   日</w:t>
      </w:r>
    </w:p>
    <w:p>
      <w:pPr>
        <w:pStyle w:val="36"/>
        <w:adjustRightInd w:val="0"/>
        <w:snapToGrid w:val="0"/>
        <w:spacing w:line="360" w:lineRule="auto"/>
        <w:ind w:firstLine="560"/>
        <w:jc w:val="both"/>
        <w:rPr>
          <w:rFonts w:cs="宋体"/>
          <w:b/>
          <w:bCs/>
          <w:sz w:val="28"/>
          <w:szCs w:val="28"/>
          <w:highlight w:val="none"/>
        </w:rPr>
      </w:pPr>
      <w:r>
        <w:rPr>
          <w:rFonts w:hint="eastAsia" w:cs="宋体"/>
          <w:sz w:val="28"/>
          <w:szCs w:val="28"/>
          <w:highlight w:val="none"/>
        </w:rPr>
        <w:br w:type="page"/>
      </w:r>
      <w:r>
        <w:rPr>
          <w:rFonts w:hint="eastAsia" w:cs="宋体"/>
          <w:b/>
          <w:bCs/>
          <w:sz w:val="28"/>
          <w:szCs w:val="28"/>
          <w:highlight w:val="none"/>
        </w:rPr>
        <w:t>2：质疑函格式</w:t>
      </w:r>
    </w:p>
    <w:p>
      <w:pPr>
        <w:pStyle w:val="36"/>
        <w:spacing w:line="360" w:lineRule="auto"/>
        <w:ind w:firstLine="560"/>
        <w:jc w:val="center"/>
        <w:rPr>
          <w:rStyle w:val="44"/>
          <w:rFonts w:ascii="宋体" w:hAnsi="宋体" w:cs="宋体"/>
          <w:sz w:val="28"/>
          <w:szCs w:val="28"/>
          <w:highlight w:val="none"/>
        </w:rPr>
      </w:pPr>
      <w:r>
        <w:rPr>
          <w:rStyle w:val="44"/>
          <w:rFonts w:hint="eastAsia" w:ascii="宋体" w:hAnsi="宋体" w:cs="宋体"/>
          <w:sz w:val="28"/>
          <w:szCs w:val="28"/>
          <w:highlight w:val="none"/>
        </w:rPr>
        <w:t>质疑函</w:t>
      </w:r>
    </w:p>
    <w:p>
      <w:pPr>
        <w:adjustRightInd w:val="0"/>
        <w:snapToGrid w:val="0"/>
        <w:spacing w:before="240" w:beforeLines="100" w:line="500" w:lineRule="exact"/>
        <w:rPr>
          <w:rFonts w:ascii="宋体" w:hAnsi="宋体" w:cs="宋体"/>
          <w:sz w:val="28"/>
          <w:szCs w:val="28"/>
          <w:highlight w:val="none"/>
        </w:rPr>
      </w:pPr>
      <w:r>
        <w:rPr>
          <w:rFonts w:hint="eastAsia" w:ascii="宋体" w:hAnsi="宋体" w:cs="宋体"/>
          <w:sz w:val="28"/>
          <w:szCs w:val="28"/>
          <w:highlight w:val="none"/>
        </w:rPr>
        <w:t>一、质疑供应商基本信息</w:t>
      </w:r>
    </w:p>
    <w:p>
      <w:pPr>
        <w:adjustRightInd w:val="0"/>
        <w:snapToGrid w:val="0"/>
        <w:spacing w:line="500" w:lineRule="exact"/>
        <w:rPr>
          <w:rFonts w:ascii="宋体" w:hAnsi="宋体" w:cs="宋体"/>
          <w:sz w:val="28"/>
          <w:szCs w:val="28"/>
          <w:highlight w:val="none"/>
          <w:u w:val="dotted"/>
        </w:rPr>
      </w:pPr>
      <w:r>
        <w:rPr>
          <w:rFonts w:hint="eastAsia" w:ascii="宋体" w:hAnsi="宋体" w:cs="宋体"/>
          <w:sz w:val="28"/>
          <w:szCs w:val="28"/>
          <w:highlight w:val="none"/>
        </w:rPr>
        <w:t>质疑供应商：</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地址：</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邮编：</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联系人：</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联系电话：</w:t>
      </w:r>
    </w:p>
    <w:p>
      <w:pPr>
        <w:adjustRightInd w:val="0"/>
        <w:snapToGrid w:val="0"/>
        <w:spacing w:line="500" w:lineRule="exact"/>
        <w:rPr>
          <w:rFonts w:ascii="宋体" w:hAnsi="宋体" w:cs="宋体"/>
          <w:sz w:val="28"/>
          <w:szCs w:val="28"/>
          <w:highlight w:val="none"/>
          <w:u w:val="dotted"/>
        </w:rPr>
      </w:pPr>
      <w:r>
        <w:rPr>
          <w:rFonts w:hint="eastAsia" w:ascii="宋体" w:hAnsi="宋体" w:cs="宋体"/>
          <w:sz w:val="28"/>
          <w:szCs w:val="28"/>
          <w:highlight w:val="none"/>
        </w:rPr>
        <w:t>授权代表：</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联系电话：</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地址：</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邮编：</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二、质疑项目基本情况</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质疑项目的名称：</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质疑项目的编号：</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包号：</w:t>
      </w:r>
    </w:p>
    <w:p>
      <w:pPr>
        <w:adjustRightInd w:val="0"/>
        <w:snapToGrid w:val="0"/>
        <w:spacing w:line="500" w:lineRule="exact"/>
        <w:rPr>
          <w:rFonts w:ascii="宋体" w:hAnsi="宋体" w:cs="宋体"/>
          <w:sz w:val="28"/>
          <w:szCs w:val="28"/>
          <w:highlight w:val="none"/>
          <w:u w:val="dotted"/>
        </w:rPr>
      </w:pPr>
      <w:r>
        <w:rPr>
          <w:rFonts w:hint="eastAsia" w:ascii="宋体" w:hAnsi="宋体" w:cs="宋体"/>
          <w:sz w:val="28"/>
          <w:szCs w:val="28"/>
          <w:highlight w:val="none"/>
        </w:rPr>
        <w:t>采购人名称：</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采购文件获取日期：</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三、质疑事项具体内容</w:t>
      </w:r>
    </w:p>
    <w:p>
      <w:pPr>
        <w:adjustRightInd w:val="0"/>
        <w:snapToGrid w:val="0"/>
        <w:spacing w:line="500" w:lineRule="exact"/>
        <w:rPr>
          <w:rFonts w:ascii="宋体" w:hAnsi="宋体" w:cs="宋体"/>
          <w:sz w:val="28"/>
          <w:szCs w:val="28"/>
          <w:highlight w:val="none"/>
          <w:u w:val="dotted"/>
        </w:rPr>
      </w:pPr>
      <w:r>
        <w:rPr>
          <w:rFonts w:hint="eastAsia" w:ascii="宋体" w:hAnsi="宋体" w:cs="宋体"/>
          <w:sz w:val="28"/>
          <w:szCs w:val="28"/>
          <w:highlight w:val="none"/>
        </w:rPr>
        <w:t>质疑事项1：</w:t>
      </w:r>
    </w:p>
    <w:p>
      <w:pPr>
        <w:adjustRightInd w:val="0"/>
        <w:snapToGrid w:val="0"/>
        <w:spacing w:line="500" w:lineRule="exact"/>
        <w:rPr>
          <w:rFonts w:ascii="宋体" w:hAnsi="宋体" w:cs="宋体"/>
          <w:sz w:val="28"/>
          <w:szCs w:val="28"/>
          <w:highlight w:val="none"/>
          <w:u w:val="dotted"/>
        </w:rPr>
      </w:pPr>
      <w:r>
        <w:rPr>
          <w:rFonts w:hint="eastAsia" w:ascii="宋体" w:hAnsi="宋体" w:cs="宋体"/>
          <w:sz w:val="28"/>
          <w:szCs w:val="28"/>
          <w:highlight w:val="none"/>
        </w:rPr>
        <w:t>事实依据：</w:t>
      </w:r>
    </w:p>
    <w:p>
      <w:pPr>
        <w:adjustRightInd w:val="0"/>
        <w:snapToGrid w:val="0"/>
        <w:spacing w:line="500" w:lineRule="exact"/>
        <w:rPr>
          <w:rFonts w:ascii="宋体" w:hAnsi="宋体" w:cs="宋体"/>
          <w:sz w:val="28"/>
          <w:szCs w:val="28"/>
          <w:highlight w:val="none"/>
        </w:rPr>
      </w:pPr>
    </w:p>
    <w:p>
      <w:pPr>
        <w:adjustRightInd w:val="0"/>
        <w:snapToGrid w:val="0"/>
        <w:spacing w:line="500" w:lineRule="exact"/>
        <w:rPr>
          <w:rFonts w:ascii="宋体" w:hAnsi="宋体" w:cs="宋体"/>
          <w:sz w:val="28"/>
          <w:szCs w:val="28"/>
          <w:highlight w:val="none"/>
          <w:u w:val="dotted"/>
        </w:rPr>
      </w:pPr>
      <w:r>
        <w:rPr>
          <w:rFonts w:hint="eastAsia" w:ascii="宋体" w:hAnsi="宋体" w:cs="宋体"/>
          <w:sz w:val="28"/>
          <w:szCs w:val="28"/>
          <w:highlight w:val="none"/>
        </w:rPr>
        <w:t>法律依据：</w:t>
      </w:r>
    </w:p>
    <w:p>
      <w:pPr>
        <w:adjustRightInd w:val="0"/>
        <w:snapToGrid w:val="0"/>
        <w:spacing w:line="500" w:lineRule="exact"/>
        <w:rPr>
          <w:rFonts w:ascii="宋体" w:hAnsi="宋体" w:cs="宋体"/>
          <w:sz w:val="28"/>
          <w:szCs w:val="28"/>
          <w:highlight w:val="none"/>
          <w:u w:val="dotted"/>
        </w:rPr>
      </w:pPr>
    </w:p>
    <w:p>
      <w:pPr>
        <w:adjustRightInd w:val="0"/>
        <w:snapToGrid w:val="0"/>
        <w:spacing w:line="500" w:lineRule="exact"/>
        <w:rPr>
          <w:rFonts w:ascii="宋体" w:hAnsi="宋体" w:cs="宋体"/>
          <w:sz w:val="28"/>
          <w:szCs w:val="28"/>
          <w:highlight w:val="none"/>
          <w:u w:val="dotted"/>
        </w:rPr>
      </w:pPr>
      <w:r>
        <w:rPr>
          <w:rFonts w:hint="eastAsia" w:ascii="宋体" w:hAnsi="宋体" w:cs="宋体"/>
          <w:sz w:val="28"/>
          <w:szCs w:val="28"/>
          <w:highlight w:val="none"/>
        </w:rPr>
        <w:t>质疑事项2</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四、与质疑事项相关的质疑请求</w:t>
      </w:r>
    </w:p>
    <w:p>
      <w:pPr>
        <w:adjustRightInd w:val="0"/>
        <w:snapToGrid w:val="0"/>
        <w:spacing w:line="500" w:lineRule="exact"/>
        <w:rPr>
          <w:rFonts w:ascii="宋体" w:hAnsi="宋体" w:cs="宋体"/>
          <w:sz w:val="28"/>
          <w:szCs w:val="28"/>
          <w:highlight w:val="none"/>
        </w:rPr>
      </w:pPr>
      <w:r>
        <w:rPr>
          <w:rFonts w:hint="eastAsia" w:ascii="宋体" w:hAnsi="宋体" w:cs="宋体"/>
          <w:sz w:val="28"/>
          <w:szCs w:val="28"/>
          <w:highlight w:val="none"/>
        </w:rPr>
        <w:t>请求：</w:t>
      </w:r>
    </w:p>
    <w:p>
      <w:pPr>
        <w:pStyle w:val="64"/>
        <w:rPr>
          <w:highlight w:val="none"/>
        </w:rPr>
      </w:pPr>
    </w:p>
    <w:p>
      <w:pPr>
        <w:spacing w:line="500" w:lineRule="exact"/>
        <w:rPr>
          <w:rFonts w:ascii="宋体" w:hAnsi="宋体" w:cs="宋体"/>
          <w:sz w:val="28"/>
          <w:szCs w:val="28"/>
          <w:highlight w:val="none"/>
        </w:rPr>
      </w:pPr>
      <w:r>
        <w:rPr>
          <w:rFonts w:hint="eastAsia" w:ascii="宋体" w:hAnsi="宋体" w:cs="宋体"/>
          <w:sz w:val="28"/>
          <w:szCs w:val="28"/>
          <w:highlight w:val="none"/>
        </w:rPr>
        <w:t xml:space="preserve">签字(签章)：                   公章：                      </w:t>
      </w:r>
    </w:p>
    <w:p>
      <w:pPr>
        <w:spacing w:line="500" w:lineRule="exact"/>
        <w:rPr>
          <w:rFonts w:ascii="宋体" w:hAnsi="宋体" w:cs="宋体"/>
          <w:sz w:val="28"/>
          <w:szCs w:val="28"/>
          <w:highlight w:val="none"/>
        </w:rPr>
      </w:pPr>
      <w:r>
        <w:rPr>
          <w:rFonts w:hint="eastAsia" w:ascii="宋体" w:hAnsi="宋体" w:cs="宋体"/>
          <w:sz w:val="28"/>
          <w:szCs w:val="28"/>
          <w:highlight w:val="none"/>
        </w:rPr>
        <w:t xml:space="preserve">日期：  </w:t>
      </w:r>
    </w:p>
    <w:p>
      <w:pPr>
        <w:spacing w:line="500" w:lineRule="exact"/>
        <w:rPr>
          <w:rFonts w:ascii="宋体" w:hAnsi="宋体" w:cs="宋体"/>
          <w:sz w:val="28"/>
          <w:szCs w:val="28"/>
          <w:highlight w:val="none"/>
        </w:rPr>
      </w:pPr>
      <w:r>
        <w:rPr>
          <w:rFonts w:hint="eastAsia" w:ascii="宋体" w:hAnsi="宋体" w:cs="宋体"/>
          <w:sz w:val="28"/>
          <w:szCs w:val="28"/>
          <w:highlight w:val="none"/>
        </w:rPr>
        <w:t xml:space="preserve">  </w:t>
      </w:r>
    </w:p>
    <w:p>
      <w:pPr>
        <w:adjustRightInd w:val="0"/>
        <w:snapToGrid w:val="0"/>
        <w:spacing w:line="360" w:lineRule="auto"/>
        <w:rPr>
          <w:rFonts w:ascii="宋体" w:hAnsi="宋体" w:cs="宋体"/>
          <w:sz w:val="28"/>
          <w:szCs w:val="28"/>
          <w:highlight w:val="none"/>
        </w:rPr>
      </w:pPr>
    </w:p>
    <w:p>
      <w:pPr>
        <w:adjustRightInd w:val="0"/>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质疑函制作说明：</w:t>
      </w:r>
    </w:p>
    <w:p>
      <w:pPr>
        <w:ind w:firstLine="560" w:firstLineChars="200"/>
        <w:rPr>
          <w:rFonts w:ascii="宋体" w:hAnsi="宋体" w:cs="宋体"/>
          <w:sz w:val="28"/>
          <w:szCs w:val="28"/>
          <w:highlight w:val="none"/>
        </w:rPr>
      </w:pPr>
      <w:r>
        <w:rPr>
          <w:rFonts w:hint="eastAsia" w:ascii="宋体" w:hAnsi="宋体" w:cs="宋体"/>
          <w:sz w:val="28"/>
          <w:szCs w:val="28"/>
          <w:highlight w:val="none"/>
        </w:rPr>
        <w:t>1.供应商提出质疑时，应提交质疑函和必要的证明材料。</w:t>
      </w:r>
    </w:p>
    <w:p>
      <w:pPr>
        <w:ind w:firstLine="560" w:firstLineChars="200"/>
        <w:rPr>
          <w:rFonts w:ascii="宋体" w:hAnsi="宋体" w:cs="宋体"/>
          <w:sz w:val="28"/>
          <w:szCs w:val="28"/>
          <w:highlight w:val="none"/>
        </w:rPr>
      </w:pPr>
      <w:r>
        <w:rPr>
          <w:rFonts w:hint="eastAsia" w:ascii="宋体" w:hAnsi="宋体" w:cs="宋体"/>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560" w:firstLineChars="200"/>
        <w:rPr>
          <w:rFonts w:ascii="宋体" w:hAnsi="宋体" w:cs="宋体"/>
          <w:sz w:val="28"/>
          <w:szCs w:val="28"/>
          <w:highlight w:val="none"/>
        </w:rPr>
      </w:pPr>
      <w:r>
        <w:rPr>
          <w:rFonts w:hint="eastAsia" w:ascii="宋体" w:hAnsi="宋体" w:cs="宋体"/>
          <w:sz w:val="28"/>
          <w:szCs w:val="28"/>
          <w:highlight w:val="none"/>
        </w:rPr>
        <w:t>3.质疑供应商若对项目的某一分包进行质疑，质疑函中应列明具体分包号。</w:t>
      </w:r>
    </w:p>
    <w:p>
      <w:pPr>
        <w:ind w:firstLine="560" w:firstLineChars="200"/>
        <w:rPr>
          <w:rFonts w:ascii="宋体" w:hAnsi="宋体" w:cs="宋体"/>
          <w:sz w:val="28"/>
          <w:szCs w:val="28"/>
          <w:highlight w:val="none"/>
        </w:rPr>
      </w:pPr>
      <w:r>
        <w:rPr>
          <w:rFonts w:hint="eastAsia" w:ascii="宋体" w:hAnsi="宋体" w:cs="宋体"/>
          <w:sz w:val="28"/>
          <w:szCs w:val="28"/>
          <w:highlight w:val="none"/>
        </w:rPr>
        <w:t>4.质疑函的质疑事项应具体、明确，并有必要的事实依据和法律依据。</w:t>
      </w:r>
    </w:p>
    <w:p>
      <w:pPr>
        <w:ind w:firstLine="560" w:firstLineChars="200"/>
        <w:rPr>
          <w:rFonts w:ascii="宋体" w:hAnsi="宋体" w:cs="宋体"/>
          <w:sz w:val="28"/>
          <w:szCs w:val="28"/>
          <w:highlight w:val="none"/>
        </w:rPr>
      </w:pPr>
      <w:r>
        <w:rPr>
          <w:rFonts w:hint="eastAsia" w:ascii="宋体" w:hAnsi="宋体" w:cs="宋体"/>
          <w:sz w:val="28"/>
          <w:szCs w:val="28"/>
          <w:highlight w:val="none"/>
        </w:rPr>
        <w:t>5.质疑函的质疑请求应与质疑事项相关。</w:t>
      </w:r>
    </w:p>
    <w:p>
      <w:pPr>
        <w:ind w:firstLine="560" w:firstLineChars="200"/>
        <w:rPr>
          <w:rFonts w:ascii="宋体" w:hAnsi="宋体" w:cs="宋体"/>
          <w:sz w:val="28"/>
          <w:szCs w:val="28"/>
          <w:highlight w:val="none"/>
        </w:rPr>
      </w:pPr>
      <w:r>
        <w:rPr>
          <w:rFonts w:hint="eastAsia" w:ascii="宋体" w:hAnsi="宋体" w:cs="宋体"/>
          <w:sz w:val="28"/>
          <w:szCs w:val="28"/>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cs="宋体"/>
          <w:b/>
          <w:bCs/>
          <w:sz w:val="28"/>
          <w:szCs w:val="28"/>
          <w:highlight w:val="none"/>
        </w:rPr>
      </w:pPr>
      <w:r>
        <w:rPr>
          <w:rFonts w:hint="eastAsia" w:ascii="宋体" w:hAnsi="宋体" w:cs="宋体"/>
          <w:b/>
          <w:sz w:val="28"/>
          <w:szCs w:val="28"/>
          <w:highlight w:val="none"/>
        </w:rPr>
        <w:br w:type="page"/>
      </w:r>
      <w:r>
        <w:rPr>
          <w:rFonts w:hint="eastAsia" w:ascii="宋体" w:hAnsi="宋体" w:cs="宋体"/>
          <w:b/>
          <w:bCs/>
          <w:sz w:val="28"/>
          <w:szCs w:val="28"/>
          <w:highlight w:val="none"/>
        </w:rPr>
        <w:t>3：投诉书格式</w:t>
      </w:r>
    </w:p>
    <w:p>
      <w:pPr>
        <w:pStyle w:val="36"/>
        <w:snapToGrid w:val="0"/>
        <w:spacing w:line="360" w:lineRule="auto"/>
        <w:ind w:firstLine="560"/>
        <w:jc w:val="center"/>
        <w:rPr>
          <w:rStyle w:val="44"/>
          <w:rFonts w:ascii="宋体" w:hAnsi="宋体" w:cs="宋体"/>
          <w:b w:val="0"/>
          <w:sz w:val="28"/>
          <w:szCs w:val="28"/>
          <w:highlight w:val="none"/>
        </w:rPr>
      </w:pPr>
      <w:r>
        <w:rPr>
          <w:rStyle w:val="44"/>
          <w:rFonts w:hint="eastAsia" w:ascii="宋体" w:hAnsi="宋体" w:cs="宋体"/>
          <w:sz w:val="28"/>
          <w:szCs w:val="28"/>
          <w:highlight w:val="none"/>
        </w:rPr>
        <w:t>投  诉  书</w:t>
      </w:r>
    </w:p>
    <w:p>
      <w:pPr>
        <w:spacing w:line="360" w:lineRule="auto"/>
        <w:rPr>
          <w:rFonts w:ascii="宋体" w:hAnsi="宋体" w:cs="宋体"/>
          <w:sz w:val="28"/>
          <w:szCs w:val="28"/>
          <w:highlight w:val="none"/>
        </w:rPr>
      </w:pPr>
      <w:r>
        <w:rPr>
          <w:rFonts w:hint="eastAsia" w:ascii="宋体" w:hAnsi="宋体" w:cs="宋体"/>
          <w:sz w:val="28"/>
          <w:szCs w:val="28"/>
          <w:highlight w:val="none"/>
        </w:rPr>
        <w:t>一、投诉相关主体基本情况</w:t>
      </w:r>
    </w:p>
    <w:p>
      <w:pPr>
        <w:spacing w:line="360" w:lineRule="auto"/>
        <w:rPr>
          <w:rFonts w:ascii="宋体" w:hAnsi="宋体" w:cs="宋体"/>
          <w:sz w:val="28"/>
          <w:szCs w:val="28"/>
          <w:highlight w:val="none"/>
          <w:u w:val="dotted"/>
        </w:rPr>
      </w:pPr>
      <w:r>
        <w:rPr>
          <w:rFonts w:hint="eastAsia" w:ascii="宋体" w:hAnsi="宋体" w:cs="宋体"/>
          <w:sz w:val="28"/>
          <w:szCs w:val="28"/>
          <w:highlight w:val="none"/>
        </w:rPr>
        <w:t>投诉人：</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地     址：邮编：</w:t>
      </w:r>
    </w:p>
    <w:p>
      <w:pPr>
        <w:spacing w:line="360" w:lineRule="auto"/>
        <w:rPr>
          <w:rFonts w:ascii="宋体" w:hAnsi="宋体" w:cs="宋体"/>
          <w:sz w:val="28"/>
          <w:szCs w:val="28"/>
          <w:highlight w:val="none"/>
        </w:rPr>
      </w:pPr>
      <w:r>
        <w:rPr>
          <w:rFonts w:hint="eastAsia" w:ascii="宋体" w:hAnsi="宋体" w:cs="宋体"/>
          <w:sz w:val="28"/>
          <w:szCs w:val="28"/>
          <w:highlight w:val="none"/>
        </w:rPr>
        <w:t>法定代表人/主要负责人：</w:t>
      </w:r>
    </w:p>
    <w:p>
      <w:pPr>
        <w:spacing w:line="360" w:lineRule="auto"/>
        <w:rPr>
          <w:rFonts w:ascii="宋体" w:hAnsi="宋体" w:cs="宋体"/>
          <w:sz w:val="28"/>
          <w:szCs w:val="28"/>
          <w:highlight w:val="none"/>
          <w:u w:val="dotted"/>
        </w:rPr>
      </w:pPr>
      <w:r>
        <w:rPr>
          <w:rFonts w:hint="eastAsia" w:ascii="宋体" w:hAnsi="宋体" w:cs="宋体"/>
          <w:sz w:val="28"/>
          <w:szCs w:val="28"/>
          <w:highlight w:val="none"/>
        </w:rPr>
        <w:t>联系电话：</w:t>
      </w:r>
    </w:p>
    <w:p>
      <w:pPr>
        <w:spacing w:line="360" w:lineRule="auto"/>
        <w:rPr>
          <w:rFonts w:ascii="宋体" w:hAnsi="宋体" w:cs="宋体"/>
          <w:sz w:val="28"/>
          <w:szCs w:val="28"/>
          <w:highlight w:val="none"/>
          <w:u w:val="dotted"/>
        </w:rPr>
      </w:pPr>
      <w:r>
        <w:rPr>
          <w:rFonts w:hint="eastAsia" w:ascii="宋体" w:hAnsi="宋体" w:cs="宋体"/>
          <w:sz w:val="28"/>
          <w:szCs w:val="28"/>
          <w:highlight w:val="none"/>
        </w:rPr>
        <w:t>授权代表：</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p>
    <w:p>
      <w:pPr>
        <w:spacing w:after="240" w:afterLines="100" w:line="360" w:lineRule="auto"/>
        <w:rPr>
          <w:rFonts w:ascii="宋体" w:hAnsi="宋体" w:cs="宋体"/>
          <w:sz w:val="28"/>
          <w:szCs w:val="28"/>
          <w:highlight w:val="none"/>
        </w:rPr>
      </w:pPr>
      <w:r>
        <w:rPr>
          <w:rFonts w:hint="eastAsia" w:ascii="宋体" w:hAnsi="宋体" w:cs="宋体"/>
          <w:sz w:val="28"/>
          <w:szCs w:val="28"/>
          <w:highlight w:val="none"/>
        </w:rPr>
        <w:t>地     址：</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邮编：</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被投诉人1：</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邮编：</w:t>
      </w:r>
    </w:p>
    <w:p>
      <w:pPr>
        <w:spacing w:after="240" w:afterLines="100" w:line="360" w:lineRule="auto"/>
        <w:rPr>
          <w:rFonts w:ascii="宋体" w:hAnsi="宋体" w:cs="宋体"/>
          <w:sz w:val="28"/>
          <w:szCs w:val="28"/>
          <w:highlight w:val="none"/>
          <w:u w:val="single"/>
        </w:rPr>
      </w:pPr>
      <w:r>
        <w:rPr>
          <w:rFonts w:hint="eastAsia" w:ascii="宋体" w:hAnsi="宋体" w:cs="宋体"/>
          <w:sz w:val="28"/>
          <w:szCs w:val="28"/>
          <w:highlight w:val="none"/>
        </w:rPr>
        <w:t>联系人：</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联系电话：</w:t>
      </w:r>
    </w:p>
    <w:p>
      <w:pPr>
        <w:spacing w:line="360" w:lineRule="auto"/>
        <w:rPr>
          <w:rFonts w:ascii="宋体" w:hAnsi="宋体" w:cs="宋体"/>
          <w:sz w:val="28"/>
          <w:szCs w:val="28"/>
          <w:highlight w:val="none"/>
        </w:rPr>
      </w:pPr>
      <w:r>
        <w:rPr>
          <w:rFonts w:hint="eastAsia" w:ascii="宋体" w:hAnsi="宋体" w:cs="宋体"/>
          <w:sz w:val="28"/>
          <w:szCs w:val="28"/>
          <w:highlight w:val="none"/>
        </w:rPr>
        <w:t>被投诉人2</w:t>
      </w:r>
    </w:p>
    <w:p>
      <w:pPr>
        <w:spacing w:line="360" w:lineRule="auto"/>
        <w:rPr>
          <w:rFonts w:ascii="宋体" w:hAnsi="宋体" w:cs="宋体"/>
          <w:sz w:val="28"/>
          <w:szCs w:val="28"/>
          <w:highlight w:val="none"/>
          <w:u w:val="dotted"/>
        </w:rPr>
      </w:pPr>
      <w:r>
        <w:rPr>
          <w:rFonts w:hint="eastAsia" w:ascii="宋体" w:hAnsi="宋体" w:cs="宋体"/>
          <w:sz w:val="28"/>
          <w:szCs w:val="28"/>
          <w:highlight w:val="none"/>
        </w:rPr>
        <w:t>……</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相关供应商：</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邮编：</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联系人：</w:t>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ab/>
      </w:r>
      <w:r>
        <w:rPr>
          <w:rFonts w:hint="eastAsia" w:ascii="宋体" w:hAnsi="宋体" w:cs="宋体"/>
          <w:sz w:val="28"/>
          <w:szCs w:val="28"/>
          <w:highlight w:val="none"/>
        </w:rPr>
        <w:t>联系电话：</w:t>
      </w:r>
    </w:p>
    <w:p>
      <w:pPr>
        <w:spacing w:line="360" w:lineRule="auto"/>
        <w:rPr>
          <w:rFonts w:ascii="宋体" w:hAnsi="宋体" w:cs="宋体"/>
          <w:sz w:val="28"/>
          <w:szCs w:val="28"/>
          <w:highlight w:val="none"/>
        </w:rPr>
      </w:pPr>
      <w:r>
        <w:rPr>
          <w:rFonts w:hint="eastAsia" w:ascii="宋体" w:hAnsi="宋体" w:cs="宋体"/>
          <w:sz w:val="28"/>
          <w:szCs w:val="28"/>
          <w:highlight w:val="none"/>
        </w:rPr>
        <w:t>二、投诉项目基本情况</w:t>
      </w:r>
    </w:p>
    <w:p>
      <w:pPr>
        <w:spacing w:line="360" w:lineRule="auto"/>
        <w:rPr>
          <w:rFonts w:ascii="宋体" w:hAnsi="宋体" w:cs="宋体"/>
          <w:sz w:val="28"/>
          <w:szCs w:val="28"/>
          <w:highlight w:val="none"/>
          <w:u w:val="dotted"/>
        </w:rPr>
      </w:pPr>
      <w:r>
        <w:rPr>
          <w:rFonts w:hint="eastAsia" w:ascii="宋体" w:hAnsi="宋体" w:cs="宋体"/>
          <w:sz w:val="28"/>
          <w:szCs w:val="28"/>
          <w:highlight w:val="none"/>
        </w:rPr>
        <w:t>采购项目名称：</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采购项目编号：包号：</w:t>
      </w:r>
    </w:p>
    <w:p>
      <w:pPr>
        <w:spacing w:line="360" w:lineRule="auto"/>
        <w:rPr>
          <w:rFonts w:ascii="宋体" w:hAnsi="宋体" w:cs="宋体"/>
          <w:sz w:val="28"/>
          <w:szCs w:val="28"/>
          <w:highlight w:val="none"/>
        </w:rPr>
      </w:pPr>
      <w:r>
        <w:rPr>
          <w:rFonts w:hint="eastAsia" w:ascii="宋体" w:hAnsi="宋体" w:cs="宋体"/>
          <w:sz w:val="28"/>
          <w:szCs w:val="28"/>
          <w:highlight w:val="none"/>
        </w:rPr>
        <w:t>采购人名称：</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代理机构名称：</w:t>
      </w:r>
    </w:p>
    <w:p>
      <w:pPr>
        <w:spacing w:line="360" w:lineRule="auto"/>
        <w:rPr>
          <w:rFonts w:ascii="宋体" w:hAnsi="宋体" w:cs="宋体"/>
          <w:sz w:val="28"/>
          <w:szCs w:val="28"/>
          <w:highlight w:val="none"/>
          <w:u w:val="dotted"/>
        </w:rPr>
      </w:pPr>
      <w:r>
        <w:rPr>
          <w:rFonts w:hint="eastAsia" w:ascii="宋体" w:hAnsi="宋体" w:cs="宋体"/>
          <w:sz w:val="28"/>
          <w:szCs w:val="28"/>
          <w:highlight w:val="none"/>
        </w:rPr>
        <w:t>采购文件公告:</w:t>
      </w:r>
      <w:r>
        <w:rPr>
          <w:rFonts w:hint="eastAsia" w:ascii="宋体" w:hAnsi="宋体" w:cs="宋体"/>
          <w:sz w:val="28"/>
          <w:szCs w:val="28"/>
          <w:highlight w:val="none"/>
          <w:u w:val="dotted"/>
        </w:rPr>
        <w:t xml:space="preserve">是/否 </w:t>
      </w:r>
      <w:r>
        <w:rPr>
          <w:rFonts w:hint="eastAsia" w:ascii="宋体" w:hAnsi="宋体" w:cs="宋体"/>
          <w:sz w:val="28"/>
          <w:szCs w:val="28"/>
          <w:highlight w:val="none"/>
        </w:rPr>
        <w:t>公告期限：</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采购结果公告:</w:t>
      </w:r>
      <w:r>
        <w:rPr>
          <w:rFonts w:hint="eastAsia" w:ascii="宋体" w:hAnsi="宋体" w:cs="宋体"/>
          <w:sz w:val="28"/>
          <w:szCs w:val="28"/>
          <w:highlight w:val="none"/>
          <w:u w:val="dotted"/>
        </w:rPr>
        <w:t xml:space="preserve">是/否 </w:t>
      </w:r>
      <w:r>
        <w:rPr>
          <w:rFonts w:hint="eastAsia" w:ascii="宋体" w:hAnsi="宋体" w:cs="宋体"/>
          <w:sz w:val="28"/>
          <w:szCs w:val="28"/>
          <w:highlight w:val="none"/>
        </w:rPr>
        <w:t>公告期限：</w:t>
      </w:r>
    </w:p>
    <w:p>
      <w:pPr>
        <w:spacing w:line="360" w:lineRule="auto"/>
        <w:rPr>
          <w:rFonts w:ascii="宋体" w:hAnsi="宋体" w:cs="宋体"/>
          <w:sz w:val="28"/>
          <w:szCs w:val="28"/>
          <w:highlight w:val="none"/>
        </w:rPr>
      </w:pPr>
      <w:r>
        <w:rPr>
          <w:rFonts w:hint="eastAsia" w:ascii="宋体" w:hAnsi="宋体" w:cs="宋体"/>
          <w:sz w:val="28"/>
          <w:szCs w:val="28"/>
          <w:highlight w:val="none"/>
        </w:rPr>
        <w:t>三、质疑基本情况</w:t>
      </w:r>
    </w:p>
    <w:p>
      <w:pPr>
        <w:spacing w:after="240" w:afterLines="100" w:line="360" w:lineRule="auto"/>
        <w:ind w:firstLine="560" w:firstLineChars="200"/>
        <w:rPr>
          <w:rFonts w:ascii="宋体" w:hAnsi="宋体" w:cs="宋体"/>
          <w:sz w:val="28"/>
          <w:szCs w:val="28"/>
          <w:highlight w:val="none"/>
          <w:u w:val="dotted"/>
        </w:rPr>
      </w:pPr>
      <w:r>
        <w:rPr>
          <w:rFonts w:hint="eastAsia" w:ascii="宋体" w:hAnsi="宋体" w:cs="宋体"/>
          <w:sz w:val="28"/>
          <w:szCs w:val="28"/>
          <w:highlight w:val="none"/>
        </w:rPr>
        <w:t>投诉人于年月日,向提出质疑，质疑事项为：</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u w:val="dotted"/>
        </w:rPr>
        <w:t>采购人/代理机构</w:t>
      </w:r>
      <w:r>
        <w:rPr>
          <w:rFonts w:hint="eastAsia" w:ascii="宋体" w:hAnsi="宋体" w:cs="宋体"/>
          <w:sz w:val="28"/>
          <w:szCs w:val="28"/>
          <w:highlight w:val="none"/>
        </w:rPr>
        <w:t>于年月日,就质疑事项作出了答复/没有在法定期限内作出答复。</w:t>
      </w:r>
    </w:p>
    <w:p>
      <w:pPr>
        <w:spacing w:line="360" w:lineRule="auto"/>
        <w:rPr>
          <w:rFonts w:ascii="宋体" w:hAnsi="宋体" w:cs="宋体"/>
          <w:sz w:val="28"/>
          <w:szCs w:val="28"/>
          <w:highlight w:val="none"/>
        </w:rPr>
      </w:pPr>
      <w:r>
        <w:rPr>
          <w:rFonts w:hint="eastAsia" w:ascii="宋体" w:hAnsi="宋体" w:cs="宋体"/>
          <w:sz w:val="28"/>
          <w:szCs w:val="28"/>
          <w:highlight w:val="none"/>
        </w:rPr>
        <w:t>四、投诉事项具体内容</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投诉事项 1：</w:t>
      </w:r>
    </w:p>
    <w:p>
      <w:pPr>
        <w:spacing w:after="120" w:afterLines="50" w:line="360" w:lineRule="auto"/>
        <w:rPr>
          <w:rFonts w:ascii="宋体" w:hAnsi="宋体" w:cs="宋体"/>
          <w:sz w:val="28"/>
          <w:szCs w:val="28"/>
          <w:highlight w:val="none"/>
        </w:rPr>
      </w:pPr>
      <w:r>
        <w:rPr>
          <w:rFonts w:hint="eastAsia" w:ascii="宋体" w:hAnsi="宋体" w:cs="宋体"/>
          <w:sz w:val="28"/>
          <w:szCs w:val="28"/>
          <w:highlight w:val="none"/>
        </w:rPr>
        <w:t>事实依据：</w:t>
      </w:r>
    </w:p>
    <w:p>
      <w:pPr>
        <w:spacing w:after="120" w:afterLines="50" w:line="360" w:lineRule="auto"/>
        <w:rPr>
          <w:rFonts w:ascii="宋体" w:hAnsi="宋体" w:cs="宋体"/>
          <w:sz w:val="28"/>
          <w:szCs w:val="28"/>
          <w:highlight w:val="none"/>
        </w:rPr>
      </w:pPr>
      <w:r>
        <w:rPr>
          <w:rFonts w:hint="eastAsia" w:ascii="宋体" w:hAnsi="宋体" w:cs="宋体"/>
          <w:sz w:val="28"/>
          <w:szCs w:val="28"/>
          <w:highlight w:val="none"/>
        </w:rPr>
        <w:t>法律依据：</w:t>
      </w:r>
    </w:p>
    <w:p>
      <w:pPr>
        <w:spacing w:line="360" w:lineRule="auto"/>
        <w:rPr>
          <w:rFonts w:ascii="宋体" w:hAnsi="宋体" w:cs="宋体"/>
          <w:sz w:val="28"/>
          <w:szCs w:val="28"/>
          <w:highlight w:val="none"/>
        </w:rPr>
      </w:pPr>
      <w:r>
        <w:rPr>
          <w:rFonts w:hint="eastAsia" w:ascii="宋体" w:hAnsi="宋体" w:cs="宋体"/>
          <w:sz w:val="28"/>
          <w:szCs w:val="28"/>
          <w:highlight w:val="none"/>
        </w:rPr>
        <w:t>投诉事项2</w:t>
      </w:r>
    </w:p>
    <w:p>
      <w:pPr>
        <w:spacing w:line="360" w:lineRule="auto"/>
        <w:rPr>
          <w:rFonts w:ascii="宋体" w:hAnsi="宋体" w:cs="宋体"/>
          <w:sz w:val="28"/>
          <w:szCs w:val="28"/>
          <w:highlight w:val="none"/>
        </w:rPr>
      </w:pPr>
      <w:r>
        <w:rPr>
          <w:rFonts w:hint="eastAsia" w:ascii="宋体" w:hAnsi="宋体" w:cs="宋体"/>
          <w:sz w:val="28"/>
          <w:szCs w:val="28"/>
          <w:highlight w:val="none"/>
        </w:rPr>
        <w:t>……</w:t>
      </w:r>
    </w:p>
    <w:p>
      <w:pPr>
        <w:spacing w:line="360" w:lineRule="auto"/>
        <w:rPr>
          <w:rFonts w:ascii="宋体" w:hAnsi="宋体" w:cs="宋体"/>
          <w:sz w:val="28"/>
          <w:szCs w:val="28"/>
          <w:highlight w:val="none"/>
        </w:rPr>
      </w:pPr>
      <w:r>
        <w:rPr>
          <w:rFonts w:hint="eastAsia" w:ascii="宋体" w:hAnsi="宋体" w:cs="宋体"/>
          <w:sz w:val="28"/>
          <w:szCs w:val="28"/>
          <w:highlight w:val="none"/>
        </w:rPr>
        <w:t>五、与投诉事项相关的投诉请求</w:t>
      </w:r>
    </w:p>
    <w:p>
      <w:pPr>
        <w:spacing w:after="240" w:afterLines="100" w:line="360" w:lineRule="auto"/>
        <w:rPr>
          <w:rFonts w:ascii="宋体" w:hAnsi="宋体" w:cs="宋体"/>
          <w:sz w:val="28"/>
          <w:szCs w:val="28"/>
          <w:highlight w:val="none"/>
        </w:rPr>
      </w:pPr>
      <w:r>
        <w:rPr>
          <w:rFonts w:hint="eastAsia" w:ascii="宋体" w:hAnsi="宋体" w:cs="宋体"/>
          <w:sz w:val="28"/>
          <w:szCs w:val="28"/>
          <w:highlight w:val="none"/>
        </w:rPr>
        <w:t>请求：</w:t>
      </w:r>
    </w:p>
    <w:p>
      <w:pPr>
        <w:spacing w:line="360" w:lineRule="auto"/>
        <w:rPr>
          <w:rFonts w:ascii="宋体" w:hAnsi="宋体" w:cs="宋体"/>
          <w:sz w:val="28"/>
          <w:szCs w:val="28"/>
          <w:highlight w:val="none"/>
        </w:rPr>
      </w:pPr>
      <w:r>
        <w:rPr>
          <w:rFonts w:hint="eastAsia" w:ascii="宋体" w:hAnsi="宋体" w:cs="宋体"/>
          <w:sz w:val="28"/>
          <w:szCs w:val="28"/>
          <w:highlight w:val="none"/>
        </w:rPr>
        <w:t xml:space="preserve">签字(签章)：                   公章：                      </w:t>
      </w:r>
    </w:p>
    <w:p>
      <w:pPr>
        <w:spacing w:line="360" w:lineRule="auto"/>
        <w:rPr>
          <w:rFonts w:ascii="宋体" w:hAnsi="宋体" w:cs="宋体"/>
          <w:sz w:val="28"/>
          <w:szCs w:val="28"/>
          <w:highlight w:val="none"/>
        </w:rPr>
      </w:pPr>
      <w:r>
        <w:rPr>
          <w:rFonts w:hint="eastAsia" w:ascii="宋体" w:hAnsi="宋体" w:cs="宋体"/>
          <w:sz w:val="28"/>
          <w:szCs w:val="28"/>
          <w:highlight w:val="none"/>
        </w:rPr>
        <w:t xml:space="preserve">日期：    </w:t>
      </w:r>
    </w:p>
    <w:p>
      <w:pPr>
        <w:pStyle w:val="12"/>
        <w:rPr>
          <w:highlight w:val="none"/>
        </w:rPr>
      </w:pPr>
    </w:p>
    <w:p>
      <w:pPr>
        <w:rPr>
          <w:rFonts w:ascii="宋体" w:hAnsi="宋体" w:cs="宋体"/>
          <w:b/>
          <w:bCs/>
          <w:sz w:val="28"/>
          <w:szCs w:val="28"/>
          <w:highlight w:val="none"/>
        </w:rPr>
      </w:pPr>
      <w:r>
        <w:rPr>
          <w:rFonts w:hint="eastAsia" w:ascii="宋体" w:hAnsi="宋体" w:cs="宋体"/>
          <w:b/>
          <w:bCs/>
          <w:sz w:val="28"/>
          <w:szCs w:val="28"/>
          <w:highlight w:val="none"/>
        </w:rPr>
        <w:t>投诉书制作说明：</w:t>
      </w:r>
    </w:p>
    <w:p>
      <w:pPr>
        <w:ind w:firstLine="560" w:firstLineChars="200"/>
        <w:rPr>
          <w:rFonts w:ascii="宋体" w:hAnsi="宋体" w:cs="宋体"/>
          <w:sz w:val="28"/>
          <w:szCs w:val="28"/>
          <w:highlight w:val="none"/>
        </w:rPr>
      </w:pPr>
      <w:r>
        <w:rPr>
          <w:rFonts w:hint="eastAsia" w:ascii="宋体" w:hAnsi="宋体" w:cs="宋体"/>
          <w:sz w:val="28"/>
          <w:szCs w:val="28"/>
          <w:highlight w:val="none"/>
        </w:rPr>
        <w:t>1.投诉人提起投诉时，应当提交投诉书和必要的证明材料，并按照被投诉人和与投诉事项有关的供应商数量提供投诉书副本。</w:t>
      </w:r>
    </w:p>
    <w:p>
      <w:pPr>
        <w:ind w:firstLine="560" w:firstLineChars="200"/>
        <w:rPr>
          <w:rFonts w:ascii="宋体" w:hAnsi="宋体" w:cs="宋体"/>
          <w:sz w:val="28"/>
          <w:szCs w:val="28"/>
          <w:highlight w:val="none"/>
        </w:rPr>
      </w:pPr>
      <w:r>
        <w:rPr>
          <w:rFonts w:hint="eastAsia" w:ascii="宋体" w:hAnsi="宋体" w:cs="宋体"/>
          <w:sz w:val="28"/>
          <w:szCs w:val="28"/>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560" w:firstLineChars="200"/>
        <w:rPr>
          <w:rFonts w:ascii="宋体" w:hAnsi="宋体" w:cs="宋体"/>
          <w:sz w:val="28"/>
          <w:szCs w:val="28"/>
          <w:highlight w:val="none"/>
        </w:rPr>
      </w:pPr>
      <w:r>
        <w:rPr>
          <w:rFonts w:hint="eastAsia" w:ascii="宋体" w:hAnsi="宋体" w:cs="宋体"/>
          <w:sz w:val="28"/>
          <w:szCs w:val="28"/>
          <w:highlight w:val="none"/>
        </w:rPr>
        <w:t>3.投诉人若对项目的某一分包进行投诉，投诉书应列明具体分包号。</w:t>
      </w:r>
    </w:p>
    <w:p>
      <w:pPr>
        <w:ind w:firstLine="560" w:firstLineChars="200"/>
        <w:rPr>
          <w:rFonts w:ascii="宋体" w:hAnsi="宋体" w:cs="宋体"/>
          <w:sz w:val="28"/>
          <w:szCs w:val="28"/>
          <w:highlight w:val="none"/>
        </w:rPr>
      </w:pPr>
      <w:r>
        <w:rPr>
          <w:rFonts w:hint="eastAsia" w:ascii="宋体" w:hAnsi="宋体" w:cs="宋体"/>
          <w:sz w:val="28"/>
          <w:szCs w:val="28"/>
          <w:highlight w:val="none"/>
        </w:rPr>
        <w:t>4.投诉书应简要列明质疑事项，质疑函、质疑答复等作为附件材料提供。</w:t>
      </w:r>
    </w:p>
    <w:p>
      <w:pPr>
        <w:ind w:firstLine="560" w:firstLineChars="200"/>
        <w:rPr>
          <w:rFonts w:ascii="宋体" w:hAnsi="宋体" w:cs="宋体"/>
          <w:sz w:val="28"/>
          <w:szCs w:val="28"/>
          <w:highlight w:val="none"/>
        </w:rPr>
      </w:pPr>
      <w:r>
        <w:rPr>
          <w:rFonts w:hint="eastAsia" w:ascii="宋体" w:hAnsi="宋体" w:cs="宋体"/>
          <w:sz w:val="28"/>
          <w:szCs w:val="28"/>
          <w:highlight w:val="none"/>
        </w:rPr>
        <w:t>5.投诉书的投诉事项应具体、明确，并有必要的事实依据和法律依据。</w:t>
      </w:r>
    </w:p>
    <w:p>
      <w:pPr>
        <w:ind w:firstLine="560" w:firstLineChars="200"/>
        <w:rPr>
          <w:rFonts w:ascii="宋体" w:hAnsi="宋体" w:cs="宋体"/>
          <w:sz w:val="28"/>
          <w:szCs w:val="28"/>
          <w:highlight w:val="none"/>
        </w:rPr>
      </w:pPr>
      <w:r>
        <w:rPr>
          <w:rFonts w:hint="eastAsia" w:ascii="宋体" w:hAnsi="宋体" w:cs="宋体"/>
          <w:sz w:val="28"/>
          <w:szCs w:val="28"/>
          <w:highlight w:val="none"/>
        </w:rPr>
        <w:t>6.投诉书的投诉请求应与投诉事项相关。</w:t>
      </w:r>
    </w:p>
    <w:p>
      <w:pPr>
        <w:ind w:firstLine="560" w:firstLineChars="200"/>
        <w:rPr>
          <w:rFonts w:ascii="宋体" w:hAnsi="宋体" w:cs="宋体"/>
          <w:highlight w:val="none"/>
        </w:rPr>
      </w:pPr>
      <w:r>
        <w:rPr>
          <w:rFonts w:hint="eastAsia" w:ascii="宋体" w:hAnsi="宋体" w:cs="宋体"/>
          <w:sz w:val="28"/>
          <w:szCs w:val="28"/>
          <w:highlight w:val="none"/>
        </w:rPr>
        <w:t>7.投诉人为自然人的，投诉书应当由本人签字；投诉人为法人或者其他组织的，投诉书应当由法定代表人、主要负责人，或者其授权代表签字或者盖章，并加盖公章。</w:t>
      </w:r>
    </w:p>
    <w:sectPr>
      <w:footerReference r:id="rId13" w:type="default"/>
      <w:pgSz w:w="11907" w:h="16840"/>
      <w:pgMar w:top="1440" w:right="1800" w:bottom="1440" w:left="1800" w:header="737" w:footer="73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Bookshelf Symbol 7">
    <w:panose1 w:val="05010101010101010101"/>
    <w:charset w:val="02"/>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WMFsQBAACQ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qWMFsQBAACQAwAADgAAAAAAAAABACAAAAAeAQAAZHJzL2Uyb0RvYy54bWxQ&#10;SwUGAAAAAAYABgBZAQAAVAUAAAAA&#10;">
              <v:fill on="f" focussize="0,0"/>
              <v:stroke on="f"/>
              <v:imagedata o:title=""/>
              <o:lock v:ext="edit" aspectratio="f"/>
              <v:textbox inset="0mm,0mm,0mm,0mm" style="mso-fit-shape-to-text:t;">
                <w:txbxContent>
                  <w:p>
                    <w:pPr>
                      <w:pStyle w:val="2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5"/>
      </w:rPr>
    </w:pPr>
    <w:r>
      <w:fldChar w:fldCharType="begin"/>
    </w:r>
    <w:r>
      <w:rPr>
        <w:rStyle w:val="45"/>
      </w:rPr>
      <w:instrText xml:space="preserve">PAGE  </w:instrText>
    </w:r>
    <w:r>
      <w:fldChar w:fldCharType="separate"/>
    </w:r>
    <w:r>
      <w:rPr>
        <w:rStyle w:val="45"/>
      </w:rPr>
      <w:t>17</w:t>
    </w:r>
    <w:r>
      <w:fldChar w:fldCharType="end"/>
    </w:r>
  </w:p>
  <w:p>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pPr>
      <w:pStyle w:val="2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92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24485" cy="13462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324485" cy="134620"/>
                      </a:xfrm>
                      <a:prstGeom prst="rect">
                        <a:avLst/>
                      </a:prstGeom>
                      <a:noFill/>
                      <a:ln>
                        <a:noFill/>
                      </a:ln>
                    </wps:spPr>
                    <wps:txbx>
                      <w:txbxContent>
                        <w:p>
                          <w:pPr>
                            <w:pStyle w:val="24"/>
                            <w:jc w:val="center"/>
                          </w:pPr>
                          <w:r>
                            <w:fldChar w:fldCharType="begin"/>
                          </w:r>
                          <w:r>
                            <w:rPr>
                              <w:rStyle w:val="45"/>
                            </w:rPr>
                            <w:instrText xml:space="preserve"> PAGE </w:instrText>
                          </w:r>
                          <w:r>
                            <w:fldChar w:fldCharType="separate"/>
                          </w:r>
                          <w:r>
                            <w:rPr>
                              <w:rStyle w:val="45"/>
                            </w:rPr>
                            <w:t>98</w:t>
                          </w:r>
                          <w:r>
                            <w:fldChar w:fldCharType="end"/>
                          </w:r>
                        </w:p>
                      </w:txbxContent>
                    </wps:txbx>
                    <wps:bodyPr wrap="square" lIns="0" tIns="0" rIns="0" bIns="0"/>
                  </wps:wsp>
                </a:graphicData>
              </a:graphic>
            </wp:anchor>
          </w:drawing>
        </mc:Choice>
        <mc:Fallback>
          <w:pict>
            <v:shape id="文本框 1026" o:spid="_x0000_s1026" o:spt="202" type="#_x0000_t202" style="position:absolute;left:0pt;margin-top:0pt;height:10.6pt;width:25.55pt;mso-position-horizontal:center;mso-position-horizontal-relative:margin;z-index:251660288;mso-width-relative:page;mso-height-relative:page;" filled="f" stroked="f" coordsize="21600,21600" o:gfxdata="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FOVZjUAAAAAwEAAA8AAAAAAAAAAQAgAAAAIgAAAGRycy9kb3ducmV2LnhtbFBL&#10;AQIUABQAAAAIAIdO4kAHNBAdwQEAAHYDAAAOAAAAAAAAAAEAIAAAACMBAABkcnMvZTJvRG9jLnht&#10;bFBLBQYAAAAABgAGAFkBAABWBQAAAAA=&#10;">
              <v:fill on="f" focussize="0,0"/>
              <v:stroke on="f"/>
              <v:imagedata o:title=""/>
              <o:lock v:ext="edit" aspectratio="f"/>
              <v:textbox inset="0mm,0mm,0mm,0mm">
                <w:txbxContent>
                  <w:p>
                    <w:pPr>
                      <w:pStyle w:val="24"/>
                      <w:jc w:val="center"/>
                    </w:pPr>
                    <w:r>
                      <w:fldChar w:fldCharType="begin"/>
                    </w:r>
                    <w:r>
                      <w:rPr>
                        <w:rStyle w:val="45"/>
                      </w:rPr>
                      <w:instrText xml:space="preserve"> PAGE </w:instrText>
                    </w:r>
                    <w:r>
                      <w:fldChar w:fldCharType="separate"/>
                    </w:r>
                    <w:r>
                      <w:rPr>
                        <w:rStyle w:val="45"/>
                      </w:rP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A2CC"/>
    <w:multiLevelType w:val="singleLevel"/>
    <w:tmpl w:val="9989A2CC"/>
    <w:lvl w:ilvl="0" w:tentative="0">
      <w:start w:val="1"/>
      <w:numFmt w:val="decimal"/>
      <w:suff w:val="space"/>
      <w:lvlText w:val="%1."/>
      <w:lvlJc w:val="left"/>
    </w:lvl>
  </w:abstractNum>
  <w:abstractNum w:abstractNumId="1">
    <w:nsid w:val="0000000C"/>
    <w:multiLevelType w:val="multilevel"/>
    <w:tmpl w:val="0000000C"/>
    <w:lvl w:ilvl="0" w:tentative="0">
      <w:start w:val="1"/>
      <w:numFmt w:val="lowerLetter"/>
      <w:lvlText w:val="%1."/>
      <w:lvlJc w:val="left"/>
      <w:pPr>
        <w:tabs>
          <w:tab w:val="left" w:pos="1140"/>
        </w:tabs>
        <w:ind w:left="1140" w:hanging="360"/>
      </w:pPr>
      <w:rPr>
        <w:rFonts w:hint="eastAsia"/>
      </w:rPr>
    </w:lvl>
    <w:lvl w:ilvl="1" w:tentative="0">
      <w:start w:val="1"/>
      <w:numFmt w:val="decimalEnclosedCircle"/>
      <w:lvlText w:val="%2"/>
      <w:lvlJc w:val="left"/>
      <w:pPr>
        <w:tabs>
          <w:tab w:val="left" w:pos="1560"/>
        </w:tabs>
        <w:ind w:left="1560" w:hanging="360"/>
      </w:pPr>
      <w:rPr>
        <w:rFonts w:hint="eastAsia" w:ascii="宋体" w:hAnsi="宋体"/>
      </w:r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2">
    <w:nsid w:val="00000014"/>
    <w:multiLevelType w:val="multilevel"/>
    <w:tmpl w:val="00000014"/>
    <w:lvl w:ilvl="0" w:tentative="0">
      <w:start w:val="3"/>
      <w:numFmt w:val="decimal"/>
      <w:pStyle w:val="120"/>
      <w:lvlText w:val="%1."/>
      <w:lvlJc w:val="left"/>
      <w:pPr>
        <w:tabs>
          <w:tab w:val="left" w:pos="720"/>
        </w:tabs>
        <w:ind w:left="720" w:hanging="720"/>
      </w:pPr>
      <w:rPr>
        <w:rFonts w:hint="eastAsia"/>
      </w:rPr>
    </w:lvl>
    <w:lvl w:ilvl="1" w:tentative="0">
      <w:start w:val="2"/>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
    <w:nsid w:val="3CBE82DF"/>
    <w:multiLevelType w:val="singleLevel"/>
    <w:tmpl w:val="3CBE82DF"/>
    <w:lvl w:ilvl="0" w:tentative="0">
      <w:start w:val="1"/>
      <w:numFmt w:val="decimal"/>
      <w:suff w:val="space"/>
      <w:lvlText w:val="%1."/>
      <w:lvlJc w:val="left"/>
    </w:lvl>
  </w:abstractNum>
  <w:abstractNum w:abstractNumId="4">
    <w:nsid w:val="52DA4BA9"/>
    <w:multiLevelType w:val="multilevel"/>
    <w:tmpl w:val="52DA4BA9"/>
    <w:lvl w:ilvl="0" w:tentative="0">
      <w:start w:val="1"/>
      <w:numFmt w:val="decimal"/>
      <w:pStyle w:val="7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2A4580"/>
    <w:multiLevelType w:val="multilevel"/>
    <w:tmpl w:val="562A4580"/>
    <w:lvl w:ilvl="0" w:tentative="0">
      <w:start w:val="1"/>
      <w:numFmt w:val="bullet"/>
      <w:pStyle w:val="86"/>
      <w:lvlText w:val=""/>
      <w:lvlJc w:val="left"/>
      <w:pPr>
        <w:ind w:left="420" w:hanging="420"/>
      </w:pPr>
      <w:rPr>
        <w:rFonts w:hint="default" w:ascii="Bookshelf Symbol 7" w:hAnsi="Bookshelf Symbol 7"/>
      </w:rPr>
    </w:lvl>
    <w:lvl w:ilvl="1" w:tentative="0">
      <w:start w:val="1"/>
      <w:numFmt w:val="bullet"/>
      <w:lvlText w:val=""/>
      <w:lvlJc w:val="left"/>
      <w:pPr>
        <w:ind w:left="840" w:hanging="420"/>
      </w:pPr>
      <w:rPr>
        <w:rFonts w:hint="default" w:ascii="Bookshelf Symbol 7" w:hAnsi="Bookshelf Symbol 7"/>
      </w:rPr>
    </w:lvl>
    <w:lvl w:ilvl="2" w:tentative="0">
      <w:start w:val="1"/>
      <w:numFmt w:val="bullet"/>
      <w:lvlText w:val=""/>
      <w:lvlJc w:val="left"/>
      <w:pPr>
        <w:ind w:left="1260" w:hanging="420"/>
      </w:pPr>
      <w:rPr>
        <w:rFonts w:hint="default" w:ascii="Bookshelf Symbol 7" w:hAnsi="Bookshelf Symbol 7"/>
      </w:rPr>
    </w:lvl>
    <w:lvl w:ilvl="3" w:tentative="0">
      <w:start w:val="1"/>
      <w:numFmt w:val="bullet"/>
      <w:lvlText w:val=""/>
      <w:lvlJc w:val="left"/>
      <w:pPr>
        <w:ind w:left="1680" w:hanging="420"/>
      </w:pPr>
      <w:rPr>
        <w:rFonts w:hint="default" w:ascii="Bookshelf Symbol 7" w:hAnsi="Bookshelf Symbol 7"/>
      </w:rPr>
    </w:lvl>
    <w:lvl w:ilvl="4" w:tentative="0">
      <w:start w:val="1"/>
      <w:numFmt w:val="bullet"/>
      <w:lvlText w:val=""/>
      <w:lvlJc w:val="left"/>
      <w:pPr>
        <w:ind w:left="2100" w:hanging="420"/>
      </w:pPr>
      <w:rPr>
        <w:rFonts w:hint="default" w:ascii="Bookshelf Symbol 7" w:hAnsi="Bookshelf Symbol 7"/>
      </w:rPr>
    </w:lvl>
    <w:lvl w:ilvl="5" w:tentative="0">
      <w:start w:val="1"/>
      <w:numFmt w:val="bullet"/>
      <w:lvlText w:val=""/>
      <w:lvlJc w:val="left"/>
      <w:pPr>
        <w:ind w:left="2520" w:hanging="420"/>
      </w:pPr>
      <w:rPr>
        <w:rFonts w:hint="default" w:ascii="Bookshelf Symbol 7" w:hAnsi="Bookshelf Symbol 7"/>
      </w:rPr>
    </w:lvl>
    <w:lvl w:ilvl="6" w:tentative="0">
      <w:start w:val="1"/>
      <w:numFmt w:val="bullet"/>
      <w:lvlText w:val=""/>
      <w:lvlJc w:val="left"/>
      <w:pPr>
        <w:ind w:left="2940" w:hanging="420"/>
      </w:pPr>
      <w:rPr>
        <w:rFonts w:hint="default" w:ascii="Bookshelf Symbol 7" w:hAnsi="Bookshelf Symbol 7"/>
      </w:rPr>
    </w:lvl>
    <w:lvl w:ilvl="7" w:tentative="0">
      <w:start w:val="1"/>
      <w:numFmt w:val="bullet"/>
      <w:lvlText w:val=""/>
      <w:lvlJc w:val="left"/>
      <w:pPr>
        <w:ind w:left="3360" w:hanging="420"/>
      </w:pPr>
      <w:rPr>
        <w:rFonts w:hint="default" w:ascii="Bookshelf Symbol 7" w:hAnsi="Bookshelf Symbol 7"/>
      </w:rPr>
    </w:lvl>
    <w:lvl w:ilvl="8" w:tentative="0">
      <w:start w:val="1"/>
      <w:numFmt w:val="bullet"/>
      <w:lvlText w:val=""/>
      <w:lvlJc w:val="left"/>
      <w:pPr>
        <w:ind w:left="3780" w:hanging="420"/>
      </w:pPr>
      <w:rPr>
        <w:rFonts w:hint="default" w:ascii="Bookshelf Symbol 7" w:hAnsi="Bookshelf Symbol 7"/>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521"/>
    <w:rsid w:val="00001B89"/>
    <w:rsid w:val="00002F8E"/>
    <w:rsid w:val="00004D53"/>
    <w:rsid w:val="00010B58"/>
    <w:rsid w:val="00012E4C"/>
    <w:rsid w:val="0001334A"/>
    <w:rsid w:val="0001425B"/>
    <w:rsid w:val="00015550"/>
    <w:rsid w:val="00015FB6"/>
    <w:rsid w:val="00016A48"/>
    <w:rsid w:val="0001719C"/>
    <w:rsid w:val="00021F9C"/>
    <w:rsid w:val="00023747"/>
    <w:rsid w:val="00025A32"/>
    <w:rsid w:val="0002699D"/>
    <w:rsid w:val="000302C0"/>
    <w:rsid w:val="00030D09"/>
    <w:rsid w:val="00030FB8"/>
    <w:rsid w:val="00031293"/>
    <w:rsid w:val="00032204"/>
    <w:rsid w:val="00032712"/>
    <w:rsid w:val="000340F8"/>
    <w:rsid w:val="00034683"/>
    <w:rsid w:val="00035089"/>
    <w:rsid w:val="0003616C"/>
    <w:rsid w:val="00040C36"/>
    <w:rsid w:val="0004137A"/>
    <w:rsid w:val="00041454"/>
    <w:rsid w:val="00041BD4"/>
    <w:rsid w:val="00042156"/>
    <w:rsid w:val="00042B61"/>
    <w:rsid w:val="000449F1"/>
    <w:rsid w:val="00044E85"/>
    <w:rsid w:val="00045473"/>
    <w:rsid w:val="0004625B"/>
    <w:rsid w:val="00046B94"/>
    <w:rsid w:val="00046E87"/>
    <w:rsid w:val="00047533"/>
    <w:rsid w:val="00047ECF"/>
    <w:rsid w:val="0005119A"/>
    <w:rsid w:val="00053B2C"/>
    <w:rsid w:val="000543E0"/>
    <w:rsid w:val="000546F5"/>
    <w:rsid w:val="00054729"/>
    <w:rsid w:val="0005486D"/>
    <w:rsid w:val="00054D5F"/>
    <w:rsid w:val="00055619"/>
    <w:rsid w:val="0005652C"/>
    <w:rsid w:val="00057328"/>
    <w:rsid w:val="00057760"/>
    <w:rsid w:val="00060F31"/>
    <w:rsid w:val="000615FD"/>
    <w:rsid w:val="00061D67"/>
    <w:rsid w:val="0006249D"/>
    <w:rsid w:val="00062B99"/>
    <w:rsid w:val="000637DD"/>
    <w:rsid w:val="00064163"/>
    <w:rsid w:val="000667DA"/>
    <w:rsid w:val="00067157"/>
    <w:rsid w:val="000677E0"/>
    <w:rsid w:val="00067F6A"/>
    <w:rsid w:val="00074150"/>
    <w:rsid w:val="00074C63"/>
    <w:rsid w:val="00076FCF"/>
    <w:rsid w:val="000774D8"/>
    <w:rsid w:val="00077904"/>
    <w:rsid w:val="000804C0"/>
    <w:rsid w:val="000807F3"/>
    <w:rsid w:val="00081BA6"/>
    <w:rsid w:val="00081C14"/>
    <w:rsid w:val="00081EE8"/>
    <w:rsid w:val="00082F35"/>
    <w:rsid w:val="00083359"/>
    <w:rsid w:val="00083A65"/>
    <w:rsid w:val="00085E7D"/>
    <w:rsid w:val="00085FFD"/>
    <w:rsid w:val="00086198"/>
    <w:rsid w:val="00086BAC"/>
    <w:rsid w:val="00086ECC"/>
    <w:rsid w:val="0009039F"/>
    <w:rsid w:val="00090651"/>
    <w:rsid w:val="00091EA6"/>
    <w:rsid w:val="0009560B"/>
    <w:rsid w:val="00096A33"/>
    <w:rsid w:val="0009741F"/>
    <w:rsid w:val="000A0313"/>
    <w:rsid w:val="000A2E9A"/>
    <w:rsid w:val="000A3DD8"/>
    <w:rsid w:val="000A4048"/>
    <w:rsid w:val="000A409D"/>
    <w:rsid w:val="000A65AE"/>
    <w:rsid w:val="000A79CF"/>
    <w:rsid w:val="000B1E0E"/>
    <w:rsid w:val="000B34AE"/>
    <w:rsid w:val="000B3824"/>
    <w:rsid w:val="000B599C"/>
    <w:rsid w:val="000B59C4"/>
    <w:rsid w:val="000B607F"/>
    <w:rsid w:val="000B66D7"/>
    <w:rsid w:val="000C0835"/>
    <w:rsid w:val="000C15E8"/>
    <w:rsid w:val="000C1D69"/>
    <w:rsid w:val="000C2101"/>
    <w:rsid w:val="000C3B87"/>
    <w:rsid w:val="000C415D"/>
    <w:rsid w:val="000C431F"/>
    <w:rsid w:val="000C4CF5"/>
    <w:rsid w:val="000C5B31"/>
    <w:rsid w:val="000C5E55"/>
    <w:rsid w:val="000C72F5"/>
    <w:rsid w:val="000D0868"/>
    <w:rsid w:val="000D2FC3"/>
    <w:rsid w:val="000D3492"/>
    <w:rsid w:val="000D35FD"/>
    <w:rsid w:val="000D3C9D"/>
    <w:rsid w:val="000D40EE"/>
    <w:rsid w:val="000D6812"/>
    <w:rsid w:val="000D6C55"/>
    <w:rsid w:val="000D749B"/>
    <w:rsid w:val="000E02EE"/>
    <w:rsid w:val="000E12C2"/>
    <w:rsid w:val="000E1405"/>
    <w:rsid w:val="000E16B2"/>
    <w:rsid w:val="000E1C50"/>
    <w:rsid w:val="000E2D3D"/>
    <w:rsid w:val="000E5833"/>
    <w:rsid w:val="000E6AAD"/>
    <w:rsid w:val="000F1FDD"/>
    <w:rsid w:val="000F2676"/>
    <w:rsid w:val="000F2C4E"/>
    <w:rsid w:val="000F2D37"/>
    <w:rsid w:val="000F3B1E"/>
    <w:rsid w:val="000F3C2B"/>
    <w:rsid w:val="000F3F68"/>
    <w:rsid w:val="000F3FCD"/>
    <w:rsid w:val="000F4359"/>
    <w:rsid w:val="000F60F1"/>
    <w:rsid w:val="000F7E76"/>
    <w:rsid w:val="001002C9"/>
    <w:rsid w:val="00100FB8"/>
    <w:rsid w:val="001023F2"/>
    <w:rsid w:val="001026D7"/>
    <w:rsid w:val="0010285E"/>
    <w:rsid w:val="00102D3F"/>
    <w:rsid w:val="00103616"/>
    <w:rsid w:val="00103C53"/>
    <w:rsid w:val="00105175"/>
    <w:rsid w:val="001056D3"/>
    <w:rsid w:val="00106E79"/>
    <w:rsid w:val="0011043F"/>
    <w:rsid w:val="00110667"/>
    <w:rsid w:val="001125DE"/>
    <w:rsid w:val="00112933"/>
    <w:rsid w:val="0011293E"/>
    <w:rsid w:val="00112A50"/>
    <w:rsid w:val="0011368B"/>
    <w:rsid w:val="001147DF"/>
    <w:rsid w:val="00114DA9"/>
    <w:rsid w:val="00115014"/>
    <w:rsid w:val="00117548"/>
    <w:rsid w:val="00117DE0"/>
    <w:rsid w:val="001218A5"/>
    <w:rsid w:val="00122147"/>
    <w:rsid w:val="001222CB"/>
    <w:rsid w:val="00123689"/>
    <w:rsid w:val="001238FD"/>
    <w:rsid w:val="0012564D"/>
    <w:rsid w:val="00125AC4"/>
    <w:rsid w:val="00125D52"/>
    <w:rsid w:val="00127D7D"/>
    <w:rsid w:val="001303E4"/>
    <w:rsid w:val="001305F5"/>
    <w:rsid w:val="00132E65"/>
    <w:rsid w:val="0013363A"/>
    <w:rsid w:val="00134957"/>
    <w:rsid w:val="001361C4"/>
    <w:rsid w:val="00137319"/>
    <w:rsid w:val="00137C4A"/>
    <w:rsid w:val="0014020D"/>
    <w:rsid w:val="001408C7"/>
    <w:rsid w:val="00140A35"/>
    <w:rsid w:val="001411C1"/>
    <w:rsid w:val="00143087"/>
    <w:rsid w:val="00146BD2"/>
    <w:rsid w:val="00146D1B"/>
    <w:rsid w:val="001473CD"/>
    <w:rsid w:val="00150339"/>
    <w:rsid w:val="001516AA"/>
    <w:rsid w:val="00151DE8"/>
    <w:rsid w:val="00154F27"/>
    <w:rsid w:val="0015589E"/>
    <w:rsid w:val="00161E50"/>
    <w:rsid w:val="001626EA"/>
    <w:rsid w:val="00162F4D"/>
    <w:rsid w:val="001647AD"/>
    <w:rsid w:val="00165109"/>
    <w:rsid w:val="00170002"/>
    <w:rsid w:val="001701C8"/>
    <w:rsid w:val="00170381"/>
    <w:rsid w:val="0017132D"/>
    <w:rsid w:val="001714C4"/>
    <w:rsid w:val="00172004"/>
    <w:rsid w:val="0017244A"/>
    <w:rsid w:val="00172634"/>
    <w:rsid w:val="00172A27"/>
    <w:rsid w:val="00172F28"/>
    <w:rsid w:val="00173349"/>
    <w:rsid w:val="001733B2"/>
    <w:rsid w:val="00173AE7"/>
    <w:rsid w:val="00175E77"/>
    <w:rsid w:val="00176349"/>
    <w:rsid w:val="00180775"/>
    <w:rsid w:val="001809CA"/>
    <w:rsid w:val="00180DCF"/>
    <w:rsid w:val="001846D3"/>
    <w:rsid w:val="00185D74"/>
    <w:rsid w:val="00187CA7"/>
    <w:rsid w:val="00191837"/>
    <w:rsid w:val="001919D5"/>
    <w:rsid w:val="0019215C"/>
    <w:rsid w:val="00192509"/>
    <w:rsid w:val="00192D76"/>
    <w:rsid w:val="001947AD"/>
    <w:rsid w:val="0019518F"/>
    <w:rsid w:val="001952A7"/>
    <w:rsid w:val="001979C8"/>
    <w:rsid w:val="001A0864"/>
    <w:rsid w:val="001A3B2B"/>
    <w:rsid w:val="001A4C61"/>
    <w:rsid w:val="001A5AF7"/>
    <w:rsid w:val="001A6F3D"/>
    <w:rsid w:val="001A7467"/>
    <w:rsid w:val="001A7FC1"/>
    <w:rsid w:val="001B232E"/>
    <w:rsid w:val="001B240B"/>
    <w:rsid w:val="001B2D65"/>
    <w:rsid w:val="001B4506"/>
    <w:rsid w:val="001B5C51"/>
    <w:rsid w:val="001C18F2"/>
    <w:rsid w:val="001C22D6"/>
    <w:rsid w:val="001C2D8E"/>
    <w:rsid w:val="001C35A7"/>
    <w:rsid w:val="001C3EFA"/>
    <w:rsid w:val="001C3F74"/>
    <w:rsid w:val="001C5A1C"/>
    <w:rsid w:val="001C63EB"/>
    <w:rsid w:val="001C7817"/>
    <w:rsid w:val="001D0BCC"/>
    <w:rsid w:val="001D1C21"/>
    <w:rsid w:val="001D288F"/>
    <w:rsid w:val="001D3904"/>
    <w:rsid w:val="001D444B"/>
    <w:rsid w:val="001D5683"/>
    <w:rsid w:val="001D64F3"/>
    <w:rsid w:val="001E2434"/>
    <w:rsid w:val="001E25EA"/>
    <w:rsid w:val="001E3777"/>
    <w:rsid w:val="001E3B0C"/>
    <w:rsid w:val="001E5915"/>
    <w:rsid w:val="001E6E86"/>
    <w:rsid w:val="001E77B9"/>
    <w:rsid w:val="001E7A4C"/>
    <w:rsid w:val="001F1567"/>
    <w:rsid w:val="001F1B05"/>
    <w:rsid w:val="001F32DA"/>
    <w:rsid w:val="001F3568"/>
    <w:rsid w:val="001F4574"/>
    <w:rsid w:val="001F558D"/>
    <w:rsid w:val="001F579B"/>
    <w:rsid w:val="001F72AF"/>
    <w:rsid w:val="00200301"/>
    <w:rsid w:val="0020053E"/>
    <w:rsid w:val="00201B33"/>
    <w:rsid w:val="00203567"/>
    <w:rsid w:val="00206056"/>
    <w:rsid w:val="00206B92"/>
    <w:rsid w:val="0020776E"/>
    <w:rsid w:val="0021014C"/>
    <w:rsid w:val="002107B4"/>
    <w:rsid w:val="002113CF"/>
    <w:rsid w:val="00211EE1"/>
    <w:rsid w:val="002122D1"/>
    <w:rsid w:val="00213353"/>
    <w:rsid w:val="00213A48"/>
    <w:rsid w:val="00214600"/>
    <w:rsid w:val="002147C5"/>
    <w:rsid w:val="00214B21"/>
    <w:rsid w:val="00214D31"/>
    <w:rsid w:val="00215288"/>
    <w:rsid w:val="002153B9"/>
    <w:rsid w:val="00215DEE"/>
    <w:rsid w:val="00216F5F"/>
    <w:rsid w:val="00220710"/>
    <w:rsid w:val="00221941"/>
    <w:rsid w:val="00222CF9"/>
    <w:rsid w:val="002238A0"/>
    <w:rsid w:val="00223B91"/>
    <w:rsid w:val="0022450F"/>
    <w:rsid w:val="00224532"/>
    <w:rsid w:val="002248D6"/>
    <w:rsid w:val="00226DD6"/>
    <w:rsid w:val="00227693"/>
    <w:rsid w:val="00227E66"/>
    <w:rsid w:val="0023085E"/>
    <w:rsid w:val="00232F83"/>
    <w:rsid w:val="002338A0"/>
    <w:rsid w:val="002358C9"/>
    <w:rsid w:val="00236C4C"/>
    <w:rsid w:val="0023753B"/>
    <w:rsid w:val="00237CA8"/>
    <w:rsid w:val="0024015B"/>
    <w:rsid w:val="00240B14"/>
    <w:rsid w:val="002419D2"/>
    <w:rsid w:val="0024393A"/>
    <w:rsid w:val="002444AD"/>
    <w:rsid w:val="002459CE"/>
    <w:rsid w:val="00245AAA"/>
    <w:rsid w:val="00245BA1"/>
    <w:rsid w:val="00247730"/>
    <w:rsid w:val="00250A3F"/>
    <w:rsid w:val="00250E1D"/>
    <w:rsid w:val="002521E0"/>
    <w:rsid w:val="00252403"/>
    <w:rsid w:val="00252939"/>
    <w:rsid w:val="00254FF9"/>
    <w:rsid w:val="0025628A"/>
    <w:rsid w:val="002565B5"/>
    <w:rsid w:val="00256CD7"/>
    <w:rsid w:val="00260EEF"/>
    <w:rsid w:val="002618A2"/>
    <w:rsid w:val="00261B30"/>
    <w:rsid w:val="00261D3E"/>
    <w:rsid w:val="00262D40"/>
    <w:rsid w:val="002640E5"/>
    <w:rsid w:val="00265D2B"/>
    <w:rsid w:val="00266F41"/>
    <w:rsid w:val="0026764B"/>
    <w:rsid w:val="00270488"/>
    <w:rsid w:val="00271661"/>
    <w:rsid w:val="00271A39"/>
    <w:rsid w:val="00271BB5"/>
    <w:rsid w:val="00271D25"/>
    <w:rsid w:val="00271E5A"/>
    <w:rsid w:val="00274BF7"/>
    <w:rsid w:val="00275112"/>
    <w:rsid w:val="00276CCC"/>
    <w:rsid w:val="00281171"/>
    <w:rsid w:val="00281AD8"/>
    <w:rsid w:val="00281D16"/>
    <w:rsid w:val="0028378D"/>
    <w:rsid w:val="00284112"/>
    <w:rsid w:val="00285689"/>
    <w:rsid w:val="00286034"/>
    <w:rsid w:val="00286B18"/>
    <w:rsid w:val="002937E5"/>
    <w:rsid w:val="00294DE7"/>
    <w:rsid w:val="00295D26"/>
    <w:rsid w:val="002970C6"/>
    <w:rsid w:val="002A1161"/>
    <w:rsid w:val="002A20A8"/>
    <w:rsid w:val="002A224D"/>
    <w:rsid w:val="002A2BC6"/>
    <w:rsid w:val="002A2F18"/>
    <w:rsid w:val="002A3970"/>
    <w:rsid w:val="002A4626"/>
    <w:rsid w:val="002A766A"/>
    <w:rsid w:val="002A777F"/>
    <w:rsid w:val="002B087D"/>
    <w:rsid w:val="002B0B4D"/>
    <w:rsid w:val="002B28A9"/>
    <w:rsid w:val="002B28F5"/>
    <w:rsid w:val="002B2D2A"/>
    <w:rsid w:val="002B570B"/>
    <w:rsid w:val="002B5D60"/>
    <w:rsid w:val="002B5E78"/>
    <w:rsid w:val="002B6114"/>
    <w:rsid w:val="002C00E2"/>
    <w:rsid w:val="002C12D1"/>
    <w:rsid w:val="002C1CE5"/>
    <w:rsid w:val="002C28BE"/>
    <w:rsid w:val="002C28C0"/>
    <w:rsid w:val="002C5D3E"/>
    <w:rsid w:val="002C5F8A"/>
    <w:rsid w:val="002C6934"/>
    <w:rsid w:val="002C7041"/>
    <w:rsid w:val="002D1AA1"/>
    <w:rsid w:val="002D1E0B"/>
    <w:rsid w:val="002D24DD"/>
    <w:rsid w:val="002D509F"/>
    <w:rsid w:val="002D53A9"/>
    <w:rsid w:val="002D6995"/>
    <w:rsid w:val="002E0AE0"/>
    <w:rsid w:val="002E18E1"/>
    <w:rsid w:val="002E1D8E"/>
    <w:rsid w:val="002E2B07"/>
    <w:rsid w:val="002E345B"/>
    <w:rsid w:val="002E37EF"/>
    <w:rsid w:val="002E4A4A"/>
    <w:rsid w:val="002E4D06"/>
    <w:rsid w:val="002E7277"/>
    <w:rsid w:val="002E79D1"/>
    <w:rsid w:val="002F0616"/>
    <w:rsid w:val="002F0B2A"/>
    <w:rsid w:val="002F0CC9"/>
    <w:rsid w:val="002F0CF5"/>
    <w:rsid w:val="002F1A09"/>
    <w:rsid w:val="002F23AD"/>
    <w:rsid w:val="002F28EB"/>
    <w:rsid w:val="002F506B"/>
    <w:rsid w:val="002F5263"/>
    <w:rsid w:val="002F574D"/>
    <w:rsid w:val="002F67FD"/>
    <w:rsid w:val="002F71D6"/>
    <w:rsid w:val="002F7440"/>
    <w:rsid w:val="002F79A7"/>
    <w:rsid w:val="0030110B"/>
    <w:rsid w:val="00304746"/>
    <w:rsid w:val="00304BAF"/>
    <w:rsid w:val="00306E89"/>
    <w:rsid w:val="00306F65"/>
    <w:rsid w:val="003104D1"/>
    <w:rsid w:val="0031117F"/>
    <w:rsid w:val="00311326"/>
    <w:rsid w:val="003117AB"/>
    <w:rsid w:val="00312787"/>
    <w:rsid w:val="00312ED0"/>
    <w:rsid w:val="00314C8B"/>
    <w:rsid w:val="00314D00"/>
    <w:rsid w:val="00316CB3"/>
    <w:rsid w:val="003172C1"/>
    <w:rsid w:val="00317FE7"/>
    <w:rsid w:val="0032005A"/>
    <w:rsid w:val="00320C6C"/>
    <w:rsid w:val="00321734"/>
    <w:rsid w:val="00321B31"/>
    <w:rsid w:val="0032338E"/>
    <w:rsid w:val="00325ABD"/>
    <w:rsid w:val="00332AC0"/>
    <w:rsid w:val="003342FA"/>
    <w:rsid w:val="00334DBE"/>
    <w:rsid w:val="00337A60"/>
    <w:rsid w:val="00340781"/>
    <w:rsid w:val="0034079B"/>
    <w:rsid w:val="003414B3"/>
    <w:rsid w:val="00341C17"/>
    <w:rsid w:val="00345B8B"/>
    <w:rsid w:val="0035217A"/>
    <w:rsid w:val="003523AD"/>
    <w:rsid w:val="00352474"/>
    <w:rsid w:val="003527D9"/>
    <w:rsid w:val="00352EBC"/>
    <w:rsid w:val="00353879"/>
    <w:rsid w:val="00353FAD"/>
    <w:rsid w:val="00354077"/>
    <w:rsid w:val="00355A0D"/>
    <w:rsid w:val="00355EA0"/>
    <w:rsid w:val="003565B8"/>
    <w:rsid w:val="0036097F"/>
    <w:rsid w:val="00360D83"/>
    <w:rsid w:val="00361E24"/>
    <w:rsid w:val="003622B4"/>
    <w:rsid w:val="003629E2"/>
    <w:rsid w:val="00362ED6"/>
    <w:rsid w:val="00364004"/>
    <w:rsid w:val="003642AC"/>
    <w:rsid w:val="003701BD"/>
    <w:rsid w:val="00370C35"/>
    <w:rsid w:val="00371802"/>
    <w:rsid w:val="00372BAA"/>
    <w:rsid w:val="00372F43"/>
    <w:rsid w:val="00373BB3"/>
    <w:rsid w:val="00376071"/>
    <w:rsid w:val="003763E7"/>
    <w:rsid w:val="00376BCD"/>
    <w:rsid w:val="00377E45"/>
    <w:rsid w:val="003808A6"/>
    <w:rsid w:val="00380F3D"/>
    <w:rsid w:val="00383226"/>
    <w:rsid w:val="00383D22"/>
    <w:rsid w:val="00384693"/>
    <w:rsid w:val="00384BBE"/>
    <w:rsid w:val="00385211"/>
    <w:rsid w:val="00385497"/>
    <w:rsid w:val="00385F9E"/>
    <w:rsid w:val="00386C70"/>
    <w:rsid w:val="00390201"/>
    <w:rsid w:val="00390777"/>
    <w:rsid w:val="003918F7"/>
    <w:rsid w:val="00393D34"/>
    <w:rsid w:val="00394DE3"/>
    <w:rsid w:val="00395AA6"/>
    <w:rsid w:val="00396AAE"/>
    <w:rsid w:val="00396D40"/>
    <w:rsid w:val="00396D7D"/>
    <w:rsid w:val="00396E0A"/>
    <w:rsid w:val="00397BE1"/>
    <w:rsid w:val="003A221E"/>
    <w:rsid w:val="003A3AA1"/>
    <w:rsid w:val="003A3B02"/>
    <w:rsid w:val="003A549D"/>
    <w:rsid w:val="003A599B"/>
    <w:rsid w:val="003A5ABD"/>
    <w:rsid w:val="003A602B"/>
    <w:rsid w:val="003A681B"/>
    <w:rsid w:val="003A7B79"/>
    <w:rsid w:val="003B0620"/>
    <w:rsid w:val="003B074F"/>
    <w:rsid w:val="003B0943"/>
    <w:rsid w:val="003B24FE"/>
    <w:rsid w:val="003B30BB"/>
    <w:rsid w:val="003B3B38"/>
    <w:rsid w:val="003B75F5"/>
    <w:rsid w:val="003C1390"/>
    <w:rsid w:val="003C1E7F"/>
    <w:rsid w:val="003C27C2"/>
    <w:rsid w:val="003C3B2A"/>
    <w:rsid w:val="003C46FA"/>
    <w:rsid w:val="003C49A8"/>
    <w:rsid w:val="003C59E3"/>
    <w:rsid w:val="003C6121"/>
    <w:rsid w:val="003D05E2"/>
    <w:rsid w:val="003D0F59"/>
    <w:rsid w:val="003D12F0"/>
    <w:rsid w:val="003D1816"/>
    <w:rsid w:val="003D3243"/>
    <w:rsid w:val="003D4349"/>
    <w:rsid w:val="003D67A6"/>
    <w:rsid w:val="003D68C9"/>
    <w:rsid w:val="003D6C86"/>
    <w:rsid w:val="003D6D61"/>
    <w:rsid w:val="003D7FBB"/>
    <w:rsid w:val="003E09C6"/>
    <w:rsid w:val="003E1BA1"/>
    <w:rsid w:val="003E2945"/>
    <w:rsid w:val="003E32FA"/>
    <w:rsid w:val="003E4294"/>
    <w:rsid w:val="003E42FF"/>
    <w:rsid w:val="003E5157"/>
    <w:rsid w:val="003E52C0"/>
    <w:rsid w:val="003E571D"/>
    <w:rsid w:val="003E66A5"/>
    <w:rsid w:val="003E6746"/>
    <w:rsid w:val="003E7071"/>
    <w:rsid w:val="003E770B"/>
    <w:rsid w:val="003E7FD4"/>
    <w:rsid w:val="003F02CA"/>
    <w:rsid w:val="003F1449"/>
    <w:rsid w:val="003F2EC7"/>
    <w:rsid w:val="003F38F0"/>
    <w:rsid w:val="003F4A2D"/>
    <w:rsid w:val="003F5B3B"/>
    <w:rsid w:val="003F6A76"/>
    <w:rsid w:val="003F7157"/>
    <w:rsid w:val="003F7D67"/>
    <w:rsid w:val="00400F65"/>
    <w:rsid w:val="00401863"/>
    <w:rsid w:val="00401948"/>
    <w:rsid w:val="00402D07"/>
    <w:rsid w:val="00404504"/>
    <w:rsid w:val="00404B28"/>
    <w:rsid w:val="00405B3C"/>
    <w:rsid w:val="00405C42"/>
    <w:rsid w:val="00405CEC"/>
    <w:rsid w:val="00405EEC"/>
    <w:rsid w:val="00406AF7"/>
    <w:rsid w:val="00407126"/>
    <w:rsid w:val="00407E54"/>
    <w:rsid w:val="00411990"/>
    <w:rsid w:val="00412141"/>
    <w:rsid w:val="00413087"/>
    <w:rsid w:val="00416907"/>
    <w:rsid w:val="004208C2"/>
    <w:rsid w:val="00421A82"/>
    <w:rsid w:val="004229ED"/>
    <w:rsid w:val="004232F9"/>
    <w:rsid w:val="00424568"/>
    <w:rsid w:val="00424C9E"/>
    <w:rsid w:val="00426D46"/>
    <w:rsid w:val="0042769C"/>
    <w:rsid w:val="004277AB"/>
    <w:rsid w:val="00427FCE"/>
    <w:rsid w:val="004301F8"/>
    <w:rsid w:val="004312CC"/>
    <w:rsid w:val="00431870"/>
    <w:rsid w:val="00432768"/>
    <w:rsid w:val="00432FB7"/>
    <w:rsid w:val="0043318E"/>
    <w:rsid w:val="00433CE8"/>
    <w:rsid w:val="00433FCB"/>
    <w:rsid w:val="00433FCE"/>
    <w:rsid w:val="004340D8"/>
    <w:rsid w:val="004342AF"/>
    <w:rsid w:val="00435847"/>
    <w:rsid w:val="00435A2A"/>
    <w:rsid w:val="00437F93"/>
    <w:rsid w:val="00440EE2"/>
    <w:rsid w:val="0044222D"/>
    <w:rsid w:val="00443D10"/>
    <w:rsid w:val="0044525B"/>
    <w:rsid w:val="0044727A"/>
    <w:rsid w:val="004473DC"/>
    <w:rsid w:val="00447EE2"/>
    <w:rsid w:val="00451718"/>
    <w:rsid w:val="00451ECF"/>
    <w:rsid w:val="00453BB4"/>
    <w:rsid w:val="004544A7"/>
    <w:rsid w:val="00454F62"/>
    <w:rsid w:val="0045559A"/>
    <w:rsid w:val="0045565E"/>
    <w:rsid w:val="004563CA"/>
    <w:rsid w:val="004568BE"/>
    <w:rsid w:val="00457548"/>
    <w:rsid w:val="004604BD"/>
    <w:rsid w:val="0046185E"/>
    <w:rsid w:val="0046222F"/>
    <w:rsid w:val="00462277"/>
    <w:rsid w:val="004626D8"/>
    <w:rsid w:val="00462AB1"/>
    <w:rsid w:val="00463B19"/>
    <w:rsid w:val="00465759"/>
    <w:rsid w:val="00465BDF"/>
    <w:rsid w:val="004666C2"/>
    <w:rsid w:val="00466EB5"/>
    <w:rsid w:val="004708FD"/>
    <w:rsid w:val="00470A32"/>
    <w:rsid w:val="0047150C"/>
    <w:rsid w:val="00473835"/>
    <w:rsid w:val="0047388F"/>
    <w:rsid w:val="0047432A"/>
    <w:rsid w:val="004746AB"/>
    <w:rsid w:val="00474AFD"/>
    <w:rsid w:val="00474C5D"/>
    <w:rsid w:val="00475E98"/>
    <w:rsid w:val="00476879"/>
    <w:rsid w:val="00476B4D"/>
    <w:rsid w:val="00477974"/>
    <w:rsid w:val="00480042"/>
    <w:rsid w:val="00480F21"/>
    <w:rsid w:val="00481A37"/>
    <w:rsid w:val="00484CE8"/>
    <w:rsid w:val="004867C1"/>
    <w:rsid w:val="00486BB5"/>
    <w:rsid w:val="0048798B"/>
    <w:rsid w:val="00493601"/>
    <w:rsid w:val="00493E36"/>
    <w:rsid w:val="0049439E"/>
    <w:rsid w:val="004949EE"/>
    <w:rsid w:val="00494C8D"/>
    <w:rsid w:val="00495294"/>
    <w:rsid w:val="0049618B"/>
    <w:rsid w:val="004963A9"/>
    <w:rsid w:val="00497E58"/>
    <w:rsid w:val="004A0D31"/>
    <w:rsid w:val="004A0FF1"/>
    <w:rsid w:val="004A1211"/>
    <w:rsid w:val="004A1DFC"/>
    <w:rsid w:val="004A2C6D"/>
    <w:rsid w:val="004A4377"/>
    <w:rsid w:val="004A563B"/>
    <w:rsid w:val="004A6323"/>
    <w:rsid w:val="004A72FC"/>
    <w:rsid w:val="004A7534"/>
    <w:rsid w:val="004A78A5"/>
    <w:rsid w:val="004B00B7"/>
    <w:rsid w:val="004B0802"/>
    <w:rsid w:val="004B2D0A"/>
    <w:rsid w:val="004B3095"/>
    <w:rsid w:val="004B3302"/>
    <w:rsid w:val="004B3BFF"/>
    <w:rsid w:val="004B403D"/>
    <w:rsid w:val="004B4714"/>
    <w:rsid w:val="004B4A1E"/>
    <w:rsid w:val="004B58DE"/>
    <w:rsid w:val="004B6097"/>
    <w:rsid w:val="004B6B3D"/>
    <w:rsid w:val="004B7522"/>
    <w:rsid w:val="004B7955"/>
    <w:rsid w:val="004C1718"/>
    <w:rsid w:val="004C1C83"/>
    <w:rsid w:val="004C32AA"/>
    <w:rsid w:val="004C3C98"/>
    <w:rsid w:val="004C564F"/>
    <w:rsid w:val="004C5773"/>
    <w:rsid w:val="004C61BC"/>
    <w:rsid w:val="004C657B"/>
    <w:rsid w:val="004C6623"/>
    <w:rsid w:val="004C7356"/>
    <w:rsid w:val="004C77EA"/>
    <w:rsid w:val="004D17D0"/>
    <w:rsid w:val="004D19B7"/>
    <w:rsid w:val="004D217F"/>
    <w:rsid w:val="004D3FF7"/>
    <w:rsid w:val="004D408A"/>
    <w:rsid w:val="004D6C28"/>
    <w:rsid w:val="004E2440"/>
    <w:rsid w:val="004E2643"/>
    <w:rsid w:val="004E3C15"/>
    <w:rsid w:val="004E431A"/>
    <w:rsid w:val="004E4615"/>
    <w:rsid w:val="004E6416"/>
    <w:rsid w:val="004F1563"/>
    <w:rsid w:val="004F28A4"/>
    <w:rsid w:val="004F3979"/>
    <w:rsid w:val="004F4C15"/>
    <w:rsid w:val="004F5C55"/>
    <w:rsid w:val="004F6829"/>
    <w:rsid w:val="004F71F1"/>
    <w:rsid w:val="004F79D0"/>
    <w:rsid w:val="00501472"/>
    <w:rsid w:val="00501B9E"/>
    <w:rsid w:val="00503659"/>
    <w:rsid w:val="00503831"/>
    <w:rsid w:val="00506035"/>
    <w:rsid w:val="005079C5"/>
    <w:rsid w:val="00507C11"/>
    <w:rsid w:val="005100F4"/>
    <w:rsid w:val="005105D2"/>
    <w:rsid w:val="00510AB2"/>
    <w:rsid w:val="00511FDB"/>
    <w:rsid w:val="00513060"/>
    <w:rsid w:val="00514056"/>
    <w:rsid w:val="00516FEA"/>
    <w:rsid w:val="005201BD"/>
    <w:rsid w:val="0052225D"/>
    <w:rsid w:val="005222A8"/>
    <w:rsid w:val="00525BB8"/>
    <w:rsid w:val="00527807"/>
    <w:rsid w:val="00530D27"/>
    <w:rsid w:val="005315BB"/>
    <w:rsid w:val="00532A35"/>
    <w:rsid w:val="00532E47"/>
    <w:rsid w:val="00533A4B"/>
    <w:rsid w:val="00533C68"/>
    <w:rsid w:val="005342F1"/>
    <w:rsid w:val="005343F8"/>
    <w:rsid w:val="00535BBA"/>
    <w:rsid w:val="00535C80"/>
    <w:rsid w:val="00536C79"/>
    <w:rsid w:val="0053717F"/>
    <w:rsid w:val="0053759E"/>
    <w:rsid w:val="005403ED"/>
    <w:rsid w:val="0054193F"/>
    <w:rsid w:val="00541E21"/>
    <w:rsid w:val="0054219E"/>
    <w:rsid w:val="00542E9B"/>
    <w:rsid w:val="00543BB6"/>
    <w:rsid w:val="005441CD"/>
    <w:rsid w:val="00544507"/>
    <w:rsid w:val="005446F8"/>
    <w:rsid w:val="005458EF"/>
    <w:rsid w:val="00545AC4"/>
    <w:rsid w:val="0054720F"/>
    <w:rsid w:val="00547222"/>
    <w:rsid w:val="00550AC2"/>
    <w:rsid w:val="00551ACB"/>
    <w:rsid w:val="00552B44"/>
    <w:rsid w:val="005532C9"/>
    <w:rsid w:val="00554861"/>
    <w:rsid w:val="005647F1"/>
    <w:rsid w:val="00564A37"/>
    <w:rsid w:val="00564F68"/>
    <w:rsid w:val="005659A2"/>
    <w:rsid w:val="00566B16"/>
    <w:rsid w:val="005672EB"/>
    <w:rsid w:val="00567BD0"/>
    <w:rsid w:val="005706E7"/>
    <w:rsid w:val="005723BE"/>
    <w:rsid w:val="005746F3"/>
    <w:rsid w:val="00574A66"/>
    <w:rsid w:val="00580998"/>
    <w:rsid w:val="0058192A"/>
    <w:rsid w:val="0058297F"/>
    <w:rsid w:val="00582B6A"/>
    <w:rsid w:val="00583A07"/>
    <w:rsid w:val="005848E7"/>
    <w:rsid w:val="00584C53"/>
    <w:rsid w:val="00585615"/>
    <w:rsid w:val="00585740"/>
    <w:rsid w:val="005862B4"/>
    <w:rsid w:val="00590D2A"/>
    <w:rsid w:val="005919A0"/>
    <w:rsid w:val="00591EA2"/>
    <w:rsid w:val="005934F0"/>
    <w:rsid w:val="005947F4"/>
    <w:rsid w:val="005959CA"/>
    <w:rsid w:val="0059622E"/>
    <w:rsid w:val="005A0C37"/>
    <w:rsid w:val="005A10F2"/>
    <w:rsid w:val="005A1A2D"/>
    <w:rsid w:val="005A1A37"/>
    <w:rsid w:val="005A1E91"/>
    <w:rsid w:val="005A2134"/>
    <w:rsid w:val="005A5D03"/>
    <w:rsid w:val="005A68D0"/>
    <w:rsid w:val="005A77E0"/>
    <w:rsid w:val="005A7FEA"/>
    <w:rsid w:val="005B0061"/>
    <w:rsid w:val="005B00A2"/>
    <w:rsid w:val="005B0BEB"/>
    <w:rsid w:val="005B0CC7"/>
    <w:rsid w:val="005B2B70"/>
    <w:rsid w:val="005B3E5E"/>
    <w:rsid w:val="005B3FBF"/>
    <w:rsid w:val="005B4898"/>
    <w:rsid w:val="005B4E5D"/>
    <w:rsid w:val="005B513A"/>
    <w:rsid w:val="005B7A5C"/>
    <w:rsid w:val="005B7FD5"/>
    <w:rsid w:val="005C0DD3"/>
    <w:rsid w:val="005C157E"/>
    <w:rsid w:val="005C55A7"/>
    <w:rsid w:val="005C58E1"/>
    <w:rsid w:val="005C5FD5"/>
    <w:rsid w:val="005C7E8A"/>
    <w:rsid w:val="005D1E5E"/>
    <w:rsid w:val="005D2AE3"/>
    <w:rsid w:val="005D3191"/>
    <w:rsid w:val="005D44E5"/>
    <w:rsid w:val="005D47D7"/>
    <w:rsid w:val="005D49BC"/>
    <w:rsid w:val="005D78C8"/>
    <w:rsid w:val="005E0DB6"/>
    <w:rsid w:val="005E10BD"/>
    <w:rsid w:val="005E1382"/>
    <w:rsid w:val="005E16A0"/>
    <w:rsid w:val="005E1AAC"/>
    <w:rsid w:val="005E1CB9"/>
    <w:rsid w:val="005E2216"/>
    <w:rsid w:val="005E28EE"/>
    <w:rsid w:val="005E380B"/>
    <w:rsid w:val="005E5029"/>
    <w:rsid w:val="005E6073"/>
    <w:rsid w:val="005E6A62"/>
    <w:rsid w:val="005E6C87"/>
    <w:rsid w:val="005E6EEA"/>
    <w:rsid w:val="005F08DD"/>
    <w:rsid w:val="005F0D79"/>
    <w:rsid w:val="005F1C67"/>
    <w:rsid w:val="005F2FC8"/>
    <w:rsid w:val="005F3137"/>
    <w:rsid w:val="005F634C"/>
    <w:rsid w:val="005F67DA"/>
    <w:rsid w:val="00600452"/>
    <w:rsid w:val="00603385"/>
    <w:rsid w:val="006037C3"/>
    <w:rsid w:val="00603D07"/>
    <w:rsid w:val="00605E4B"/>
    <w:rsid w:val="006064B1"/>
    <w:rsid w:val="006067A5"/>
    <w:rsid w:val="00607AB7"/>
    <w:rsid w:val="006108A2"/>
    <w:rsid w:val="00610EC4"/>
    <w:rsid w:val="0061431E"/>
    <w:rsid w:val="0061439B"/>
    <w:rsid w:val="00614BBB"/>
    <w:rsid w:val="00615A30"/>
    <w:rsid w:val="00616A27"/>
    <w:rsid w:val="006176F3"/>
    <w:rsid w:val="00617C4D"/>
    <w:rsid w:val="006229CF"/>
    <w:rsid w:val="00622C1B"/>
    <w:rsid w:val="00622F54"/>
    <w:rsid w:val="00624445"/>
    <w:rsid w:val="006251A2"/>
    <w:rsid w:val="006302E0"/>
    <w:rsid w:val="00632A0C"/>
    <w:rsid w:val="00632A3D"/>
    <w:rsid w:val="00635045"/>
    <w:rsid w:val="00635676"/>
    <w:rsid w:val="00636EDD"/>
    <w:rsid w:val="0064054D"/>
    <w:rsid w:val="006413D0"/>
    <w:rsid w:val="00641964"/>
    <w:rsid w:val="00641CA9"/>
    <w:rsid w:val="00642B54"/>
    <w:rsid w:val="00644E0F"/>
    <w:rsid w:val="00644E1F"/>
    <w:rsid w:val="006461F2"/>
    <w:rsid w:val="00646308"/>
    <w:rsid w:val="00646FF6"/>
    <w:rsid w:val="00650252"/>
    <w:rsid w:val="00650A32"/>
    <w:rsid w:val="00650F13"/>
    <w:rsid w:val="00652806"/>
    <w:rsid w:val="0065613F"/>
    <w:rsid w:val="0065782D"/>
    <w:rsid w:val="00660471"/>
    <w:rsid w:val="006625D2"/>
    <w:rsid w:val="00662799"/>
    <w:rsid w:val="00662850"/>
    <w:rsid w:val="006628A2"/>
    <w:rsid w:val="00663A1A"/>
    <w:rsid w:val="00664124"/>
    <w:rsid w:val="00664812"/>
    <w:rsid w:val="00670CE8"/>
    <w:rsid w:val="00671A0E"/>
    <w:rsid w:val="0067290E"/>
    <w:rsid w:val="00672ADB"/>
    <w:rsid w:val="006732EF"/>
    <w:rsid w:val="006735FE"/>
    <w:rsid w:val="00673664"/>
    <w:rsid w:val="0067483E"/>
    <w:rsid w:val="006749E3"/>
    <w:rsid w:val="006756F0"/>
    <w:rsid w:val="00676668"/>
    <w:rsid w:val="00676D0C"/>
    <w:rsid w:val="0067709C"/>
    <w:rsid w:val="006776E0"/>
    <w:rsid w:val="00682117"/>
    <w:rsid w:val="0068337E"/>
    <w:rsid w:val="00684023"/>
    <w:rsid w:val="006845B5"/>
    <w:rsid w:val="00684BA3"/>
    <w:rsid w:val="00685567"/>
    <w:rsid w:val="006855C4"/>
    <w:rsid w:val="006860F0"/>
    <w:rsid w:val="0068643A"/>
    <w:rsid w:val="00686502"/>
    <w:rsid w:val="00690086"/>
    <w:rsid w:val="006918FB"/>
    <w:rsid w:val="00691BB2"/>
    <w:rsid w:val="0069368D"/>
    <w:rsid w:val="00693C43"/>
    <w:rsid w:val="00694875"/>
    <w:rsid w:val="00694CBA"/>
    <w:rsid w:val="00695034"/>
    <w:rsid w:val="00695277"/>
    <w:rsid w:val="00695E54"/>
    <w:rsid w:val="006960EE"/>
    <w:rsid w:val="0069635A"/>
    <w:rsid w:val="00696CBF"/>
    <w:rsid w:val="006A0910"/>
    <w:rsid w:val="006A11A1"/>
    <w:rsid w:val="006A1561"/>
    <w:rsid w:val="006A169F"/>
    <w:rsid w:val="006A1764"/>
    <w:rsid w:val="006A413B"/>
    <w:rsid w:val="006A4505"/>
    <w:rsid w:val="006A4B6F"/>
    <w:rsid w:val="006A5D0D"/>
    <w:rsid w:val="006A63E5"/>
    <w:rsid w:val="006A656D"/>
    <w:rsid w:val="006A7DFB"/>
    <w:rsid w:val="006B2F2B"/>
    <w:rsid w:val="006B30BB"/>
    <w:rsid w:val="006B31E1"/>
    <w:rsid w:val="006B331D"/>
    <w:rsid w:val="006B38A0"/>
    <w:rsid w:val="006B4236"/>
    <w:rsid w:val="006B4B82"/>
    <w:rsid w:val="006B7185"/>
    <w:rsid w:val="006B7405"/>
    <w:rsid w:val="006D01D2"/>
    <w:rsid w:val="006D0A2F"/>
    <w:rsid w:val="006D1B8E"/>
    <w:rsid w:val="006D211B"/>
    <w:rsid w:val="006D2531"/>
    <w:rsid w:val="006D2686"/>
    <w:rsid w:val="006D3505"/>
    <w:rsid w:val="006D46A3"/>
    <w:rsid w:val="006D4708"/>
    <w:rsid w:val="006D65CA"/>
    <w:rsid w:val="006D6C03"/>
    <w:rsid w:val="006D6E2C"/>
    <w:rsid w:val="006D7EE2"/>
    <w:rsid w:val="006E03CB"/>
    <w:rsid w:val="006E058F"/>
    <w:rsid w:val="006E08D3"/>
    <w:rsid w:val="006E23CD"/>
    <w:rsid w:val="006E267B"/>
    <w:rsid w:val="006E2815"/>
    <w:rsid w:val="006E3730"/>
    <w:rsid w:val="006E3DAE"/>
    <w:rsid w:val="006E435B"/>
    <w:rsid w:val="006E5146"/>
    <w:rsid w:val="006E605C"/>
    <w:rsid w:val="006E6DFB"/>
    <w:rsid w:val="006F091A"/>
    <w:rsid w:val="006F0F88"/>
    <w:rsid w:val="006F1D8E"/>
    <w:rsid w:val="006F22C2"/>
    <w:rsid w:val="006F230D"/>
    <w:rsid w:val="006F4084"/>
    <w:rsid w:val="006F4595"/>
    <w:rsid w:val="006F5A23"/>
    <w:rsid w:val="006F61F7"/>
    <w:rsid w:val="006F6AD1"/>
    <w:rsid w:val="006F77F8"/>
    <w:rsid w:val="00700CDA"/>
    <w:rsid w:val="0070101A"/>
    <w:rsid w:val="00701F50"/>
    <w:rsid w:val="00703750"/>
    <w:rsid w:val="00703980"/>
    <w:rsid w:val="00704355"/>
    <w:rsid w:val="0070508F"/>
    <w:rsid w:val="00705668"/>
    <w:rsid w:val="00705B7E"/>
    <w:rsid w:val="00710D63"/>
    <w:rsid w:val="00711BD8"/>
    <w:rsid w:val="007121AE"/>
    <w:rsid w:val="007121FD"/>
    <w:rsid w:val="00712B7A"/>
    <w:rsid w:val="00715148"/>
    <w:rsid w:val="0071632F"/>
    <w:rsid w:val="007164FE"/>
    <w:rsid w:val="00717833"/>
    <w:rsid w:val="00720D3B"/>
    <w:rsid w:val="00722A3E"/>
    <w:rsid w:val="00722AC5"/>
    <w:rsid w:val="00722EA4"/>
    <w:rsid w:val="00723118"/>
    <w:rsid w:val="007239DC"/>
    <w:rsid w:val="007255EA"/>
    <w:rsid w:val="00725787"/>
    <w:rsid w:val="00726E84"/>
    <w:rsid w:val="007275EC"/>
    <w:rsid w:val="007275F8"/>
    <w:rsid w:val="0073064A"/>
    <w:rsid w:val="00730E81"/>
    <w:rsid w:val="007313F9"/>
    <w:rsid w:val="00732CE0"/>
    <w:rsid w:val="00733021"/>
    <w:rsid w:val="0073312B"/>
    <w:rsid w:val="00733678"/>
    <w:rsid w:val="00734C9D"/>
    <w:rsid w:val="007369F4"/>
    <w:rsid w:val="00736D62"/>
    <w:rsid w:val="00737089"/>
    <w:rsid w:val="00737476"/>
    <w:rsid w:val="00741272"/>
    <w:rsid w:val="007420E3"/>
    <w:rsid w:val="0074216A"/>
    <w:rsid w:val="007421DA"/>
    <w:rsid w:val="007428C6"/>
    <w:rsid w:val="007429D4"/>
    <w:rsid w:val="00743C31"/>
    <w:rsid w:val="00744452"/>
    <w:rsid w:val="00745232"/>
    <w:rsid w:val="00751C11"/>
    <w:rsid w:val="007526BA"/>
    <w:rsid w:val="00754358"/>
    <w:rsid w:val="007550FE"/>
    <w:rsid w:val="00755458"/>
    <w:rsid w:val="007555D2"/>
    <w:rsid w:val="00755E34"/>
    <w:rsid w:val="007567ED"/>
    <w:rsid w:val="00757345"/>
    <w:rsid w:val="00757B6B"/>
    <w:rsid w:val="00761370"/>
    <w:rsid w:val="0076149F"/>
    <w:rsid w:val="007628C8"/>
    <w:rsid w:val="00762A2F"/>
    <w:rsid w:val="007654E1"/>
    <w:rsid w:val="00766228"/>
    <w:rsid w:val="007666D3"/>
    <w:rsid w:val="0076686F"/>
    <w:rsid w:val="00770A61"/>
    <w:rsid w:val="007719E6"/>
    <w:rsid w:val="0077212B"/>
    <w:rsid w:val="00772367"/>
    <w:rsid w:val="00774E30"/>
    <w:rsid w:val="007753E5"/>
    <w:rsid w:val="007765E3"/>
    <w:rsid w:val="00781389"/>
    <w:rsid w:val="0078279F"/>
    <w:rsid w:val="00782FA1"/>
    <w:rsid w:val="007835BE"/>
    <w:rsid w:val="00783A20"/>
    <w:rsid w:val="00784CD5"/>
    <w:rsid w:val="00786FFE"/>
    <w:rsid w:val="0078749E"/>
    <w:rsid w:val="0079073E"/>
    <w:rsid w:val="00790D65"/>
    <w:rsid w:val="007957CD"/>
    <w:rsid w:val="00796E76"/>
    <w:rsid w:val="007971AA"/>
    <w:rsid w:val="007A12F1"/>
    <w:rsid w:val="007A2BD4"/>
    <w:rsid w:val="007A35E0"/>
    <w:rsid w:val="007A3635"/>
    <w:rsid w:val="007A5DB8"/>
    <w:rsid w:val="007A7F0D"/>
    <w:rsid w:val="007B2713"/>
    <w:rsid w:val="007B6B41"/>
    <w:rsid w:val="007B6B4F"/>
    <w:rsid w:val="007B6D2E"/>
    <w:rsid w:val="007C0DDF"/>
    <w:rsid w:val="007C1389"/>
    <w:rsid w:val="007C1B47"/>
    <w:rsid w:val="007C359D"/>
    <w:rsid w:val="007C470C"/>
    <w:rsid w:val="007C4F6B"/>
    <w:rsid w:val="007C5D84"/>
    <w:rsid w:val="007D0751"/>
    <w:rsid w:val="007D196C"/>
    <w:rsid w:val="007D24A8"/>
    <w:rsid w:val="007D3D91"/>
    <w:rsid w:val="007D555F"/>
    <w:rsid w:val="007D5A96"/>
    <w:rsid w:val="007D6388"/>
    <w:rsid w:val="007E1085"/>
    <w:rsid w:val="007E15E9"/>
    <w:rsid w:val="007E2DBB"/>
    <w:rsid w:val="007E2EA2"/>
    <w:rsid w:val="007E606C"/>
    <w:rsid w:val="007E6A67"/>
    <w:rsid w:val="007F1E71"/>
    <w:rsid w:val="007F384B"/>
    <w:rsid w:val="007F4439"/>
    <w:rsid w:val="007F46EB"/>
    <w:rsid w:val="007F4C27"/>
    <w:rsid w:val="007F6AE1"/>
    <w:rsid w:val="007F6D40"/>
    <w:rsid w:val="007F6E1A"/>
    <w:rsid w:val="007F7A5D"/>
    <w:rsid w:val="00801D5C"/>
    <w:rsid w:val="00802937"/>
    <w:rsid w:val="0080532A"/>
    <w:rsid w:val="008061F2"/>
    <w:rsid w:val="00810139"/>
    <w:rsid w:val="0081191A"/>
    <w:rsid w:val="00812662"/>
    <w:rsid w:val="00813A58"/>
    <w:rsid w:val="00814039"/>
    <w:rsid w:val="00816725"/>
    <w:rsid w:val="008167AB"/>
    <w:rsid w:val="00820380"/>
    <w:rsid w:val="008208B3"/>
    <w:rsid w:val="00820982"/>
    <w:rsid w:val="00820F8A"/>
    <w:rsid w:val="00821138"/>
    <w:rsid w:val="00822F64"/>
    <w:rsid w:val="00824061"/>
    <w:rsid w:val="00824962"/>
    <w:rsid w:val="0082555E"/>
    <w:rsid w:val="00826685"/>
    <w:rsid w:val="00827125"/>
    <w:rsid w:val="008279A4"/>
    <w:rsid w:val="008300B9"/>
    <w:rsid w:val="008301EB"/>
    <w:rsid w:val="0083051A"/>
    <w:rsid w:val="00830B1D"/>
    <w:rsid w:val="00830DAE"/>
    <w:rsid w:val="00832392"/>
    <w:rsid w:val="00832DD8"/>
    <w:rsid w:val="00832E05"/>
    <w:rsid w:val="008331CC"/>
    <w:rsid w:val="00837042"/>
    <w:rsid w:val="0083777F"/>
    <w:rsid w:val="00840997"/>
    <w:rsid w:val="00843314"/>
    <w:rsid w:val="00844031"/>
    <w:rsid w:val="008447AC"/>
    <w:rsid w:val="00844E68"/>
    <w:rsid w:val="008457A6"/>
    <w:rsid w:val="00845C93"/>
    <w:rsid w:val="008460B1"/>
    <w:rsid w:val="008467F5"/>
    <w:rsid w:val="00846D4B"/>
    <w:rsid w:val="00846FDA"/>
    <w:rsid w:val="00851540"/>
    <w:rsid w:val="0085162E"/>
    <w:rsid w:val="00853B36"/>
    <w:rsid w:val="008541F5"/>
    <w:rsid w:val="00855DF2"/>
    <w:rsid w:val="00857769"/>
    <w:rsid w:val="00857EF8"/>
    <w:rsid w:val="0086184C"/>
    <w:rsid w:val="00862538"/>
    <w:rsid w:val="00863D55"/>
    <w:rsid w:val="00863DF6"/>
    <w:rsid w:val="0086442F"/>
    <w:rsid w:val="0086450C"/>
    <w:rsid w:val="008649F0"/>
    <w:rsid w:val="0086619A"/>
    <w:rsid w:val="0086698C"/>
    <w:rsid w:val="008673AD"/>
    <w:rsid w:val="0087019A"/>
    <w:rsid w:val="00870715"/>
    <w:rsid w:val="008728EC"/>
    <w:rsid w:val="00872AC3"/>
    <w:rsid w:val="00872D68"/>
    <w:rsid w:val="0087391C"/>
    <w:rsid w:val="00874CE1"/>
    <w:rsid w:val="0087513C"/>
    <w:rsid w:val="008759B6"/>
    <w:rsid w:val="00875D6D"/>
    <w:rsid w:val="00876BA9"/>
    <w:rsid w:val="00876F66"/>
    <w:rsid w:val="0087732B"/>
    <w:rsid w:val="00882301"/>
    <w:rsid w:val="008836A2"/>
    <w:rsid w:val="00883D6C"/>
    <w:rsid w:val="00883EE1"/>
    <w:rsid w:val="008845B1"/>
    <w:rsid w:val="008853BF"/>
    <w:rsid w:val="0088663B"/>
    <w:rsid w:val="00886913"/>
    <w:rsid w:val="0088760F"/>
    <w:rsid w:val="00887F42"/>
    <w:rsid w:val="008907D5"/>
    <w:rsid w:val="00891ACC"/>
    <w:rsid w:val="00891B46"/>
    <w:rsid w:val="00891C43"/>
    <w:rsid w:val="00893058"/>
    <w:rsid w:val="0089465E"/>
    <w:rsid w:val="00894765"/>
    <w:rsid w:val="008A0B37"/>
    <w:rsid w:val="008A1137"/>
    <w:rsid w:val="008A1534"/>
    <w:rsid w:val="008A2E00"/>
    <w:rsid w:val="008A54EE"/>
    <w:rsid w:val="008A7091"/>
    <w:rsid w:val="008B0EA8"/>
    <w:rsid w:val="008B1091"/>
    <w:rsid w:val="008B14E7"/>
    <w:rsid w:val="008B28E5"/>
    <w:rsid w:val="008B2BEB"/>
    <w:rsid w:val="008B3746"/>
    <w:rsid w:val="008B3B62"/>
    <w:rsid w:val="008B42DA"/>
    <w:rsid w:val="008B5372"/>
    <w:rsid w:val="008B5F02"/>
    <w:rsid w:val="008B76A9"/>
    <w:rsid w:val="008B7F15"/>
    <w:rsid w:val="008C12F6"/>
    <w:rsid w:val="008C1497"/>
    <w:rsid w:val="008C20EC"/>
    <w:rsid w:val="008C443E"/>
    <w:rsid w:val="008C44B6"/>
    <w:rsid w:val="008C666C"/>
    <w:rsid w:val="008C7461"/>
    <w:rsid w:val="008D09FE"/>
    <w:rsid w:val="008D2FF8"/>
    <w:rsid w:val="008D3974"/>
    <w:rsid w:val="008D63F9"/>
    <w:rsid w:val="008D6CD8"/>
    <w:rsid w:val="008D78EC"/>
    <w:rsid w:val="008E01D1"/>
    <w:rsid w:val="008E035E"/>
    <w:rsid w:val="008E0B3A"/>
    <w:rsid w:val="008E0E87"/>
    <w:rsid w:val="008E139B"/>
    <w:rsid w:val="008E2E42"/>
    <w:rsid w:val="008E590A"/>
    <w:rsid w:val="008E683F"/>
    <w:rsid w:val="008E76CD"/>
    <w:rsid w:val="008E7DBB"/>
    <w:rsid w:val="008F2B41"/>
    <w:rsid w:val="008F2CC2"/>
    <w:rsid w:val="008F3376"/>
    <w:rsid w:val="008F49A6"/>
    <w:rsid w:val="008F4D16"/>
    <w:rsid w:val="008F5101"/>
    <w:rsid w:val="008F52D5"/>
    <w:rsid w:val="00900195"/>
    <w:rsid w:val="00900DF9"/>
    <w:rsid w:val="00902560"/>
    <w:rsid w:val="00902DC5"/>
    <w:rsid w:val="0090432E"/>
    <w:rsid w:val="00904E20"/>
    <w:rsid w:val="00905122"/>
    <w:rsid w:val="00906A67"/>
    <w:rsid w:val="009077DA"/>
    <w:rsid w:val="00907E66"/>
    <w:rsid w:val="00912BFD"/>
    <w:rsid w:val="009177E8"/>
    <w:rsid w:val="009179E4"/>
    <w:rsid w:val="00920286"/>
    <w:rsid w:val="00920A1E"/>
    <w:rsid w:val="00921950"/>
    <w:rsid w:val="00922B5D"/>
    <w:rsid w:val="00923EB0"/>
    <w:rsid w:val="00925BC0"/>
    <w:rsid w:val="00930032"/>
    <w:rsid w:val="00933A84"/>
    <w:rsid w:val="00933AA3"/>
    <w:rsid w:val="00934C09"/>
    <w:rsid w:val="0094046F"/>
    <w:rsid w:val="009418B2"/>
    <w:rsid w:val="009419B7"/>
    <w:rsid w:val="00942399"/>
    <w:rsid w:val="00942E0D"/>
    <w:rsid w:val="009430C8"/>
    <w:rsid w:val="009436A1"/>
    <w:rsid w:val="00945D52"/>
    <w:rsid w:val="0094622B"/>
    <w:rsid w:val="0094663C"/>
    <w:rsid w:val="00947C64"/>
    <w:rsid w:val="009504F7"/>
    <w:rsid w:val="009505F8"/>
    <w:rsid w:val="00951302"/>
    <w:rsid w:val="00952CE8"/>
    <w:rsid w:val="00954082"/>
    <w:rsid w:val="00954880"/>
    <w:rsid w:val="00955028"/>
    <w:rsid w:val="00956524"/>
    <w:rsid w:val="00956F68"/>
    <w:rsid w:val="00957A31"/>
    <w:rsid w:val="009611EE"/>
    <w:rsid w:val="0096128D"/>
    <w:rsid w:val="009626B0"/>
    <w:rsid w:val="00962DC0"/>
    <w:rsid w:val="00962F5B"/>
    <w:rsid w:val="0096426F"/>
    <w:rsid w:val="0096679E"/>
    <w:rsid w:val="00966E27"/>
    <w:rsid w:val="009677D5"/>
    <w:rsid w:val="00971FCA"/>
    <w:rsid w:val="00975519"/>
    <w:rsid w:val="00975C4C"/>
    <w:rsid w:val="00975ED0"/>
    <w:rsid w:val="00976645"/>
    <w:rsid w:val="009768F3"/>
    <w:rsid w:val="00977057"/>
    <w:rsid w:val="00980152"/>
    <w:rsid w:val="009813A8"/>
    <w:rsid w:val="00981BAA"/>
    <w:rsid w:val="009823A3"/>
    <w:rsid w:val="009830BE"/>
    <w:rsid w:val="0098495C"/>
    <w:rsid w:val="009852A2"/>
    <w:rsid w:val="0098615E"/>
    <w:rsid w:val="00986997"/>
    <w:rsid w:val="00987E25"/>
    <w:rsid w:val="00987F03"/>
    <w:rsid w:val="00990C1E"/>
    <w:rsid w:val="00992410"/>
    <w:rsid w:val="00993D3C"/>
    <w:rsid w:val="009965FD"/>
    <w:rsid w:val="00996BB2"/>
    <w:rsid w:val="00997D2D"/>
    <w:rsid w:val="009A0053"/>
    <w:rsid w:val="009A1619"/>
    <w:rsid w:val="009A1708"/>
    <w:rsid w:val="009A1839"/>
    <w:rsid w:val="009A1EA3"/>
    <w:rsid w:val="009A1F11"/>
    <w:rsid w:val="009A290A"/>
    <w:rsid w:val="009A3EDE"/>
    <w:rsid w:val="009A41BD"/>
    <w:rsid w:val="009A49F0"/>
    <w:rsid w:val="009A4B22"/>
    <w:rsid w:val="009A5EF6"/>
    <w:rsid w:val="009A66A2"/>
    <w:rsid w:val="009B0537"/>
    <w:rsid w:val="009B0B24"/>
    <w:rsid w:val="009B160C"/>
    <w:rsid w:val="009B3807"/>
    <w:rsid w:val="009B3CE1"/>
    <w:rsid w:val="009B5AA5"/>
    <w:rsid w:val="009B6101"/>
    <w:rsid w:val="009C17EB"/>
    <w:rsid w:val="009C1F44"/>
    <w:rsid w:val="009C2CF0"/>
    <w:rsid w:val="009C711D"/>
    <w:rsid w:val="009C7234"/>
    <w:rsid w:val="009C7A9A"/>
    <w:rsid w:val="009D0028"/>
    <w:rsid w:val="009D144B"/>
    <w:rsid w:val="009D2864"/>
    <w:rsid w:val="009D2EF3"/>
    <w:rsid w:val="009D557B"/>
    <w:rsid w:val="009D5EF7"/>
    <w:rsid w:val="009D6DCE"/>
    <w:rsid w:val="009D794A"/>
    <w:rsid w:val="009D7DC6"/>
    <w:rsid w:val="009E03D1"/>
    <w:rsid w:val="009E084E"/>
    <w:rsid w:val="009E39FD"/>
    <w:rsid w:val="009E3EDF"/>
    <w:rsid w:val="009E461C"/>
    <w:rsid w:val="009E462E"/>
    <w:rsid w:val="009E48DE"/>
    <w:rsid w:val="009E4ED6"/>
    <w:rsid w:val="009E5A55"/>
    <w:rsid w:val="009E64CB"/>
    <w:rsid w:val="009E78DD"/>
    <w:rsid w:val="009E7935"/>
    <w:rsid w:val="009F108E"/>
    <w:rsid w:val="009F1AE6"/>
    <w:rsid w:val="009F2087"/>
    <w:rsid w:val="009F2234"/>
    <w:rsid w:val="009F2F3A"/>
    <w:rsid w:val="009F5D42"/>
    <w:rsid w:val="009F6457"/>
    <w:rsid w:val="009F7703"/>
    <w:rsid w:val="009F7F03"/>
    <w:rsid w:val="00A0141B"/>
    <w:rsid w:val="00A017FB"/>
    <w:rsid w:val="00A0234C"/>
    <w:rsid w:val="00A03A82"/>
    <w:rsid w:val="00A047AE"/>
    <w:rsid w:val="00A05FF9"/>
    <w:rsid w:val="00A064C2"/>
    <w:rsid w:val="00A0777B"/>
    <w:rsid w:val="00A110D1"/>
    <w:rsid w:val="00A12524"/>
    <w:rsid w:val="00A142DF"/>
    <w:rsid w:val="00A14D21"/>
    <w:rsid w:val="00A15F77"/>
    <w:rsid w:val="00A204C1"/>
    <w:rsid w:val="00A20A15"/>
    <w:rsid w:val="00A23E35"/>
    <w:rsid w:val="00A23F84"/>
    <w:rsid w:val="00A25EC9"/>
    <w:rsid w:val="00A27EA6"/>
    <w:rsid w:val="00A32BD3"/>
    <w:rsid w:val="00A32F26"/>
    <w:rsid w:val="00A33F52"/>
    <w:rsid w:val="00A3512A"/>
    <w:rsid w:val="00A37E20"/>
    <w:rsid w:val="00A40363"/>
    <w:rsid w:val="00A408C2"/>
    <w:rsid w:val="00A41DBD"/>
    <w:rsid w:val="00A4448F"/>
    <w:rsid w:val="00A44E04"/>
    <w:rsid w:val="00A45005"/>
    <w:rsid w:val="00A450C7"/>
    <w:rsid w:val="00A45E2C"/>
    <w:rsid w:val="00A468BF"/>
    <w:rsid w:val="00A5083B"/>
    <w:rsid w:val="00A50DD4"/>
    <w:rsid w:val="00A51B97"/>
    <w:rsid w:val="00A52711"/>
    <w:rsid w:val="00A53A86"/>
    <w:rsid w:val="00A53B63"/>
    <w:rsid w:val="00A5413D"/>
    <w:rsid w:val="00A5452A"/>
    <w:rsid w:val="00A559D4"/>
    <w:rsid w:val="00A57218"/>
    <w:rsid w:val="00A57BB7"/>
    <w:rsid w:val="00A6137D"/>
    <w:rsid w:val="00A623BC"/>
    <w:rsid w:val="00A62E71"/>
    <w:rsid w:val="00A6765E"/>
    <w:rsid w:val="00A67F52"/>
    <w:rsid w:val="00A70704"/>
    <w:rsid w:val="00A70E20"/>
    <w:rsid w:val="00A7102C"/>
    <w:rsid w:val="00A711C3"/>
    <w:rsid w:val="00A7127F"/>
    <w:rsid w:val="00A71879"/>
    <w:rsid w:val="00A7271F"/>
    <w:rsid w:val="00A72D50"/>
    <w:rsid w:val="00A73B2B"/>
    <w:rsid w:val="00A740FD"/>
    <w:rsid w:val="00A74648"/>
    <w:rsid w:val="00A749F5"/>
    <w:rsid w:val="00A74B1A"/>
    <w:rsid w:val="00A76450"/>
    <w:rsid w:val="00A76C89"/>
    <w:rsid w:val="00A7718F"/>
    <w:rsid w:val="00A827C7"/>
    <w:rsid w:val="00A827D7"/>
    <w:rsid w:val="00A83349"/>
    <w:rsid w:val="00A8388C"/>
    <w:rsid w:val="00A8441E"/>
    <w:rsid w:val="00A84495"/>
    <w:rsid w:val="00A85B04"/>
    <w:rsid w:val="00A86417"/>
    <w:rsid w:val="00A87431"/>
    <w:rsid w:val="00A90CF6"/>
    <w:rsid w:val="00A91721"/>
    <w:rsid w:val="00A91B00"/>
    <w:rsid w:val="00A91C21"/>
    <w:rsid w:val="00A93593"/>
    <w:rsid w:val="00A93CF5"/>
    <w:rsid w:val="00A94B5F"/>
    <w:rsid w:val="00A95B57"/>
    <w:rsid w:val="00A95D25"/>
    <w:rsid w:val="00A97D31"/>
    <w:rsid w:val="00AA067B"/>
    <w:rsid w:val="00AA0ADC"/>
    <w:rsid w:val="00AA0BD0"/>
    <w:rsid w:val="00AA0D9F"/>
    <w:rsid w:val="00AA2376"/>
    <w:rsid w:val="00AA2F9D"/>
    <w:rsid w:val="00AA39D2"/>
    <w:rsid w:val="00AA3E46"/>
    <w:rsid w:val="00AA40EF"/>
    <w:rsid w:val="00AA7A29"/>
    <w:rsid w:val="00AA7C83"/>
    <w:rsid w:val="00AB07C0"/>
    <w:rsid w:val="00AB1ACA"/>
    <w:rsid w:val="00AB459D"/>
    <w:rsid w:val="00AB5108"/>
    <w:rsid w:val="00AB5648"/>
    <w:rsid w:val="00AB6A44"/>
    <w:rsid w:val="00AB7FFA"/>
    <w:rsid w:val="00AC03B4"/>
    <w:rsid w:val="00AC2CC3"/>
    <w:rsid w:val="00AC484E"/>
    <w:rsid w:val="00AC73E2"/>
    <w:rsid w:val="00AD1221"/>
    <w:rsid w:val="00AD39C9"/>
    <w:rsid w:val="00AD43A7"/>
    <w:rsid w:val="00AD4B48"/>
    <w:rsid w:val="00AD4BAE"/>
    <w:rsid w:val="00AD6329"/>
    <w:rsid w:val="00AD6442"/>
    <w:rsid w:val="00AD684E"/>
    <w:rsid w:val="00AD7C5E"/>
    <w:rsid w:val="00AE205E"/>
    <w:rsid w:val="00AE2134"/>
    <w:rsid w:val="00AE2424"/>
    <w:rsid w:val="00AE2E45"/>
    <w:rsid w:val="00AE3D83"/>
    <w:rsid w:val="00AE42B9"/>
    <w:rsid w:val="00AE596D"/>
    <w:rsid w:val="00AE6381"/>
    <w:rsid w:val="00AE64BE"/>
    <w:rsid w:val="00AE72BB"/>
    <w:rsid w:val="00AF01C6"/>
    <w:rsid w:val="00AF08E3"/>
    <w:rsid w:val="00AF2882"/>
    <w:rsid w:val="00AF4652"/>
    <w:rsid w:val="00AF4B32"/>
    <w:rsid w:val="00AF521A"/>
    <w:rsid w:val="00AF564F"/>
    <w:rsid w:val="00AF5892"/>
    <w:rsid w:val="00AF5AFD"/>
    <w:rsid w:val="00AF79A1"/>
    <w:rsid w:val="00B00732"/>
    <w:rsid w:val="00B01158"/>
    <w:rsid w:val="00B033C0"/>
    <w:rsid w:val="00B06C3D"/>
    <w:rsid w:val="00B07EB2"/>
    <w:rsid w:val="00B1027B"/>
    <w:rsid w:val="00B10293"/>
    <w:rsid w:val="00B11FAC"/>
    <w:rsid w:val="00B1250B"/>
    <w:rsid w:val="00B13925"/>
    <w:rsid w:val="00B15ACA"/>
    <w:rsid w:val="00B167D6"/>
    <w:rsid w:val="00B16C5C"/>
    <w:rsid w:val="00B177ED"/>
    <w:rsid w:val="00B201EE"/>
    <w:rsid w:val="00B20298"/>
    <w:rsid w:val="00B203FA"/>
    <w:rsid w:val="00B20F40"/>
    <w:rsid w:val="00B2186A"/>
    <w:rsid w:val="00B219C1"/>
    <w:rsid w:val="00B219C2"/>
    <w:rsid w:val="00B22A4D"/>
    <w:rsid w:val="00B22C84"/>
    <w:rsid w:val="00B22F2C"/>
    <w:rsid w:val="00B22F93"/>
    <w:rsid w:val="00B25999"/>
    <w:rsid w:val="00B25DC6"/>
    <w:rsid w:val="00B2676E"/>
    <w:rsid w:val="00B2694B"/>
    <w:rsid w:val="00B27D08"/>
    <w:rsid w:val="00B310E1"/>
    <w:rsid w:val="00B33438"/>
    <w:rsid w:val="00B33D52"/>
    <w:rsid w:val="00B344E3"/>
    <w:rsid w:val="00B34C58"/>
    <w:rsid w:val="00B35787"/>
    <w:rsid w:val="00B357B2"/>
    <w:rsid w:val="00B35A4B"/>
    <w:rsid w:val="00B37D3C"/>
    <w:rsid w:val="00B4052B"/>
    <w:rsid w:val="00B41559"/>
    <w:rsid w:val="00B43132"/>
    <w:rsid w:val="00B432B9"/>
    <w:rsid w:val="00B4445F"/>
    <w:rsid w:val="00B4690A"/>
    <w:rsid w:val="00B510DF"/>
    <w:rsid w:val="00B5131B"/>
    <w:rsid w:val="00B54C7F"/>
    <w:rsid w:val="00B570A5"/>
    <w:rsid w:val="00B57DF7"/>
    <w:rsid w:val="00B57EAE"/>
    <w:rsid w:val="00B604CF"/>
    <w:rsid w:val="00B60AAD"/>
    <w:rsid w:val="00B60FF4"/>
    <w:rsid w:val="00B61468"/>
    <w:rsid w:val="00B62104"/>
    <w:rsid w:val="00B6370E"/>
    <w:rsid w:val="00B6630D"/>
    <w:rsid w:val="00B70F8E"/>
    <w:rsid w:val="00B71D9C"/>
    <w:rsid w:val="00B71E96"/>
    <w:rsid w:val="00B72F61"/>
    <w:rsid w:val="00B76058"/>
    <w:rsid w:val="00B778CC"/>
    <w:rsid w:val="00B77F85"/>
    <w:rsid w:val="00B8045F"/>
    <w:rsid w:val="00B81616"/>
    <w:rsid w:val="00B842C0"/>
    <w:rsid w:val="00B84F5E"/>
    <w:rsid w:val="00B86D72"/>
    <w:rsid w:val="00B8745A"/>
    <w:rsid w:val="00B87F6E"/>
    <w:rsid w:val="00B90091"/>
    <w:rsid w:val="00B909DB"/>
    <w:rsid w:val="00B90E8B"/>
    <w:rsid w:val="00B924A7"/>
    <w:rsid w:val="00B92564"/>
    <w:rsid w:val="00B92AC9"/>
    <w:rsid w:val="00B94414"/>
    <w:rsid w:val="00B95388"/>
    <w:rsid w:val="00B96A1D"/>
    <w:rsid w:val="00B9762B"/>
    <w:rsid w:val="00BA0CD3"/>
    <w:rsid w:val="00BA0E62"/>
    <w:rsid w:val="00BA21B7"/>
    <w:rsid w:val="00BA2656"/>
    <w:rsid w:val="00BA2A75"/>
    <w:rsid w:val="00BA3A1F"/>
    <w:rsid w:val="00BA4584"/>
    <w:rsid w:val="00BB1264"/>
    <w:rsid w:val="00BB1311"/>
    <w:rsid w:val="00BB19D4"/>
    <w:rsid w:val="00BB318C"/>
    <w:rsid w:val="00BB3923"/>
    <w:rsid w:val="00BB3F00"/>
    <w:rsid w:val="00BB480F"/>
    <w:rsid w:val="00BB6548"/>
    <w:rsid w:val="00BB6B40"/>
    <w:rsid w:val="00BB7560"/>
    <w:rsid w:val="00BC05FB"/>
    <w:rsid w:val="00BC072A"/>
    <w:rsid w:val="00BC0EF7"/>
    <w:rsid w:val="00BC3F89"/>
    <w:rsid w:val="00BC4956"/>
    <w:rsid w:val="00BC4E90"/>
    <w:rsid w:val="00BC5C32"/>
    <w:rsid w:val="00BC60B6"/>
    <w:rsid w:val="00BC6770"/>
    <w:rsid w:val="00BC711A"/>
    <w:rsid w:val="00BD05C7"/>
    <w:rsid w:val="00BD1020"/>
    <w:rsid w:val="00BD4EAD"/>
    <w:rsid w:val="00BD56AE"/>
    <w:rsid w:val="00BD5E2B"/>
    <w:rsid w:val="00BD675B"/>
    <w:rsid w:val="00BD6A65"/>
    <w:rsid w:val="00BE26D8"/>
    <w:rsid w:val="00BE3218"/>
    <w:rsid w:val="00BE4DCA"/>
    <w:rsid w:val="00BE5228"/>
    <w:rsid w:val="00BE7A94"/>
    <w:rsid w:val="00BF00FA"/>
    <w:rsid w:val="00BF3018"/>
    <w:rsid w:val="00BF572E"/>
    <w:rsid w:val="00BF5D7D"/>
    <w:rsid w:val="00BF6004"/>
    <w:rsid w:val="00C02BF3"/>
    <w:rsid w:val="00C02C38"/>
    <w:rsid w:val="00C03AF3"/>
    <w:rsid w:val="00C044D4"/>
    <w:rsid w:val="00C060FB"/>
    <w:rsid w:val="00C0624B"/>
    <w:rsid w:val="00C06416"/>
    <w:rsid w:val="00C0657A"/>
    <w:rsid w:val="00C07158"/>
    <w:rsid w:val="00C07733"/>
    <w:rsid w:val="00C07CF1"/>
    <w:rsid w:val="00C10025"/>
    <w:rsid w:val="00C11054"/>
    <w:rsid w:val="00C11BA5"/>
    <w:rsid w:val="00C123F8"/>
    <w:rsid w:val="00C12FC1"/>
    <w:rsid w:val="00C1377D"/>
    <w:rsid w:val="00C1383C"/>
    <w:rsid w:val="00C13E41"/>
    <w:rsid w:val="00C15176"/>
    <w:rsid w:val="00C15D9E"/>
    <w:rsid w:val="00C15F79"/>
    <w:rsid w:val="00C161E2"/>
    <w:rsid w:val="00C20BA6"/>
    <w:rsid w:val="00C210B9"/>
    <w:rsid w:val="00C243C0"/>
    <w:rsid w:val="00C24476"/>
    <w:rsid w:val="00C25BD0"/>
    <w:rsid w:val="00C261CB"/>
    <w:rsid w:val="00C26361"/>
    <w:rsid w:val="00C26736"/>
    <w:rsid w:val="00C26ABF"/>
    <w:rsid w:val="00C30104"/>
    <w:rsid w:val="00C30C25"/>
    <w:rsid w:val="00C33197"/>
    <w:rsid w:val="00C33D46"/>
    <w:rsid w:val="00C35AC2"/>
    <w:rsid w:val="00C36677"/>
    <w:rsid w:val="00C36688"/>
    <w:rsid w:val="00C41B84"/>
    <w:rsid w:val="00C42B34"/>
    <w:rsid w:val="00C42E47"/>
    <w:rsid w:val="00C43B5F"/>
    <w:rsid w:val="00C45D60"/>
    <w:rsid w:val="00C47C6B"/>
    <w:rsid w:val="00C5014B"/>
    <w:rsid w:val="00C51AF7"/>
    <w:rsid w:val="00C51E0B"/>
    <w:rsid w:val="00C525C7"/>
    <w:rsid w:val="00C52601"/>
    <w:rsid w:val="00C526AC"/>
    <w:rsid w:val="00C532B9"/>
    <w:rsid w:val="00C53332"/>
    <w:rsid w:val="00C53D1B"/>
    <w:rsid w:val="00C54112"/>
    <w:rsid w:val="00C542A0"/>
    <w:rsid w:val="00C550B6"/>
    <w:rsid w:val="00C551AB"/>
    <w:rsid w:val="00C5648B"/>
    <w:rsid w:val="00C63ABD"/>
    <w:rsid w:val="00C63B50"/>
    <w:rsid w:val="00C63C64"/>
    <w:rsid w:val="00C63CCC"/>
    <w:rsid w:val="00C65A04"/>
    <w:rsid w:val="00C66669"/>
    <w:rsid w:val="00C66857"/>
    <w:rsid w:val="00C7190B"/>
    <w:rsid w:val="00C72AE9"/>
    <w:rsid w:val="00C734B6"/>
    <w:rsid w:val="00C769FF"/>
    <w:rsid w:val="00C76E9C"/>
    <w:rsid w:val="00C7709F"/>
    <w:rsid w:val="00C77CB7"/>
    <w:rsid w:val="00C80E26"/>
    <w:rsid w:val="00C8202D"/>
    <w:rsid w:val="00C83200"/>
    <w:rsid w:val="00C83D8F"/>
    <w:rsid w:val="00C84181"/>
    <w:rsid w:val="00C867FD"/>
    <w:rsid w:val="00C90C1F"/>
    <w:rsid w:val="00C91D27"/>
    <w:rsid w:val="00C943C3"/>
    <w:rsid w:val="00C94EE2"/>
    <w:rsid w:val="00C95B5E"/>
    <w:rsid w:val="00C95F62"/>
    <w:rsid w:val="00C972C1"/>
    <w:rsid w:val="00C97647"/>
    <w:rsid w:val="00C97747"/>
    <w:rsid w:val="00CA028B"/>
    <w:rsid w:val="00CA0672"/>
    <w:rsid w:val="00CA2036"/>
    <w:rsid w:val="00CA2483"/>
    <w:rsid w:val="00CA3ABA"/>
    <w:rsid w:val="00CA4639"/>
    <w:rsid w:val="00CA5450"/>
    <w:rsid w:val="00CA673A"/>
    <w:rsid w:val="00CA67F1"/>
    <w:rsid w:val="00CA6C2A"/>
    <w:rsid w:val="00CA71A2"/>
    <w:rsid w:val="00CB0EA0"/>
    <w:rsid w:val="00CB202E"/>
    <w:rsid w:val="00CB2334"/>
    <w:rsid w:val="00CB35CC"/>
    <w:rsid w:val="00CB37A4"/>
    <w:rsid w:val="00CB6CB0"/>
    <w:rsid w:val="00CB727B"/>
    <w:rsid w:val="00CB73DA"/>
    <w:rsid w:val="00CC0729"/>
    <w:rsid w:val="00CC1000"/>
    <w:rsid w:val="00CC1E73"/>
    <w:rsid w:val="00CC2FAB"/>
    <w:rsid w:val="00CC5713"/>
    <w:rsid w:val="00CC5874"/>
    <w:rsid w:val="00CC5D66"/>
    <w:rsid w:val="00CC6BDB"/>
    <w:rsid w:val="00CC7AA0"/>
    <w:rsid w:val="00CD1986"/>
    <w:rsid w:val="00CD1C5C"/>
    <w:rsid w:val="00CD3D24"/>
    <w:rsid w:val="00CD4048"/>
    <w:rsid w:val="00CD5491"/>
    <w:rsid w:val="00CD56F0"/>
    <w:rsid w:val="00CD7A8A"/>
    <w:rsid w:val="00CE0011"/>
    <w:rsid w:val="00CE1297"/>
    <w:rsid w:val="00CE309F"/>
    <w:rsid w:val="00CE4BE3"/>
    <w:rsid w:val="00CE6F68"/>
    <w:rsid w:val="00CE7821"/>
    <w:rsid w:val="00CF13FA"/>
    <w:rsid w:val="00CF1CD8"/>
    <w:rsid w:val="00CF210D"/>
    <w:rsid w:val="00CF2221"/>
    <w:rsid w:val="00CF318B"/>
    <w:rsid w:val="00CF365A"/>
    <w:rsid w:val="00CF606E"/>
    <w:rsid w:val="00CF660D"/>
    <w:rsid w:val="00CF6ABD"/>
    <w:rsid w:val="00D002EB"/>
    <w:rsid w:val="00D039FB"/>
    <w:rsid w:val="00D0497D"/>
    <w:rsid w:val="00D05661"/>
    <w:rsid w:val="00D056E8"/>
    <w:rsid w:val="00D05D59"/>
    <w:rsid w:val="00D06534"/>
    <w:rsid w:val="00D06B81"/>
    <w:rsid w:val="00D11F1A"/>
    <w:rsid w:val="00D127B1"/>
    <w:rsid w:val="00D12D45"/>
    <w:rsid w:val="00D13768"/>
    <w:rsid w:val="00D14150"/>
    <w:rsid w:val="00D14405"/>
    <w:rsid w:val="00D154E7"/>
    <w:rsid w:val="00D167C3"/>
    <w:rsid w:val="00D16BD0"/>
    <w:rsid w:val="00D16D8F"/>
    <w:rsid w:val="00D20A13"/>
    <w:rsid w:val="00D20C09"/>
    <w:rsid w:val="00D21D81"/>
    <w:rsid w:val="00D24580"/>
    <w:rsid w:val="00D2560C"/>
    <w:rsid w:val="00D2675E"/>
    <w:rsid w:val="00D26C95"/>
    <w:rsid w:val="00D30F2E"/>
    <w:rsid w:val="00D31FF4"/>
    <w:rsid w:val="00D32361"/>
    <w:rsid w:val="00D33A42"/>
    <w:rsid w:val="00D349AE"/>
    <w:rsid w:val="00D35A61"/>
    <w:rsid w:val="00D36296"/>
    <w:rsid w:val="00D36593"/>
    <w:rsid w:val="00D41293"/>
    <w:rsid w:val="00D4154E"/>
    <w:rsid w:val="00D41BCB"/>
    <w:rsid w:val="00D42EEC"/>
    <w:rsid w:val="00D4310B"/>
    <w:rsid w:val="00D43A01"/>
    <w:rsid w:val="00D44CAF"/>
    <w:rsid w:val="00D450B5"/>
    <w:rsid w:val="00D4568E"/>
    <w:rsid w:val="00D45D2A"/>
    <w:rsid w:val="00D47261"/>
    <w:rsid w:val="00D508ED"/>
    <w:rsid w:val="00D52C6A"/>
    <w:rsid w:val="00D55D01"/>
    <w:rsid w:val="00D57C83"/>
    <w:rsid w:val="00D57E4F"/>
    <w:rsid w:val="00D61914"/>
    <w:rsid w:val="00D624DB"/>
    <w:rsid w:val="00D62840"/>
    <w:rsid w:val="00D641AB"/>
    <w:rsid w:val="00D641EA"/>
    <w:rsid w:val="00D64F61"/>
    <w:rsid w:val="00D66D78"/>
    <w:rsid w:val="00D676E5"/>
    <w:rsid w:val="00D700FD"/>
    <w:rsid w:val="00D70264"/>
    <w:rsid w:val="00D70514"/>
    <w:rsid w:val="00D716BF"/>
    <w:rsid w:val="00D738DB"/>
    <w:rsid w:val="00D73C16"/>
    <w:rsid w:val="00D74370"/>
    <w:rsid w:val="00D75407"/>
    <w:rsid w:val="00D75A1E"/>
    <w:rsid w:val="00D7666B"/>
    <w:rsid w:val="00D77B3F"/>
    <w:rsid w:val="00D80BF8"/>
    <w:rsid w:val="00D81FDF"/>
    <w:rsid w:val="00D820C3"/>
    <w:rsid w:val="00D826CF"/>
    <w:rsid w:val="00D83054"/>
    <w:rsid w:val="00D83C3F"/>
    <w:rsid w:val="00D90296"/>
    <w:rsid w:val="00D90625"/>
    <w:rsid w:val="00D90BD8"/>
    <w:rsid w:val="00D916E6"/>
    <w:rsid w:val="00D9209F"/>
    <w:rsid w:val="00D92D87"/>
    <w:rsid w:val="00D93673"/>
    <w:rsid w:val="00D9400F"/>
    <w:rsid w:val="00D943F6"/>
    <w:rsid w:val="00D952CF"/>
    <w:rsid w:val="00DA12B5"/>
    <w:rsid w:val="00DA36DC"/>
    <w:rsid w:val="00DA4623"/>
    <w:rsid w:val="00DA6ACC"/>
    <w:rsid w:val="00DA6D3B"/>
    <w:rsid w:val="00DA6D8F"/>
    <w:rsid w:val="00DA6F44"/>
    <w:rsid w:val="00DA7029"/>
    <w:rsid w:val="00DA7051"/>
    <w:rsid w:val="00DA7059"/>
    <w:rsid w:val="00DB034B"/>
    <w:rsid w:val="00DB0775"/>
    <w:rsid w:val="00DB170D"/>
    <w:rsid w:val="00DB25D4"/>
    <w:rsid w:val="00DB348E"/>
    <w:rsid w:val="00DB43C5"/>
    <w:rsid w:val="00DB43C6"/>
    <w:rsid w:val="00DB49C0"/>
    <w:rsid w:val="00DB5F25"/>
    <w:rsid w:val="00DB7E71"/>
    <w:rsid w:val="00DC010B"/>
    <w:rsid w:val="00DC1249"/>
    <w:rsid w:val="00DC1360"/>
    <w:rsid w:val="00DC176A"/>
    <w:rsid w:val="00DC1B13"/>
    <w:rsid w:val="00DC3F3A"/>
    <w:rsid w:val="00DC56DA"/>
    <w:rsid w:val="00DC77B8"/>
    <w:rsid w:val="00DC7BB8"/>
    <w:rsid w:val="00DD0199"/>
    <w:rsid w:val="00DD12BB"/>
    <w:rsid w:val="00DD1327"/>
    <w:rsid w:val="00DD1914"/>
    <w:rsid w:val="00DD1E97"/>
    <w:rsid w:val="00DD2A41"/>
    <w:rsid w:val="00DD37BD"/>
    <w:rsid w:val="00DD4B0F"/>
    <w:rsid w:val="00DD54A4"/>
    <w:rsid w:val="00DD59A9"/>
    <w:rsid w:val="00DD59ED"/>
    <w:rsid w:val="00DD6347"/>
    <w:rsid w:val="00DD63F8"/>
    <w:rsid w:val="00DD7120"/>
    <w:rsid w:val="00DD76FC"/>
    <w:rsid w:val="00DE0A15"/>
    <w:rsid w:val="00DE0CFF"/>
    <w:rsid w:val="00DE1EA5"/>
    <w:rsid w:val="00DE251C"/>
    <w:rsid w:val="00DE3F2A"/>
    <w:rsid w:val="00DE4494"/>
    <w:rsid w:val="00DE5C58"/>
    <w:rsid w:val="00DE6800"/>
    <w:rsid w:val="00DE6DC5"/>
    <w:rsid w:val="00DE73F8"/>
    <w:rsid w:val="00DE786B"/>
    <w:rsid w:val="00DF1BA1"/>
    <w:rsid w:val="00DF257E"/>
    <w:rsid w:val="00DF315F"/>
    <w:rsid w:val="00DF321D"/>
    <w:rsid w:val="00DF3639"/>
    <w:rsid w:val="00DF47A3"/>
    <w:rsid w:val="00DF4ED1"/>
    <w:rsid w:val="00DF4FC5"/>
    <w:rsid w:val="00DF518D"/>
    <w:rsid w:val="00DF5335"/>
    <w:rsid w:val="00DF60E5"/>
    <w:rsid w:val="00DF7245"/>
    <w:rsid w:val="00E002C4"/>
    <w:rsid w:val="00E015B4"/>
    <w:rsid w:val="00E01760"/>
    <w:rsid w:val="00E020F4"/>
    <w:rsid w:val="00E02730"/>
    <w:rsid w:val="00E02FDB"/>
    <w:rsid w:val="00E033C1"/>
    <w:rsid w:val="00E033E8"/>
    <w:rsid w:val="00E03F8E"/>
    <w:rsid w:val="00E04B08"/>
    <w:rsid w:val="00E05BB5"/>
    <w:rsid w:val="00E079E2"/>
    <w:rsid w:val="00E12BE1"/>
    <w:rsid w:val="00E16588"/>
    <w:rsid w:val="00E16EF7"/>
    <w:rsid w:val="00E178FB"/>
    <w:rsid w:val="00E17A2B"/>
    <w:rsid w:val="00E2083A"/>
    <w:rsid w:val="00E20C4B"/>
    <w:rsid w:val="00E22624"/>
    <w:rsid w:val="00E25FAA"/>
    <w:rsid w:val="00E27E13"/>
    <w:rsid w:val="00E3046D"/>
    <w:rsid w:val="00E320D7"/>
    <w:rsid w:val="00E35653"/>
    <w:rsid w:val="00E37B51"/>
    <w:rsid w:val="00E37FAD"/>
    <w:rsid w:val="00E4087F"/>
    <w:rsid w:val="00E46D63"/>
    <w:rsid w:val="00E52C6F"/>
    <w:rsid w:val="00E54CD7"/>
    <w:rsid w:val="00E5660A"/>
    <w:rsid w:val="00E56787"/>
    <w:rsid w:val="00E5703B"/>
    <w:rsid w:val="00E5742A"/>
    <w:rsid w:val="00E60543"/>
    <w:rsid w:val="00E6144E"/>
    <w:rsid w:val="00E67458"/>
    <w:rsid w:val="00E7152D"/>
    <w:rsid w:val="00E7304B"/>
    <w:rsid w:val="00E76E62"/>
    <w:rsid w:val="00E77720"/>
    <w:rsid w:val="00E77979"/>
    <w:rsid w:val="00E80107"/>
    <w:rsid w:val="00E809B9"/>
    <w:rsid w:val="00E81012"/>
    <w:rsid w:val="00E82560"/>
    <w:rsid w:val="00E82F88"/>
    <w:rsid w:val="00E833FA"/>
    <w:rsid w:val="00E84D4A"/>
    <w:rsid w:val="00E85F0B"/>
    <w:rsid w:val="00E86C45"/>
    <w:rsid w:val="00E87669"/>
    <w:rsid w:val="00E87889"/>
    <w:rsid w:val="00E90045"/>
    <w:rsid w:val="00E9100D"/>
    <w:rsid w:val="00E91C5F"/>
    <w:rsid w:val="00E91E5D"/>
    <w:rsid w:val="00E92708"/>
    <w:rsid w:val="00E92899"/>
    <w:rsid w:val="00E928E4"/>
    <w:rsid w:val="00E95384"/>
    <w:rsid w:val="00E95C4A"/>
    <w:rsid w:val="00E9678A"/>
    <w:rsid w:val="00E96DB5"/>
    <w:rsid w:val="00E96F7D"/>
    <w:rsid w:val="00EA0C60"/>
    <w:rsid w:val="00EA33F2"/>
    <w:rsid w:val="00EA3713"/>
    <w:rsid w:val="00EA4B9B"/>
    <w:rsid w:val="00EA580C"/>
    <w:rsid w:val="00EA5AB1"/>
    <w:rsid w:val="00EA71DF"/>
    <w:rsid w:val="00EA7A9B"/>
    <w:rsid w:val="00EA7F7E"/>
    <w:rsid w:val="00EB16F9"/>
    <w:rsid w:val="00EB2834"/>
    <w:rsid w:val="00EB2EC2"/>
    <w:rsid w:val="00EB3BDD"/>
    <w:rsid w:val="00EB4747"/>
    <w:rsid w:val="00EB54BF"/>
    <w:rsid w:val="00EB61E2"/>
    <w:rsid w:val="00EC1106"/>
    <w:rsid w:val="00EC1206"/>
    <w:rsid w:val="00EC16A3"/>
    <w:rsid w:val="00EC1A62"/>
    <w:rsid w:val="00EC22EF"/>
    <w:rsid w:val="00EC3090"/>
    <w:rsid w:val="00EC3329"/>
    <w:rsid w:val="00EC3704"/>
    <w:rsid w:val="00EC5FEB"/>
    <w:rsid w:val="00EC6AD4"/>
    <w:rsid w:val="00ED09CB"/>
    <w:rsid w:val="00ED2A3F"/>
    <w:rsid w:val="00ED2DE8"/>
    <w:rsid w:val="00ED5310"/>
    <w:rsid w:val="00ED57CA"/>
    <w:rsid w:val="00ED68DF"/>
    <w:rsid w:val="00ED7C76"/>
    <w:rsid w:val="00EE19B3"/>
    <w:rsid w:val="00EE1B4A"/>
    <w:rsid w:val="00EE1E09"/>
    <w:rsid w:val="00EE2FD4"/>
    <w:rsid w:val="00EE399E"/>
    <w:rsid w:val="00EE57EF"/>
    <w:rsid w:val="00EE6959"/>
    <w:rsid w:val="00EF04F7"/>
    <w:rsid w:val="00EF163F"/>
    <w:rsid w:val="00EF3664"/>
    <w:rsid w:val="00EF3A56"/>
    <w:rsid w:val="00EF41F2"/>
    <w:rsid w:val="00EF42F0"/>
    <w:rsid w:val="00EF43EE"/>
    <w:rsid w:val="00EF4D6B"/>
    <w:rsid w:val="00EF5B80"/>
    <w:rsid w:val="00EF5BE4"/>
    <w:rsid w:val="00EF640D"/>
    <w:rsid w:val="00F00457"/>
    <w:rsid w:val="00F024EA"/>
    <w:rsid w:val="00F02810"/>
    <w:rsid w:val="00F02AC8"/>
    <w:rsid w:val="00F037F7"/>
    <w:rsid w:val="00F04BA6"/>
    <w:rsid w:val="00F05797"/>
    <w:rsid w:val="00F05BD5"/>
    <w:rsid w:val="00F06425"/>
    <w:rsid w:val="00F10EE3"/>
    <w:rsid w:val="00F11D09"/>
    <w:rsid w:val="00F12388"/>
    <w:rsid w:val="00F1408F"/>
    <w:rsid w:val="00F1429E"/>
    <w:rsid w:val="00F154F8"/>
    <w:rsid w:val="00F15707"/>
    <w:rsid w:val="00F16C87"/>
    <w:rsid w:val="00F177B5"/>
    <w:rsid w:val="00F17A72"/>
    <w:rsid w:val="00F207E8"/>
    <w:rsid w:val="00F20E8C"/>
    <w:rsid w:val="00F219E2"/>
    <w:rsid w:val="00F23742"/>
    <w:rsid w:val="00F2386B"/>
    <w:rsid w:val="00F24C2D"/>
    <w:rsid w:val="00F26360"/>
    <w:rsid w:val="00F27ADC"/>
    <w:rsid w:val="00F3184D"/>
    <w:rsid w:val="00F31942"/>
    <w:rsid w:val="00F32842"/>
    <w:rsid w:val="00F32DA6"/>
    <w:rsid w:val="00F33C25"/>
    <w:rsid w:val="00F34C4E"/>
    <w:rsid w:val="00F35332"/>
    <w:rsid w:val="00F35858"/>
    <w:rsid w:val="00F369C0"/>
    <w:rsid w:val="00F36F33"/>
    <w:rsid w:val="00F40CA5"/>
    <w:rsid w:val="00F41A47"/>
    <w:rsid w:val="00F41E2B"/>
    <w:rsid w:val="00F424DB"/>
    <w:rsid w:val="00F446AF"/>
    <w:rsid w:val="00F44C46"/>
    <w:rsid w:val="00F466D0"/>
    <w:rsid w:val="00F477E3"/>
    <w:rsid w:val="00F51DDC"/>
    <w:rsid w:val="00F51E95"/>
    <w:rsid w:val="00F528B6"/>
    <w:rsid w:val="00F548A8"/>
    <w:rsid w:val="00F54EF0"/>
    <w:rsid w:val="00F562A6"/>
    <w:rsid w:val="00F5668B"/>
    <w:rsid w:val="00F57B0A"/>
    <w:rsid w:val="00F60110"/>
    <w:rsid w:val="00F614E8"/>
    <w:rsid w:val="00F617A9"/>
    <w:rsid w:val="00F622E4"/>
    <w:rsid w:val="00F627DC"/>
    <w:rsid w:val="00F63E57"/>
    <w:rsid w:val="00F64587"/>
    <w:rsid w:val="00F66926"/>
    <w:rsid w:val="00F669DB"/>
    <w:rsid w:val="00F66CBA"/>
    <w:rsid w:val="00F67B2D"/>
    <w:rsid w:val="00F719C6"/>
    <w:rsid w:val="00F7355A"/>
    <w:rsid w:val="00F7361A"/>
    <w:rsid w:val="00F7381F"/>
    <w:rsid w:val="00F75222"/>
    <w:rsid w:val="00F75DA5"/>
    <w:rsid w:val="00F7696C"/>
    <w:rsid w:val="00F80FFE"/>
    <w:rsid w:val="00F81E3E"/>
    <w:rsid w:val="00F82829"/>
    <w:rsid w:val="00F85E78"/>
    <w:rsid w:val="00F90829"/>
    <w:rsid w:val="00F910D0"/>
    <w:rsid w:val="00F9143C"/>
    <w:rsid w:val="00F92045"/>
    <w:rsid w:val="00F93C0C"/>
    <w:rsid w:val="00F93E59"/>
    <w:rsid w:val="00F96C9A"/>
    <w:rsid w:val="00FA1527"/>
    <w:rsid w:val="00FA316F"/>
    <w:rsid w:val="00FA53B6"/>
    <w:rsid w:val="00FA56C2"/>
    <w:rsid w:val="00FA7E30"/>
    <w:rsid w:val="00FB0127"/>
    <w:rsid w:val="00FB09FF"/>
    <w:rsid w:val="00FB1301"/>
    <w:rsid w:val="00FB3CD4"/>
    <w:rsid w:val="00FB623A"/>
    <w:rsid w:val="00FB72E4"/>
    <w:rsid w:val="00FC0805"/>
    <w:rsid w:val="00FC0BFF"/>
    <w:rsid w:val="00FC0CA8"/>
    <w:rsid w:val="00FC1DAA"/>
    <w:rsid w:val="00FC1FAA"/>
    <w:rsid w:val="00FC239B"/>
    <w:rsid w:val="00FC2987"/>
    <w:rsid w:val="00FC4CE6"/>
    <w:rsid w:val="00FC5600"/>
    <w:rsid w:val="00FC5AAC"/>
    <w:rsid w:val="00FC60D0"/>
    <w:rsid w:val="00FC62EE"/>
    <w:rsid w:val="00FC6BB9"/>
    <w:rsid w:val="00FD03F4"/>
    <w:rsid w:val="00FD11D7"/>
    <w:rsid w:val="00FD11E0"/>
    <w:rsid w:val="00FD223F"/>
    <w:rsid w:val="00FD3654"/>
    <w:rsid w:val="00FD3D6C"/>
    <w:rsid w:val="00FD3DD5"/>
    <w:rsid w:val="00FD4A9B"/>
    <w:rsid w:val="00FD53E0"/>
    <w:rsid w:val="00FD55E7"/>
    <w:rsid w:val="00FD606B"/>
    <w:rsid w:val="00FD6205"/>
    <w:rsid w:val="00FD6EC9"/>
    <w:rsid w:val="00FD7130"/>
    <w:rsid w:val="00FD7965"/>
    <w:rsid w:val="00FE150E"/>
    <w:rsid w:val="00FE195F"/>
    <w:rsid w:val="00FE342E"/>
    <w:rsid w:val="00FE4C4B"/>
    <w:rsid w:val="00FE6539"/>
    <w:rsid w:val="00FE7B50"/>
    <w:rsid w:val="00FF02A8"/>
    <w:rsid w:val="00FF17E1"/>
    <w:rsid w:val="00FF1EAE"/>
    <w:rsid w:val="00FF29EF"/>
    <w:rsid w:val="00FF436D"/>
    <w:rsid w:val="00FF5BDD"/>
    <w:rsid w:val="00FF68E2"/>
    <w:rsid w:val="00FF6E83"/>
    <w:rsid w:val="00FF79B1"/>
    <w:rsid w:val="01120C5A"/>
    <w:rsid w:val="012B1C39"/>
    <w:rsid w:val="013E2D29"/>
    <w:rsid w:val="013E30D0"/>
    <w:rsid w:val="0180712E"/>
    <w:rsid w:val="01C503CD"/>
    <w:rsid w:val="01D91895"/>
    <w:rsid w:val="01EC015C"/>
    <w:rsid w:val="02356763"/>
    <w:rsid w:val="02470A83"/>
    <w:rsid w:val="026B46D9"/>
    <w:rsid w:val="027B6093"/>
    <w:rsid w:val="027C4514"/>
    <w:rsid w:val="028E028B"/>
    <w:rsid w:val="029912F6"/>
    <w:rsid w:val="029D3838"/>
    <w:rsid w:val="02A129DC"/>
    <w:rsid w:val="02B1130A"/>
    <w:rsid w:val="02C67275"/>
    <w:rsid w:val="02E841FB"/>
    <w:rsid w:val="03136EA1"/>
    <w:rsid w:val="036530B7"/>
    <w:rsid w:val="037326A1"/>
    <w:rsid w:val="039247CF"/>
    <w:rsid w:val="039C19CD"/>
    <w:rsid w:val="03A429DF"/>
    <w:rsid w:val="03D7492E"/>
    <w:rsid w:val="03DC1A0C"/>
    <w:rsid w:val="03E9043B"/>
    <w:rsid w:val="04513A52"/>
    <w:rsid w:val="046D6052"/>
    <w:rsid w:val="0494681A"/>
    <w:rsid w:val="04BE166C"/>
    <w:rsid w:val="05004825"/>
    <w:rsid w:val="050260D2"/>
    <w:rsid w:val="05266D56"/>
    <w:rsid w:val="053647F8"/>
    <w:rsid w:val="056A5579"/>
    <w:rsid w:val="056E6B6E"/>
    <w:rsid w:val="058D392F"/>
    <w:rsid w:val="05CD3D14"/>
    <w:rsid w:val="05EC5CFB"/>
    <w:rsid w:val="060E6FC2"/>
    <w:rsid w:val="06153AE9"/>
    <w:rsid w:val="0616660B"/>
    <w:rsid w:val="062B74F4"/>
    <w:rsid w:val="066D0994"/>
    <w:rsid w:val="069F1301"/>
    <w:rsid w:val="06B52E78"/>
    <w:rsid w:val="06C42512"/>
    <w:rsid w:val="06D10431"/>
    <w:rsid w:val="06E71B5F"/>
    <w:rsid w:val="070E7D79"/>
    <w:rsid w:val="071A564D"/>
    <w:rsid w:val="077F2DF9"/>
    <w:rsid w:val="081E40D3"/>
    <w:rsid w:val="083106E9"/>
    <w:rsid w:val="08634780"/>
    <w:rsid w:val="08714155"/>
    <w:rsid w:val="089F37D7"/>
    <w:rsid w:val="08A26CE2"/>
    <w:rsid w:val="08B674C3"/>
    <w:rsid w:val="08FC10E9"/>
    <w:rsid w:val="09125D7D"/>
    <w:rsid w:val="092E5397"/>
    <w:rsid w:val="0940525E"/>
    <w:rsid w:val="098B6E9A"/>
    <w:rsid w:val="0997697D"/>
    <w:rsid w:val="09BA3AC8"/>
    <w:rsid w:val="09BE7548"/>
    <w:rsid w:val="09C57BE8"/>
    <w:rsid w:val="09D92A18"/>
    <w:rsid w:val="09DF5B02"/>
    <w:rsid w:val="09EB19F1"/>
    <w:rsid w:val="0A1932EA"/>
    <w:rsid w:val="0A273A4D"/>
    <w:rsid w:val="0A444709"/>
    <w:rsid w:val="0A6005F2"/>
    <w:rsid w:val="0A6754F2"/>
    <w:rsid w:val="0A887803"/>
    <w:rsid w:val="0A9D4DB6"/>
    <w:rsid w:val="0ACC1675"/>
    <w:rsid w:val="0AEA0206"/>
    <w:rsid w:val="0AF67694"/>
    <w:rsid w:val="0AF717B4"/>
    <w:rsid w:val="0AFF1E9C"/>
    <w:rsid w:val="0B2A5632"/>
    <w:rsid w:val="0B4608D5"/>
    <w:rsid w:val="0B53280F"/>
    <w:rsid w:val="0B8C17A9"/>
    <w:rsid w:val="0BA7249D"/>
    <w:rsid w:val="0BBB7611"/>
    <w:rsid w:val="0BE877E8"/>
    <w:rsid w:val="0BF63B16"/>
    <w:rsid w:val="0BFE758D"/>
    <w:rsid w:val="0C4D7A24"/>
    <w:rsid w:val="0C5263F3"/>
    <w:rsid w:val="0C790242"/>
    <w:rsid w:val="0C8311DD"/>
    <w:rsid w:val="0CAB1C03"/>
    <w:rsid w:val="0CB401B8"/>
    <w:rsid w:val="0CC6046D"/>
    <w:rsid w:val="0CE05F73"/>
    <w:rsid w:val="0CE2199A"/>
    <w:rsid w:val="0CEA64D8"/>
    <w:rsid w:val="0CEE043E"/>
    <w:rsid w:val="0CEE33A7"/>
    <w:rsid w:val="0CF73485"/>
    <w:rsid w:val="0D142B79"/>
    <w:rsid w:val="0D1A00A3"/>
    <w:rsid w:val="0D1C4428"/>
    <w:rsid w:val="0D2E6A5D"/>
    <w:rsid w:val="0D371F87"/>
    <w:rsid w:val="0D383E46"/>
    <w:rsid w:val="0D434F3C"/>
    <w:rsid w:val="0D9C27FB"/>
    <w:rsid w:val="0DAE4034"/>
    <w:rsid w:val="0DE0390E"/>
    <w:rsid w:val="0DE07764"/>
    <w:rsid w:val="0DE91A8E"/>
    <w:rsid w:val="0E397C14"/>
    <w:rsid w:val="0E5875D6"/>
    <w:rsid w:val="0E77544B"/>
    <w:rsid w:val="0E777494"/>
    <w:rsid w:val="0E9365E8"/>
    <w:rsid w:val="0EB31038"/>
    <w:rsid w:val="0F014E6A"/>
    <w:rsid w:val="0F0D3995"/>
    <w:rsid w:val="0F2A5EAE"/>
    <w:rsid w:val="0F527705"/>
    <w:rsid w:val="0F6F45F2"/>
    <w:rsid w:val="0F890F2A"/>
    <w:rsid w:val="0F8E3702"/>
    <w:rsid w:val="10137E80"/>
    <w:rsid w:val="102858E0"/>
    <w:rsid w:val="105F7FB9"/>
    <w:rsid w:val="106A1358"/>
    <w:rsid w:val="10857E1D"/>
    <w:rsid w:val="10B55056"/>
    <w:rsid w:val="10B92D5F"/>
    <w:rsid w:val="10FE689B"/>
    <w:rsid w:val="110D12AF"/>
    <w:rsid w:val="11565E5D"/>
    <w:rsid w:val="11C07F9E"/>
    <w:rsid w:val="120471DA"/>
    <w:rsid w:val="12075D8A"/>
    <w:rsid w:val="122D52DE"/>
    <w:rsid w:val="127149A9"/>
    <w:rsid w:val="129544CA"/>
    <w:rsid w:val="12AC0679"/>
    <w:rsid w:val="12AF41EE"/>
    <w:rsid w:val="12B0655B"/>
    <w:rsid w:val="12FF5B6A"/>
    <w:rsid w:val="131E6EA2"/>
    <w:rsid w:val="132C1E74"/>
    <w:rsid w:val="133B68F2"/>
    <w:rsid w:val="13467171"/>
    <w:rsid w:val="136852DF"/>
    <w:rsid w:val="136C7D77"/>
    <w:rsid w:val="139A0EF5"/>
    <w:rsid w:val="13AF4D1D"/>
    <w:rsid w:val="13F20275"/>
    <w:rsid w:val="14107459"/>
    <w:rsid w:val="141F678B"/>
    <w:rsid w:val="143A67B4"/>
    <w:rsid w:val="14642D18"/>
    <w:rsid w:val="147B2820"/>
    <w:rsid w:val="147D6F36"/>
    <w:rsid w:val="147F2529"/>
    <w:rsid w:val="148264B9"/>
    <w:rsid w:val="14903299"/>
    <w:rsid w:val="149C4293"/>
    <w:rsid w:val="14BD7C0D"/>
    <w:rsid w:val="14CF5102"/>
    <w:rsid w:val="14E36414"/>
    <w:rsid w:val="1511080A"/>
    <w:rsid w:val="152C5690"/>
    <w:rsid w:val="153B47A7"/>
    <w:rsid w:val="15466537"/>
    <w:rsid w:val="1549561B"/>
    <w:rsid w:val="15496E9F"/>
    <w:rsid w:val="15531D89"/>
    <w:rsid w:val="158A0A06"/>
    <w:rsid w:val="15BD0B31"/>
    <w:rsid w:val="15C03EA2"/>
    <w:rsid w:val="15CB05F6"/>
    <w:rsid w:val="15D307C2"/>
    <w:rsid w:val="15E22C4D"/>
    <w:rsid w:val="15E25D90"/>
    <w:rsid w:val="160337E8"/>
    <w:rsid w:val="16125C82"/>
    <w:rsid w:val="16442914"/>
    <w:rsid w:val="164451B1"/>
    <w:rsid w:val="1659087A"/>
    <w:rsid w:val="16AC1EED"/>
    <w:rsid w:val="16BE4AF3"/>
    <w:rsid w:val="16DF3C0F"/>
    <w:rsid w:val="16F92EA6"/>
    <w:rsid w:val="170B1EE5"/>
    <w:rsid w:val="17121D8B"/>
    <w:rsid w:val="17524AEF"/>
    <w:rsid w:val="1764287E"/>
    <w:rsid w:val="17697650"/>
    <w:rsid w:val="17714925"/>
    <w:rsid w:val="1786364E"/>
    <w:rsid w:val="17894D64"/>
    <w:rsid w:val="17B00B69"/>
    <w:rsid w:val="17CF38A5"/>
    <w:rsid w:val="17EF4805"/>
    <w:rsid w:val="180376AA"/>
    <w:rsid w:val="182F69CB"/>
    <w:rsid w:val="183663F9"/>
    <w:rsid w:val="18845821"/>
    <w:rsid w:val="188C5682"/>
    <w:rsid w:val="18907D48"/>
    <w:rsid w:val="18B0091F"/>
    <w:rsid w:val="18B45B34"/>
    <w:rsid w:val="18E47B5C"/>
    <w:rsid w:val="19901E84"/>
    <w:rsid w:val="19A30960"/>
    <w:rsid w:val="19BC102D"/>
    <w:rsid w:val="19D07087"/>
    <w:rsid w:val="1A0D335C"/>
    <w:rsid w:val="1A186B12"/>
    <w:rsid w:val="1AC21B3A"/>
    <w:rsid w:val="1AC46015"/>
    <w:rsid w:val="1AF34CF1"/>
    <w:rsid w:val="1AF6574C"/>
    <w:rsid w:val="1B2321B2"/>
    <w:rsid w:val="1B392FC0"/>
    <w:rsid w:val="1B463085"/>
    <w:rsid w:val="1B4B3E2D"/>
    <w:rsid w:val="1B5F6B54"/>
    <w:rsid w:val="1B7473BE"/>
    <w:rsid w:val="1BF5512B"/>
    <w:rsid w:val="1BFC76D2"/>
    <w:rsid w:val="1C1844AB"/>
    <w:rsid w:val="1C48370E"/>
    <w:rsid w:val="1C6B2F42"/>
    <w:rsid w:val="1C8C2756"/>
    <w:rsid w:val="1C8C2C32"/>
    <w:rsid w:val="1CE41B4C"/>
    <w:rsid w:val="1D51752E"/>
    <w:rsid w:val="1D6C2FEA"/>
    <w:rsid w:val="1D8C2E1A"/>
    <w:rsid w:val="1DAF4958"/>
    <w:rsid w:val="1DB27328"/>
    <w:rsid w:val="1DC83667"/>
    <w:rsid w:val="1DE67874"/>
    <w:rsid w:val="1DEA4C08"/>
    <w:rsid w:val="1E07330A"/>
    <w:rsid w:val="1E2C0B6E"/>
    <w:rsid w:val="1E3611D6"/>
    <w:rsid w:val="1E8059CB"/>
    <w:rsid w:val="1EDA17E8"/>
    <w:rsid w:val="1F153FB9"/>
    <w:rsid w:val="1F2147B6"/>
    <w:rsid w:val="1F542870"/>
    <w:rsid w:val="1FA316BD"/>
    <w:rsid w:val="1FBD78B3"/>
    <w:rsid w:val="1FCB2F99"/>
    <w:rsid w:val="201A482E"/>
    <w:rsid w:val="206C46C2"/>
    <w:rsid w:val="206F341B"/>
    <w:rsid w:val="20925B97"/>
    <w:rsid w:val="20AE2343"/>
    <w:rsid w:val="20B6365D"/>
    <w:rsid w:val="20C0043C"/>
    <w:rsid w:val="20CA2B1A"/>
    <w:rsid w:val="20EF7350"/>
    <w:rsid w:val="210E7ACA"/>
    <w:rsid w:val="212C5EB6"/>
    <w:rsid w:val="212D3708"/>
    <w:rsid w:val="213A059B"/>
    <w:rsid w:val="215E00F8"/>
    <w:rsid w:val="216C6450"/>
    <w:rsid w:val="218D51B0"/>
    <w:rsid w:val="21A44B2F"/>
    <w:rsid w:val="21C718DE"/>
    <w:rsid w:val="21EB4CE3"/>
    <w:rsid w:val="21F438E8"/>
    <w:rsid w:val="222418D8"/>
    <w:rsid w:val="224C48A2"/>
    <w:rsid w:val="224E4037"/>
    <w:rsid w:val="22C0153F"/>
    <w:rsid w:val="22D3211C"/>
    <w:rsid w:val="233E399E"/>
    <w:rsid w:val="23411CD8"/>
    <w:rsid w:val="236D3878"/>
    <w:rsid w:val="23792F3B"/>
    <w:rsid w:val="239A1139"/>
    <w:rsid w:val="23AB3A43"/>
    <w:rsid w:val="23BD136A"/>
    <w:rsid w:val="23C93E77"/>
    <w:rsid w:val="24207290"/>
    <w:rsid w:val="242257F4"/>
    <w:rsid w:val="24330E5E"/>
    <w:rsid w:val="2441284E"/>
    <w:rsid w:val="24553095"/>
    <w:rsid w:val="24973CD7"/>
    <w:rsid w:val="24A15EBC"/>
    <w:rsid w:val="24A74F63"/>
    <w:rsid w:val="24BB3B6D"/>
    <w:rsid w:val="24BE1A29"/>
    <w:rsid w:val="24F7120F"/>
    <w:rsid w:val="24FC295D"/>
    <w:rsid w:val="251364DB"/>
    <w:rsid w:val="253C653A"/>
    <w:rsid w:val="25624A9D"/>
    <w:rsid w:val="257701EA"/>
    <w:rsid w:val="2581186B"/>
    <w:rsid w:val="258470C3"/>
    <w:rsid w:val="259563AB"/>
    <w:rsid w:val="25A73154"/>
    <w:rsid w:val="25C71523"/>
    <w:rsid w:val="25F35878"/>
    <w:rsid w:val="26014233"/>
    <w:rsid w:val="26127AA1"/>
    <w:rsid w:val="261D464F"/>
    <w:rsid w:val="26223DA2"/>
    <w:rsid w:val="26914D72"/>
    <w:rsid w:val="26A05698"/>
    <w:rsid w:val="26C65A30"/>
    <w:rsid w:val="26D96014"/>
    <w:rsid w:val="26DE2191"/>
    <w:rsid w:val="27032297"/>
    <w:rsid w:val="272B0014"/>
    <w:rsid w:val="2735154D"/>
    <w:rsid w:val="27725D40"/>
    <w:rsid w:val="27A40C69"/>
    <w:rsid w:val="27BB7514"/>
    <w:rsid w:val="27CE703E"/>
    <w:rsid w:val="28046B4F"/>
    <w:rsid w:val="28334D8D"/>
    <w:rsid w:val="2836325D"/>
    <w:rsid w:val="284A1874"/>
    <w:rsid w:val="289B62FC"/>
    <w:rsid w:val="28A349F9"/>
    <w:rsid w:val="28AC4B43"/>
    <w:rsid w:val="28BD1B38"/>
    <w:rsid w:val="28C96D63"/>
    <w:rsid w:val="28CB22D7"/>
    <w:rsid w:val="28D541A5"/>
    <w:rsid w:val="28DA7447"/>
    <w:rsid w:val="29065C75"/>
    <w:rsid w:val="292535BA"/>
    <w:rsid w:val="2930491A"/>
    <w:rsid w:val="29346F6C"/>
    <w:rsid w:val="29447D60"/>
    <w:rsid w:val="2950059E"/>
    <w:rsid w:val="299C0756"/>
    <w:rsid w:val="29B70A4C"/>
    <w:rsid w:val="2A1C1189"/>
    <w:rsid w:val="2A1D221B"/>
    <w:rsid w:val="2A2110BA"/>
    <w:rsid w:val="2A2F54D3"/>
    <w:rsid w:val="2A392D68"/>
    <w:rsid w:val="2A917B67"/>
    <w:rsid w:val="2A956383"/>
    <w:rsid w:val="2AB7345D"/>
    <w:rsid w:val="2AC96EBF"/>
    <w:rsid w:val="2AD2423E"/>
    <w:rsid w:val="2ADF5C18"/>
    <w:rsid w:val="2B021EE1"/>
    <w:rsid w:val="2B0A1A8F"/>
    <w:rsid w:val="2B630487"/>
    <w:rsid w:val="2B8768DF"/>
    <w:rsid w:val="2B8F127B"/>
    <w:rsid w:val="2BAE2E6B"/>
    <w:rsid w:val="2BAF541E"/>
    <w:rsid w:val="2BD34C3E"/>
    <w:rsid w:val="2BE76D35"/>
    <w:rsid w:val="2C694494"/>
    <w:rsid w:val="2C6B5346"/>
    <w:rsid w:val="2C6C680D"/>
    <w:rsid w:val="2CAC6EC2"/>
    <w:rsid w:val="2CB310AD"/>
    <w:rsid w:val="2CD20A98"/>
    <w:rsid w:val="2CFD18EA"/>
    <w:rsid w:val="2D07034E"/>
    <w:rsid w:val="2D123062"/>
    <w:rsid w:val="2D1D7671"/>
    <w:rsid w:val="2D234C65"/>
    <w:rsid w:val="2D3D48C9"/>
    <w:rsid w:val="2D6803DF"/>
    <w:rsid w:val="2D796577"/>
    <w:rsid w:val="2DA40507"/>
    <w:rsid w:val="2DE00199"/>
    <w:rsid w:val="2DEB624A"/>
    <w:rsid w:val="2E0B00A9"/>
    <w:rsid w:val="2E0C1537"/>
    <w:rsid w:val="2E571626"/>
    <w:rsid w:val="2E5B0215"/>
    <w:rsid w:val="2E5F0E4C"/>
    <w:rsid w:val="2E693FEF"/>
    <w:rsid w:val="2E771A32"/>
    <w:rsid w:val="2E8D2CF9"/>
    <w:rsid w:val="2EA23605"/>
    <w:rsid w:val="2EF01CF5"/>
    <w:rsid w:val="2F0B2012"/>
    <w:rsid w:val="2F0F6E9C"/>
    <w:rsid w:val="2F862DAF"/>
    <w:rsid w:val="2FC4173B"/>
    <w:rsid w:val="2FD75C1C"/>
    <w:rsid w:val="2FDD6F45"/>
    <w:rsid w:val="2FF53F42"/>
    <w:rsid w:val="302137E1"/>
    <w:rsid w:val="307359E2"/>
    <w:rsid w:val="309B7471"/>
    <w:rsid w:val="31022989"/>
    <w:rsid w:val="31B35611"/>
    <w:rsid w:val="31CA7A2A"/>
    <w:rsid w:val="320923E9"/>
    <w:rsid w:val="322406AA"/>
    <w:rsid w:val="32370010"/>
    <w:rsid w:val="32583AF5"/>
    <w:rsid w:val="325D642B"/>
    <w:rsid w:val="32606AE9"/>
    <w:rsid w:val="32996688"/>
    <w:rsid w:val="33092A82"/>
    <w:rsid w:val="330F448B"/>
    <w:rsid w:val="331315F8"/>
    <w:rsid w:val="33272966"/>
    <w:rsid w:val="334F51E5"/>
    <w:rsid w:val="335B53E8"/>
    <w:rsid w:val="335D4832"/>
    <w:rsid w:val="335E6080"/>
    <w:rsid w:val="33626940"/>
    <w:rsid w:val="33637992"/>
    <w:rsid w:val="336A7DE6"/>
    <w:rsid w:val="339C7D16"/>
    <w:rsid w:val="33C05934"/>
    <w:rsid w:val="33C545DE"/>
    <w:rsid w:val="33FE4DA3"/>
    <w:rsid w:val="3436470D"/>
    <w:rsid w:val="34456FA3"/>
    <w:rsid w:val="34562DE8"/>
    <w:rsid w:val="35004EAC"/>
    <w:rsid w:val="350D7206"/>
    <w:rsid w:val="350F7697"/>
    <w:rsid w:val="351A217B"/>
    <w:rsid w:val="351E3FF7"/>
    <w:rsid w:val="352C0AF8"/>
    <w:rsid w:val="353A05F3"/>
    <w:rsid w:val="354D3F85"/>
    <w:rsid w:val="354F7132"/>
    <w:rsid w:val="35BB2A02"/>
    <w:rsid w:val="36085397"/>
    <w:rsid w:val="36111071"/>
    <w:rsid w:val="36126AEA"/>
    <w:rsid w:val="364A06EC"/>
    <w:rsid w:val="364F1637"/>
    <w:rsid w:val="36870277"/>
    <w:rsid w:val="36C13292"/>
    <w:rsid w:val="37040001"/>
    <w:rsid w:val="37181CF3"/>
    <w:rsid w:val="37751622"/>
    <w:rsid w:val="379B7AA7"/>
    <w:rsid w:val="37B6287D"/>
    <w:rsid w:val="37E17A6B"/>
    <w:rsid w:val="37F30B10"/>
    <w:rsid w:val="38042D39"/>
    <w:rsid w:val="38281EAA"/>
    <w:rsid w:val="38360DD0"/>
    <w:rsid w:val="38454A38"/>
    <w:rsid w:val="384916CD"/>
    <w:rsid w:val="384A442F"/>
    <w:rsid w:val="38600FD8"/>
    <w:rsid w:val="3882021C"/>
    <w:rsid w:val="38D92750"/>
    <w:rsid w:val="38EF550C"/>
    <w:rsid w:val="390E13C3"/>
    <w:rsid w:val="3911745C"/>
    <w:rsid w:val="39173B5E"/>
    <w:rsid w:val="39356E50"/>
    <w:rsid w:val="39505300"/>
    <w:rsid w:val="39C3473B"/>
    <w:rsid w:val="39C707B9"/>
    <w:rsid w:val="39D64C49"/>
    <w:rsid w:val="39DD618D"/>
    <w:rsid w:val="3A3520A6"/>
    <w:rsid w:val="3AC64003"/>
    <w:rsid w:val="3ACC3721"/>
    <w:rsid w:val="3B0C5A77"/>
    <w:rsid w:val="3B1D3874"/>
    <w:rsid w:val="3B2E3700"/>
    <w:rsid w:val="3B39564C"/>
    <w:rsid w:val="3B607EC1"/>
    <w:rsid w:val="3B77601D"/>
    <w:rsid w:val="3B793368"/>
    <w:rsid w:val="3B7A549F"/>
    <w:rsid w:val="3B8A3FF2"/>
    <w:rsid w:val="3BAE589D"/>
    <w:rsid w:val="3BB954F6"/>
    <w:rsid w:val="3BBA7D0A"/>
    <w:rsid w:val="3BBD11AA"/>
    <w:rsid w:val="3C153153"/>
    <w:rsid w:val="3C29698F"/>
    <w:rsid w:val="3C40376A"/>
    <w:rsid w:val="3C406FD6"/>
    <w:rsid w:val="3C51411E"/>
    <w:rsid w:val="3C7B68E8"/>
    <w:rsid w:val="3C8A7C58"/>
    <w:rsid w:val="3C8F505C"/>
    <w:rsid w:val="3C9058E4"/>
    <w:rsid w:val="3C993804"/>
    <w:rsid w:val="3CCA4827"/>
    <w:rsid w:val="3CEB0C89"/>
    <w:rsid w:val="3D3F72C2"/>
    <w:rsid w:val="3D44065C"/>
    <w:rsid w:val="3D590919"/>
    <w:rsid w:val="3D6561EA"/>
    <w:rsid w:val="3D70618D"/>
    <w:rsid w:val="3DE86749"/>
    <w:rsid w:val="3DEF2522"/>
    <w:rsid w:val="3E124D7C"/>
    <w:rsid w:val="3E38443C"/>
    <w:rsid w:val="3E69342C"/>
    <w:rsid w:val="3E6E73FF"/>
    <w:rsid w:val="3E9522AF"/>
    <w:rsid w:val="3E962950"/>
    <w:rsid w:val="3EEA5120"/>
    <w:rsid w:val="3F425832"/>
    <w:rsid w:val="3F43681E"/>
    <w:rsid w:val="3F60517F"/>
    <w:rsid w:val="3F645561"/>
    <w:rsid w:val="3FCF70B8"/>
    <w:rsid w:val="3FDD3AA0"/>
    <w:rsid w:val="405A46B5"/>
    <w:rsid w:val="40BB6EC9"/>
    <w:rsid w:val="40D72A8B"/>
    <w:rsid w:val="40DE1747"/>
    <w:rsid w:val="40E455F8"/>
    <w:rsid w:val="412A5ABC"/>
    <w:rsid w:val="41361D36"/>
    <w:rsid w:val="41494B3D"/>
    <w:rsid w:val="41587BCF"/>
    <w:rsid w:val="41605BE4"/>
    <w:rsid w:val="41874618"/>
    <w:rsid w:val="419E7FFC"/>
    <w:rsid w:val="41D74374"/>
    <w:rsid w:val="41F5507F"/>
    <w:rsid w:val="41FA1162"/>
    <w:rsid w:val="4202793D"/>
    <w:rsid w:val="422042FF"/>
    <w:rsid w:val="422F39D6"/>
    <w:rsid w:val="42332ECA"/>
    <w:rsid w:val="4247190A"/>
    <w:rsid w:val="42840CD0"/>
    <w:rsid w:val="429860E9"/>
    <w:rsid w:val="42B96B17"/>
    <w:rsid w:val="42D13D54"/>
    <w:rsid w:val="43444813"/>
    <w:rsid w:val="43696EE4"/>
    <w:rsid w:val="43701BE2"/>
    <w:rsid w:val="437062A1"/>
    <w:rsid w:val="437103A2"/>
    <w:rsid w:val="43AF6E6A"/>
    <w:rsid w:val="43C63351"/>
    <w:rsid w:val="43E31FDC"/>
    <w:rsid w:val="442333C8"/>
    <w:rsid w:val="44483CFA"/>
    <w:rsid w:val="44523B39"/>
    <w:rsid w:val="445B594F"/>
    <w:rsid w:val="447F1E1D"/>
    <w:rsid w:val="449A624B"/>
    <w:rsid w:val="44C466BD"/>
    <w:rsid w:val="44F17453"/>
    <w:rsid w:val="44F3065E"/>
    <w:rsid w:val="45081902"/>
    <w:rsid w:val="4518607E"/>
    <w:rsid w:val="451A54DF"/>
    <w:rsid w:val="4535782C"/>
    <w:rsid w:val="45517307"/>
    <w:rsid w:val="45622D3C"/>
    <w:rsid w:val="457D66F2"/>
    <w:rsid w:val="457F0523"/>
    <w:rsid w:val="459F7F39"/>
    <w:rsid w:val="45B86BC6"/>
    <w:rsid w:val="45BE3C52"/>
    <w:rsid w:val="460A7350"/>
    <w:rsid w:val="462E3823"/>
    <w:rsid w:val="46351DA3"/>
    <w:rsid w:val="465051B0"/>
    <w:rsid w:val="46581E67"/>
    <w:rsid w:val="46CD147F"/>
    <w:rsid w:val="46FC0837"/>
    <w:rsid w:val="473135E4"/>
    <w:rsid w:val="473549AD"/>
    <w:rsid w:val="475578CD"/>
    <w:rsid w:val="47587416"/>
    <w:rsid w:val="4766256B"/>
    <w:rsid w:val="47A201D3"/>
    <w:rsid w:val="47B01544"/>
    <w:rsid w:val="47B76110"/>
    <w:rsid w:val="47B92BD4"/>
    <w:rsid w:val="47C731F7"/>
    <w:rsid w:val="47D14C87"/>
    <w:rsid w:val="47FA7D72"/>
    <w:rsid w:val="48790EEA"/>
    <w:rsid w:val="48981C49"/>
    <w:rsid w:val="48982A83"/>
    <w:rsid w:val="48983AA4"/>
    <w:rsid w:val="48A23711"/>
    <w:rsid w:val="48F05345"/>
    <w:rsid w:val="48F66A0C"/>
    <w:rsid w:val="48F86677"/>
    <w:rsid w:val="490B2951"/>
    <w:rsid w:val="49246774"/>
    <w:rsid w:val="49332B84"/>
    <w:rsid w:val="4933336A"/>
    <w:rsid w:val="497C3BB5"/>
    <w:rsid w:val="49825983"/>
    <w:rsid w:val="499344C9"/>
    <w:rsid w:val="49A07551"/>
    <w:rsid w:val="49A55919"/>
    <w:rsid w:val="49BA3312"/>
    <w:rsid w:val="49C047E8"/>
    <w:rsid w:val="49C75EDA"/>
    <w:rsid w:val="49D57D3E"/>
    <w:rsid w:val="4A3F72C9"/>
    <w:rsid w:val="4A49657D"/>
    <w:rsid w:val="4A6A7525"/>
    <w:rsid w:val="4A885785"/>
    <w:rsid w:val="4A8B5CB4"/>
    <w:rsid w:val="4A9838FD"/>
    <w:rsid w:val="4AD443D6"/>
    <w:rsid w:val="4B11183E"/>
    <w:rsid w:val="4B304768"/>
    <w:rsid w:val="4B6702DA"/>
    <w:rsid w:val="4BA032C9"/>
    <w:rsid w:val="4BA47CF7"/>
    <w:rsid w:val="4BBD1212"/>
    <w:rsid w:val="4BC05E67"/>
    <w:rsid w:val="4BC7071B"/>
    <w:rsid w:val="4BD3010E"/>
    <w:rsid w:val="4BF026A0"/>
    <w:rsid w:val="4BFF3F6F"/>
    <w:rsid w:val="4C113768"/>
    <w:rsid w:val="4C7E1845"/>
    <w:rsid w:val="4C9D3ED0"/>
    <w:rsid w:val="4D1A10FE"/>
    <w:rsid w:val="4D3510E5"/>
    <w:rsid w:val="4D35619D"/>
    <w:rsid w:val="4D5B1505"/>
    <w:rsid w:val="4D8B2330"/>
    <w:rsid w:val="4DA21EFD"/>
    <w:rsid w:val="4DCC4084"/>
    <w:rsid w:val="4DED62CB"/>
    <w:rsid w:val="4DF35966"/>
    <w:rsid w:val="4E080DBD"/>
    <w:rsid w:val="4E1B11E1"/>
    <w:rsid w:val="4E260840"/>
    <w:rsid w:val="4E2B526E"/>
    <w:rsid w:val="4E6D0076"/>
    <w:rsid w:val="4E874A51"/>
    <w:rsid w:val="4EC61377"/>
    <w:rsid w:val="4EC651E4"/>
    <w:rsid w:val="4EEF46D1"/>
    <w:rsid w:val="4EF25ECA"/>
    <w:rsid w:val="4F1B23CF"/>
    <w:rsid w:val="4F461B54"/>
    <w:rsid w:val="4F637305"/>
    <w:rsid w:val="4F8813E1"/>
    <w:rsid w:val="4FCB02BE"/>
    <w:rsid w:val="4FDD5930"/>
    <w:rsid w:val="4FED2992"/>
    <w:rsid w:val="4FF31FCF"/>
    <w:rsid w:val="5039783B"/>
    <w:rsid w:val="504445F0"/>
    <w:rsid w:val="50562677"/>
    <w:rsid w:val="50675269"/>
    <w:rsid w:val="50CF3D15"/>
    <w:rsid w:val="50D51B61"/>
    <w:rsid w:val="50FD0103"/>
    <w:rsid w:val="5118247C"/>
    <w:rsid w:val="516528DD"/>
    <w:rsid w:val="516E158F"/>
    <w:rsid w:val="51727C8F"/>
    <w:rsid w:val="519853EF"/>
    <w:rsid w:val="51A9191D"/>
    <w:rsid w:val="51C54649"/>
    <w:rsid w:val="51FC79FF"/>
    <w:rsid w:val="521F1409"/>
    <w:rsid w:val="524049C1"/>
    <w:rsid w:val="5246684A"/>
    <w:rsid w:val="529102F8"/>
    <w:rsid w:val="52EA7EC9"/>
    <w:rsid w:val="52F50359"/>
    <w:rsid w:val="531B48F2"/>
    <w:rsid w:val="533C4F03"/>
    <w:rsid w:val="534B01D8"/>
    <w:rsid w:val="53BD2644"/>
    <w:rsid w:val="53DB54DA"/>
    <w:rsid w:val="543A7C90"/>
    <w:rsid w:val="546B2FE2"/>
    <w:rsid w:val="54731490"/>
    <w:rsid w:val="54792463"/>
    <w:rsid w:val="549A4A45"/>
    <w:rsid w:val="549A6909"/>
    <w:rsid w:val="54A23BEE"/>
    <w:rsid w:val="54E24199"/>
    <w:rsid w:val="55073D2F"/>
    <w:rsid w:val="551A105B"/>
    <w:rsid w:val="551E5284"/>
    <w:rsid w:val="5524352B"/>
    <w:rsid w:val="55305467"/>
    <w:rsid w:val="557414B9"/>
    <w:rsid w:val="55A33019"/>
    <w:rsid w:val="55D75107"/>
    <w:rsid w:val="56064695"/>
    <w:rsid w:val="567C24C2"/>
    <w:rsid w:val="56860360"/>
    <w:rsid w:val="568F73C5"/>
    <w:rsid w:val="56B2302B"/>
    <w:rsid w:val="56B93ABF"/>
    <w:rsid w:val="56C95C95"/>
    <w:rsid w:val="56D30FD1"/>
    <w:rsid w:val="56E30A6E"/>
    <w:rsid w:val="56E36E0D"/>
    <w:rsid w:val="56E952B6"/>
    <w:rsid w:val="57213F32"/>
    <w:rsid w:val="57454E17"/>
    <w:rsid w:val="575B44F0"/>
    <w:rsid w:val="57B37768"/>
    <w:rsid w:val="57B6610C"/>
    <w:rsid w:val="57D41F6B"/>
    <w:rsid w:val="57F56729"/>
    <w:rsid w:val="5809428B"/>
    <w:rsid w:val="5823702C"/>
    <w:rsid w:val="585C6B9F"/>
    <w:rsid w:val="586160F3"/>
    <w:rsid w:val="587E5B38"/>
    <w:rsid w:val="5886574A"/>
    <w:rsid w:val="58944FD0"/>
    <w:rsid w:val="58A72B03"/>
    <w:rsid w:val="58C657AD"/>
    <w:rsid w:val="58C8606B"/>
    <w:rsid w:val="58F72073"/>
    <w:rsid w:val="591768A0"/>
    <w:rsid w:val="59223652"/>
    <w:rsid w:val="5941368E"/>
    <w:rsid w:val="595A081C"/>
    <w:rsid w:val="5962797A"/>
    <w:rsid w:val="596335AA"/>
    <w:rsid w:val="59676357"/>
    <w:rsid w:val="596C23A1"/>
    <w:rsid w:val="59BC7FF8"/>
    <w:rsid w:val="59C666B8"/>
    <w:rsid w:val="59E11BE7"/>
    <w:rsid w:val="59FD1634"/>
    <w:rsid w:val="5A174039"/>
    <w:rsid w:val="5A29727C"/>
    <w:rsid w:val="5A3A1134"/>
    <w:rsid w:val="5A5364E3"/>
    <w:rsid w:val="5A661567"/>
    <w:rsid w:val="5A6A00BC"/>
    <w:rsid w:val="5A6F2B43"/>
    <w:rsid w:val="5A7166FC"/>
    <w:rsid w:val="5AC2018F"/>
    <w:rsid w:val="5AD912CD"/>
    <w:rsid w:val="5AEB511B"/>
    <w:rsid w:val="5AF87A61"/>
    <w:rsid w:val="5B071C3A"/>
    <w:rsid w:val="5B326BE8"/>
    <w:rsid w:val="5B7145D5"/>
    <w:rsid w:val="5B8351F8"/>
    <w:rsid w:val="5B8451E9"/>
    <w:rsid w:val="5B9A312A"/>
    <w:rsid w:val="5BAE5010"/>
    <w:rsid w:val="5C0C22DA"/>
    <w:rsid w:val="5C0F22B7"/>
    <w:rsid w:val="5C515D61"/>
    <w:rsid w:val="5C7F1C45"/>
    <w:rsid w:val="5C9E2080"/>
    <w:rsid w:val="5C9E46DC"/>
    <w:rsid w:val="5C9F019C"/>
    <w:rsid w:val="5CE140C9"/>
    <w:rsid w:val="5D1D4073"/>
    <w:rsid w:val="5D201879"/>
    <w:rsid w:val="5D3D79D8"/>
    <w:rsid w:val="5D540155"/>
    <w:rsid w:val="5D5E21AE"/>
    <w:rsid w:val="5D7751D7"/>
    <w:rsid w:val="5D99629E"/>
    <w:rsid w:val="5D99752B"/>
    <w:rsid w:val="5DA05DE1"/>
    <w:rsid w:val="5DA06BB0"/>
    <w:rsid w:val="5DBE2E4A"/>
    <w:rsid w:val="5DCC00BB"/>
    <w:rsid w:val="5DDC5BB9"/>
    <w:rsid w:val="5DE23A65"/>
    <w:rsid w:val="5DED49DD"/>
    <w:rsid w:val="5DF03660"/>
    <w:rsid w:val="5E577F57"/>
    <w:rsid w:val="5E5B3ED7"/>
    <w:rsid w:val="5EB928F1"/>
    <w:rsid w:val="5EC264E5"/>
    <w:rsid w:val="5ECB28DF"/>
    <w:rsid w:val="5EE63A62"/>
    <w:rsid w:val="5EE95773"/>
    <w:rsid w:val="5F1A4713"/>
    <w:rsid w:val="5F3F2E01"/>
    <w:rsid w:val="5F705A8F"/>
    <w:rsid w:val="5F771E5F"/>
    <w:rsid w:val="5FA44A58"/>
    <w:rsid w:val="5FAD00F0"/>
    <w:rsid w:val="5FBD3A74"/>
    <w:rsid w:val="5FCD3CBB"/>
    <w:rsid w:val="5FD50AB2"/>
    <w:rsid w:val="5FDE7129"/>
    <w:rsid w:val="5FF217EC"/>
    <w:rsid w:val="5FFE1512"/>
    <w:rsid w:val="60155D55"/>
    <w:rsid w:val="6030474A"/>
    <w:rsid w:val="604900BB"/>
    <w:rsid w:val="605E6D7F"/>
    <w:rsid w:val="60671F9D"/>
    <w:rsid w:val="607D5554"/>
    <w:rsid w:val="60B9706B"/>
    <w:rsid w:val="60FA37A8"/>
    <w:rsid w:val="60FA530F"/>
    <w:rsid w:val="61177246"/>
    <w:rsid w:val="616756F6"/>
    <w:rsid w:val="61692557"/>
    <w:rsid w:val="617145D3"/>
    <w:rsid w:val="619D7633"/>
    <w:rsid w:val="61B90166"/>
    <w:rsid w:val="61BE73CE"/>
    <w:rsid w:val="61D70C94"/>
    <w:rsid w:val="61DA2B0A"/>
    <w:rsid w:val="61EC4FCB"/>
    <w:rsid w:val="61EF40CF"/>
    <w:rsid w:val="623875A6"/>
    <w:rsid w:val="62453A92"/>
    <w:rsid w:val="624B1100"/>
    <w:rsid w:val="625618C8"/>
    <w:rsid w:val="625C4015"/>
    <w:rsid w:val="626222C3"/>
    <w:rsid w:val="626A7FAB"/>
    <w:rsid w:val="628507DC"/>
    <w:rsid w:val="62AF13F2"/>
    <w:rsid w:val="62C84E07"/>
    <w:rsid w:val="62E24D08"/>
    <w:rsid w:val="62E458A6"/>
    <w:rsid w:val="63184635"/>
    <w:rsid w:val="63257EB4"/>
    <w:rsid w:val="635712D7"/>
    <w:rsid w:val="6369753D"/>
    <w:rsid w:val="63905DBB"/>
    <w:rsid w:val="63CA7398"/>
    <w:rsid w:val="63DC7042"/>
    <w:rsid w:val="640A1577"/>
    <w:rsid w:val="641E009A"/>
    <w:rsid w:val="64363282"/>
    <w:rsid w:val="64363448"/>
    <w:rsid w:val="643803EA"/>
    <w:rsid w:val="64751A13"/>
    <w:rsid w:val="648D03FE"/>
    <w:rsid w:val="64AE446D"/>
    <w:rsid w:val="64C95B3C"/>
    <w:rsid w:val="64C9708D"/>
    <w:rsid w:val="64E45750"/>
    <w:rsid w:val="65022ECE"/>
    <w:rsid w:val="651D22F8"/>
    <w:rsid w:val="65247FC2"/>
    <w:rsid w:val="658958CD"/>
    <w:rsid w:val="65B45DAE"/>
    <w:rsid w:val="65B57B97"/>
    <w:rsid w:val="65C35962"/>
    <w:rsid w:val="66124503"/>
    <w:rsid w:val="66181AA4"/>
    <w:rsid w:val="66577485"/>
    <w:rsid w:val="66662805"/>
    <w:rsid w:val="66915FAF"/>
    <w:rsid w:val="66A03D27"/>
    <w:rsid w:val="66B7129B"/>
    <w:rsid w:val="66BD5875"/>
    <w:rsid w:val="66F92D1F"/>
    <w:rsid w:val="676733F8"/>
    <w:rsid w:val="677E3283"/>
    <w:rsid w:val="67B24224"/>
    <w:rsid w:val="67CC02F0"/>
    <w:rsid w:val="689F003D"/>
    <w:rsid w:val="68A30E23"/>
    <w:rsid w:val="68A64EF2"/>
    <w:rsid w:val="69067217"/>
    <w:rsid w:val="693E45E1"/>
    <w:rsid w:val="695F7B59"/>
    <w:rsid w:val="69655419"/>
    <w:rsid w:val="6990469B"/>
    <w:rsid w:val="699A3281"/>
    <w:rsid w:val="69A70A15"/>
    <w:rsid w:val="69BE5365"/>
    <w:rsid w:val="69C452D0"/>
    <w:rsid w:val="69DA3ABA"/>
    <w:rsid w:val="6A283C2F"/>
    <w:rsid w:val="6A567172"/>
    <w:rsid w:val="6A593346"/>
    <w:rsid w:val="6A680B21"/>
    <w:rsid w:val="6A9511BE"/>
    <w:rsid w:val="6AB4672A"/>
    <w:rsid w:val="6B2B6600"/>
    <w:rsid w:val="6B370523"/>
    <w:rsid w:val="6B606FDE"/>
    <w:rsid w:val="6B8A3D27"/>
    <w:rsid w:val="6BA31452"/>
    <w:rsid w:val="6BB93F2E"/>
    <w:rsid w:val="6BC51B84"/>
    <w:rsid w:val="6BDD5CDF"/>
    <w:rsid w:val="6C360067"/>
    <w:rsid w:val="6C4D1BF1"/>
    <w:rsid w:val="6C4E7886"/>
    <w:rsid w:val="6C59475E"/>
    <w:rsid w:val="6C8A0A72"/>
    <w:rsid w:val="6C910AF5"/>
    <w:rsid w:val="6CBE600E"/>
    <w:rsid w:val="6CE0230A"/>
    <w:rsid w:val="6CE2556C"/>
    <w:rsid w:val="6D0932BA"/>
    <w:rsid w:val="6D681221"/>
    <w:rsid w:val="6D732C4A"/>
    <w:rsid w:val="6D750A04"/>
    <w:rsid w:val="6D7B3475"/>
    <w:rsid w:val="6DE72936"/>
    <w:rsid w:val="6DED413E"/>
    <w:rsid w:val="6DF30741"/>
    <w:rsid w:val="6E116AA1"/>
    <w:rsid w:val="6E13175B"/>
    <w:rsid w:val="6E2A697D"/>
    <w:rsid w:val="6E90041D"/>
    <w:rsid w:val="6EAB32F9"/>
    <w:rsid w:val="6ECD404B"/>
    <w:rsid w:val="6F1A03CD"/>
    <w:rsid w:val="6F49087B"/>
    <w:rsid w:val="6F5A199B"/>
    <w:rsid w:val="6F6965FE"/>
    <w:rsid w:val="6F6C6291"/>
    <w:rsid w:val="6F762946"/>
    <w:rsid w:val="6FC97279"/>
    <w:rsid w:val="6FFD6E64"/>
    <w:rsid w:val="701C6DA2"/>
    <w:rsid w:val="70243E1E"/>
    <w:rsid w:val="70293A8A"/>
    <w:rsid w:val="703D1F08"/>
    <w:rsid w:val="7041162D"/>
    <w:rsid w:val="705E18A9"/>
    <w:rsid w:val="709F4AFC"/>
    <w:rsid w:val="70A71DA0"/>
    <w:rsid w:val="70C443E3"/>
    <w:rsid w:val="70D51AE7"/>
    <w:rsid w:val="70F272A0"/>
    <w:rsid w:val="71074020"/>
    <w:rsid w:val="711A78C6"/>
    <w:rsid w:val="713C38C2"/>
    <w:rsid w:val="71664295"/>
    <w:rsid w:val="71861C73"/>
    <w:rsid w:val="71B032E0"/>
    <w:rsid w:val="71B47386"/>
    <w:rsid w:val="71BC03DC"/>
    <w:rsid w:val="71C34A96"/>
    <w:rsid w:val="723868F0"/>
    <w:rsid w:val="725D3437"/>
    <w:rsid w:val="725D7955"/>
    <w:rsid w:val="726B58A6"/>
    <w:rsid w:val="72C664D9"/>
    <w:rsid w:val="72C87174"/>
    <w:rsid w:val="72ED26FA"/>
    <w:rsid w:val="72F81F58"/>
    <w:rsid w:val="72FC00D4"/>
    <w:rsid w:val="733168E2"/>
    <w:rsid w:val="737178DB"/>
    <w:rsid w:val="73722699"/>
    <w:rsid w:val="737E0F98"/>
    <w:rsid w:val="738A025C"/>
    <w:rsid w:val="73957CA7"/>
    <w:rsid w:val="73A27E09"/>
    <w:rsid w:val="73A54C57"/>
    <w:rsid w:val="73D12C6D"/>
    <w:rsid w:val="74123E54"/>
    <w:rsid w:val="743B585C"/>
    <w:rsid w:val="7441026B"/>
    <w:rsid w:val="747069EC"/>
    <w:rsid w:val="747B5F8D"/>
    <w:rsid w:val="74867D99"/>
    <w:rsid w:val="748E7E24"/>
    <w:rsid w:val="74990310"/>
    <w:rsid w:val="74B252D5"/>
    <w:rsid w:val="750C6F45"/>
    <w:rsid w:val="752A2DCE"/>
    <w:rsid w:val="755C5AB0"/>
    <w:rsid w:val="756845CD"/>
    <w:rsid w:val="75730C0D"/>
    <w:rsid w:val="759A1F8F"/>
    <w:rsid w:val="75BB6DBB"/>
    <w:rsid w:val="75BF1D13"/>
    <w:rsid w:val="75E41D5D"/>
    <w:rsid w:val="76327467"/>
    <w:rsid w:val="763E38B6"/>
    <w:rsid w:val="765E7308"/>
    <w:rsid w:val="768872E8"/>
    <w:rsid w:val="768F18FB"/>
    <w:rsid w:val="76970458"/>
    <w:rsid w:val="76BD5157"/>
    <w:rsid w:val="76C9312F"/>
    <w:rsid w:val="76E6219D"/>
    <w:rsid w:val="77005E49"/>
    <w:rsid w:val="77137251"/>
    <w:rsid w:val="77297BC7"/>
    <w:rsid w:val="77892258"/>
    <w:rsid w:val="77A213D3"/>
    <w:rsid w:val="77DA5BFF"/>
    <w:rsid w:val="7847044E"/>
    <w:rsid w:val="78612E9B"/>
    <w:rsid w:val="787333A8"/>
    <w:rsid w:val="78A344AF"/>
    <w:rsid w:val="78B37DE7"/>
    <w:rsid w:val="78DE5573"/>
    <w:rsid w:val="78E7774C"/>
    <w:rsid w:val="78ED00FF"/>
    <w:rsid w:val="78FC6082"/>
    <w:rsid w:val="790D76B0"/>
    <w:rsid w:val="79272A8A"/>
    <w:rsid w:val="794F5569"/>
    <w:rsid w:val="79C4015D"/>
    <w:rsid w:val="79C40A3B"/>
    <w:rsid w:val="79CA2CA8"/>
    <w:rsid w:val="79D0078B"/>
    <w:rsid w:val="79DA05F6"/>
    <w:rsid w:val="79E47BBF"/>
    <w:rsid w:val="7A082A4F"/>
    <w:rsid w:val="7A0B5702"/>
    <w:rsid w:val="7A1309DA"/>
    <w:rsid w:val="7A3F507B"/>
    <w:rsid w:val="7A6B2D94"/>
    <w:rsid w:val="7A775394"/>
    <w:rsid w:val="7ABE233E"/>
    <w:rsid w:val="7AEF7AA2"/>
    <w:rsid w:val="7AF35A5A"/>
    <w:rsid w:val="7B2409DB"/>
    <w:rsid w:val="7B247869"/>
    <w:rsid w:val="7B274905"/>
    <w:rsid w:val="7B3E0E83"/>
    <w:rsid w:val="7B5F0E76"/>
    <w:rsid w:val="7B6E1AD2"/>
    <w:rsid w:val="7BAD1DB6"/>
    <w:rsid w:val="7BB6582B"/>
    <w:rsid w:val="7C013819"/>
    <w:rsid w:val="7C180B2E"/>
    <w:rsid w:val="7C311497"/>
    <w:rsid w:val="7C754C47"/>
    <w:rsid w:val="7CA65B07"/>
    <w:rsid w:val="7CCD30FA"/>
    <w:rsid w:val="7CCE5556"/>
    <w:rsid w:val="7CE573F5"/>
    <w:rsid w:val="7CEE2194"/>
    <w:rsid w:val="7CF04E7A"/>
    <w:rsid w:val="7CF47604"/>
    <w:rsid w:val="7D11354B"/>
    <w:rsid w:val="7D5025A7"/>
    <w:rsid w:val="7D545522"/>
    <w:rsid w:val="7D567623"/>
    <w:rsid w:val="7D641A73"/>
    <w:rsid w:val="7D7D7785"/>
    <w:rsid w:val="7D801440"/>
    <w:rsid w:val="7DCD318B"/>
    <w:rsid w:val="7DD97ADF"/>
    <w:rsid w:val="7DDB557F"/>
    <w:rsid w:val="7DE9544C"/>
    <w:rsid w:val="7DEB0D5D"/>
    <w:rsid w:val="7DF26D36"/>
    <w:rsid w:val="7DF876B6"/>
    <w:rsid w:val="7E016808"/>
    <w:rsid w:val="7E2F4D88"/>
    <w:rsid w:val="7E5E6E19"/>
    <w:rsid w:val="7E6176D8"/>
    <w:rsid w:val="7ECB3F32"/>
    <w:rsid w:val="7EE4374A"/>
    <w:rsid w:val="7F0216AC"/>
    <w:rsid w:val="7F276728"/>
    <w:rsid w:val="7F304782"/>
    <w:rsid w:val="7F3D0E3B"/>
    <w:rsid w:val="7F400F8B"/>
    <w:rsid w:val="7F72749C"/>
    <w:rsid w:val="7F7A573C"/>
    <w:rsid w:val="7FC0063B"/>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kern w:val="44"/>
      <w:sz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6"/>
    <w:qFormat/>
    <w:uiPriority w:val="0"/>
    <w:pPr>
      <w:keepNext/>
      <w:outlineLvl w:val="2"/>
    </w:pPr>
    <w:rPr>
      <w:rFonts w:ascii="楷体_GB2312" w:hAnsi="宋体" w:eastAsia="楷体_GB2312"/>
      <w:b/>
      <w:sz w:val="32"/>
    </w:rPr>
  </w:style>
  <w:style w:type="paragraph" w:styleId="5">
    <w:name w:val="heading 4"/>
    <w:basedOn w:val="1"/>
    <w:next w:val="1"/>
    <w:link w:val="57"/>
    <w:qFormat/>
    <w:uiPriority w:val="9"/>
    <w:pPr>
      <w:keepNext/>
      <w:spacing w:line="460" w:lineRule="exact"/>
      <w:outlineLvl w:val="3"/>
    </w:pPr>
    <w:rPr>
      <w:rFonts w:ascii="宋体" w:hAnsi="宋体"/>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pPr>
  </w:style>
  <w:style w:type="paragraph" w:styleId="7">
    <w:name w:val="Normal Indent"/>
    <w:basedOn w:val="1"/>
    <w:link w:val="58"/>
    <w:qFormat/>
    <w:uiPriority w:val="0"/>
    <w:pPr>
      <w:spacing w:line="360" w:lineRule="auto"/>
      <w:ind w:firstLine="420"/>
    </w:pPr>
  </w:style>
  <w:style w:type="paragraph" w:styleId="8">
    <w:name w:val="caption"/>
    <w:basedOn w:val="1"/>
    <w:next w:val="1"/>
    <w:qFormat/>
    <w:uiPriority w:val="0"/>
    <w:rPr>
      <w:rFonts w:ascii="Arial" w:hAnsi="Arial" w:eastAsia="黑体"/>
      <w:sz w:val="20"/>
    </w:rPr>
  </w:style>
  <w:style w:type="paragraph" w:styleId="9">
    <w:name w:val="Document Map"/>
    <w:basedOn w:val="1"/>
    <w:link w:val="59"/>
    <w:qFormat/>
    <w:uiPriority w:val="99"/>
    <w:pPr>
      <w:shd w:val="clear" w:color="auto" w:fill="000080"/>
    </w:pPr>
  </w:style>
  <w:style w:type="paragraph" w:styleId="10">
    <w:name w:val="annotation text"/>
    <w:basedOn w:val="1"/>
    <w:semiHidden/>
    <w:qFormat/>
    <w:uiPriority w:val="0"/>
  </w:style>
  <w:style w:type="paragraph" w:styleId="11">
    <w:name w:val="Body Text 3"/>
    <w:basedOn w:val="1"/>
    <w:qFormat/>
    <w:uiPriority w:val="0"/>
    <w:pPr>
      <w:spacing w:after="120"/>
    </w:pPr>
    <w:rPr>
      <w:sz w:val="16"/>
    </w:rPr>
  </w:style>
  <w:style w:type="paragraph" w:styleId="12">
    <w:name w:val="Body Text"/>
    <w:basedOn w:val="1"/>
    <w:next w:val="1"/>
    <w:qFormat/>
    <w:uiPriority w:val="0"/>
    <w:pPr>
      <w:spacing w:line="460" w:lineRule="exact"/>
    </w:pPr>
    <w:rPr>
      <w:rFonts w:ascii="宋体" w:hAnsi="宋体"/>
    </w:rPr>
  </w:style>
  <w:style w:type="paragraph" w:styleId="13">
    <w:name w:val="Body Text Indent"/>
    <w:basedOn w:val="1"/>
    <w:next w:val="14"/>
    <w:qFormat/>
    <w:uiPriority w:val="0"/>
    <w:pPr>
      <w:ind w:firstLine="570"/>
    </w:pPr>
    <w:rPr>
      <w:rFonts w:ascii="宋体" w:hAnsi="宋体"/>
      <w:sz w:val="28"/>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qFormat/>
    <w:uiPriority w:val="0"/>
    <w:pPr>
      <w:adjustRightInd w:val="0"/>
      <w:snapToGrid w:val="0"/>
      <w:spacing w:line="353" w:lineRule="auto"/>
      <w:ind w:left="718" w:leftChars="342" w:right="-82" w:firstLine="480" w:firstLineChars="200"/>
    </w:pPr>
    <w:rPr>
      <w:rFonts w:ascii="宋体" w:hAnsi="宋体"/>
    </w:rPr>
  </w:style>
  <w:style w:type="paragraph" w:styleId="17">
    <w:name w:val="toc 5"/>
    <w:basedOn w:val="1"/>
    <w:next w:val="1"/>
    <w:qFormat/>
    <w:uiPriority w:val="0"/>
    <w:pPr>
      <w:ind w:left="840"/>
    </w:pPr>
  </w:style>
  <w:style w:type="paragraph" w:styleId="18">
    <w:name w:val="toc 3"/>
    <w:basedOn w:val="1"/>
    <w:next w:val="1"/>
    <w:qFormat/>
    <w:uiPriority w:val="0"/>
    <w:pPr>
      <w:ind w:left="420"/>
    </w:pPr>
    <w:rPr>
      <w:i/>
    </w:rPr>
  </w:style>
  <w:style w:type="paragraph" w:styleId="19">
    <w:name w:val="Plain Text"/>
    <w:basedOn w:val="1"/>
    <w:link w:val="60"/>
    <w:qFormat/>
    <w:uiPriority w:val="0"/>
    <w:pPr>
      <w:spacing w:line="360" w:lineRule="auto"/>
      <w:ind w:firstLine="510"/>
    </w:pPr>
    <w:rPr>
      <w:rFonts w:ascii="宋体" w:hAnsi="Courier New"/>
      <w:kern w:val="2"/>
      <w:szCs w:val="20"/>
    </w:rPr>
  </w:style>
  <w:style w:type="paragraph" w:styleId="20">
    <w:name w:val="toc 8"/>
    <w:basedOn w:val="1"/>
    <w:next w:val="1"/>
    <w:qFormat/>
    <w:uiPriority w:val="0"/>
    <w:pPr>
      <w:ind w:left="1470"/>
    </w:pPr>
  </w:style>
  <w:style w:type="paragraph" w:styleId="21">
    <w:name w:val="Date"/>
    <w:basedOn w:val="1"/>
    <w:next w:val="1"/>
    <w:qFormat/>
    <w:uiPriority w:val="0"/>
    <w:pPr>
      <w:ind w:left="100" w:leftChars="2500"/>
    </w:pPr>
    <w:rPr>
      <w:rFonts w:ascii="宋体" w:hAnsi="宋体"/>
      <w:b/>
      <w:sz w:val="36"/>
    </w:rPr>
  </w:style>
  <w:style w:type="paragraph" w:styleId="22">
    <w:name w:val="Body Text Indent 2"/>
    <w:basedOn w:val="1"/>
    <w:qFormat/>
    <w:uiPriority w:val="0"/>
    <w:pPr>
      <w:spacing w:line="480" w:lineRule="auto"/>
      <w:ind w:firstLine="480" w:firstLineChars="200"/>
    </w:pPr>
    <w:rPr>
      <w:rFonts w:ascii="宋体" w:hAnsi="宋体"/>
    </w:rPr>
  </w:style>
  <w:style w:type="paragraph" w:styleId="23">
    <w:name w:val="Balloon Text"/>
    <w:basedOn w:val="1"/>
    <w:link w:val="61"/>
    <w:qFormat/>
    <w:uiPriority w:val="99"/>
    <w:rPr>
      <w:sz w:val="18"/>
    </w:rPr>
  </w:style>
  <w:style w:type="paragraph" w:styleId="24">
    <w:name w:val="footer"/>
    <w:basedOn w:val="1"/>
    <w:link w:val="62"/>
    <w:qFormat/>
    <w:uiPriority w:val="99"/>
    <w:pPr>
      <w:tabs>
        <w:tab w:val="center" w:pos="4153"/>
        <w:tab w:val="right" w:pos="8306"/>
      </w:tabs>
      <w:snapToGrid w:val="0"/>
    </w:pPr>
    <w:rPr>
      <w:sz w:val="18"/>
    </w:rPr>
  </w:style>
  <w:style w:type="paragraph" w:styleId="25">
    <w:name w:val="header"/>
    <w:basedOn w:val="1"/>
    <w:link w:val="63"/>
    <w:qFormat/>
    <w:uiPriority w:val="99"/>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pPr>
      <w:spacing w:before="120" w:after="120"/>
    </w:pPr>
    <w:rPr>
      <w:b/>
      <w:caps/>
    </w:rPr>
  </w:style>
  <w:style w:type="paragraph" w:styleId="27">
    <w:name w:val="toc 4"/>
    <w:basedOn w:val="1"/>
    <w:next w:val="1"/>
    <w:qFormat/>
    <w:uiPriority w:val="0"/>
    <w:pPr>
      <w:ind w:left="630"/>
    </w:pPr>
  </w:style>
  <w:style w:type="paragraph" w:styleId="28">
    <w:name w:val="index heading"/>
    <w:basedOn w:val="1"/>
    <w:next w:val="29"/>
    <w:qFormat/>
    <w:uiPriority w:val="0"/>
  </w:style>
  <w:style w:type="paragraph" w:styleId="29">
    <w:name w:val="index 1"/>
    <w:basedOn w:val="1"/>
    <w:next w:val="1"/>
    <w:semiHidden/>
    <w:qFormat/>
    <w:uiPriority w:val="0"/>
  </w:style>
  <w:style w:type="paragraph" w:styleId="30">
    <w:name w:val="toc 6"/>
    <w:basedOn w:val="1"/>
    <w:next w:val="1"/>
    <w:qFormat/>
    <w:uiPriority w:val="0"/>
    <w:pPr>
      <w:ind w:left="1050"/>
    </w:pPr>
  </w:style>
  <w:style w:type="paragraph" w:styleId="31">
    <w:name w:val="Body Text Indent 3"/>
    <w:basedOn w:val="1"/>
    <w:qFormat/>
    <w:uiPriority w:val="0"/>
    <w:pPr>
      <w:spacing w:line="360" w:lineRule="auto"/>
      <w:ind w:left="1260" w:leftChars="600"/>
    </w:pPr>
    <w:rPr>
      <w:rFonts w:ascii="宋体" w:hAnsi="宋体"/>
      <w:b/>
    </w:rPr>
  </w:style>
  <w:style w:type="paragraph" w:styleId="32">
    <w:name w:val="toc 2"/>
    <w:basedOn w:val="1"/>
    <w:next w:val="1"/>
    <w:qFormat/>
    <w:uiPriority w:val="0"/>
    <w:pPr>
      <w:ind w:left="210"/>
    </w:pPr>
    <w:rPr>
      <w:smallCaps/>
    </w:rPr>
  </w:style>
  <w:style w:type="paragraph" w:styleId="33">
    <w:name w:val="toc 9"/>
    <w:basedOn w:val="1"/>
    <w:next w:val="1"/>
    <w:qFormat/>
    <w:uiPriority w:val="0"/>
    <w:pPr>
      <w:ind w:left="1680"/>
    </w:pPr>
  </w:style>
  <w:style w:type="paragraph" w:styleId="34">
    <w:name w:val="Body Text 2"/>
    <w:basedOn w:val="1"/>
    <w:qFormat/>
    <w:uiPriority w:val="0"/>
    <w:rPr>
      <w:rFonts w:eastAsia="楷体_GB2312"/>
      <w:sz w:val="28"/>
    </w:r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36">
    <w:name w:val="Normal (Web)"/>
    <w:basedOn w:val="1"/>
    <w:qFormat/>
    <w:uiPriority w:val="99"/>
    <w:rPr>
      <w:rFonts w:ascii="宋体" w:hAnsi="宋体"/>
    </w:rPr>
  </w:style>
  <w:style w:type="paragraph" w:styleId="37">
    <w:name w:val="annotation subject"/>
    <w:basedOn w:val="10"/>
    <w:next w:val="10"/>
    <w:qFormat/>
    <w:uiPriority w:val="0"/>
    <w:rPr>
      <w:b/>
      <w:bCs/>
    </w:rPr>
  </w:style>
  <w:style w:type="paragraph" w:styleId="38">
    <w:name w:val="Body Text First Indent"/>
    <w:basedOn w:val="12"/>
    <w:qFormat/>
    <w:uiPriority w:val="0"/>
    <w:pPr>
      <w:spacing w:line="240" w:lineRule="atLeast"/>
      <w:ind w:firstLine="420" w:firstLineChars="100"/>
    </w:pPr>
    <w:rPr>
      <w:sz w:val="22"/>
      <w:szCs w:val="20"/>
      <w:lang w:eastAsia="en-US"/>
    </w:rPr>
  </w:style>
  <w:style w:type="paragraph" w:styleId="39">
    <w:name w:val="Body Text First Indent 2"/>
    <w:basedOn w:val="13"/>
    <w:unhideWhenUsed/>
    <w:qFormat/>
    <w:uiPriority w:val="99"/>
    <w:pPr>
      <w:ind w:left="420" w:firstLine="420" w:firstLineChars="200"/>
    </w:pPr>
  </w:style>
  <w:style w:type="table" w:styleId="41">
    <w:name w:val="Table Grid"/>
    <w:basedOn w:val="4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2">
    <w:name w:val="Table Theme"/>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rFonts w:ascii="Tahoma" w:hAnsi="Tahoma" w:eastAsia="宋体"/>
      <w:b/>
      <w:bCs/>
      <w:spacing w:val="10"/>
      <w:sz w:val="24"/>
      <w:lang w:val="en-US" w:eastAsia="zh-CN" w:bidi="ar-SA"/>
    </w:rPr>
  </w:style>
  <w:style w:type="character" w:styleId="45">
    <w:name w:val="page number"/>
    <w:qFormat/>
    <w:uiPriority w:val="0"/>
  </w:style>
  <w:style w:type="character" w:styleId="46">
    <w:name w:val="FollowedHyperlink"/>
    <w:qFormat/>
    <w:uiPriority w:val="0"/>
    <w:rPr>
      <w:rFonts w:hint="eastAsia" w:ascii="黑体" w:hAnsi="宋体" w:eastAsia="黑体" w:cs="黑体"/>
      <w:color w:val="000000"/>
      <w:u w:val="none"/>
    </w:rPr>
  </w:style>
  <w:style w:type="character" w:styleId="47">
    <w:name w:val="Emphasis"/>
    <w:qFormat/>
    <w:uiPriority w:val="20"/>
    <w:rPr>
      <w:i/>
      <w:iCs/>
    </w:rPr>
  </w:style>
  <w:style w:type="character" w:styleId="48">
    <w:name w:val="HTML Definition"/>
    <w:qFormat/>
    <w:uiPriority w:val="0"/>
    <w:rPr>
      <w:i/>
    </w:rPr>
  </w:style>
  <w:style w:type="character" w:styleId="49">
    <w:name w:val="Hyperlink"/>
    <w:basedOn w:val="43"/>
    <w:qFormat/>
    <w:uiPriority w:val="99"/>
    <w:rPr>
      <w:rFonts w:ascii="黑体" w:hAnsi="宋体" w:eastAsia="黑体" w:cs="黑体"/>
      <w:color w:val="000000"/>
      <w:u w:val="none"/>
    </w:rPr>
  </w:style>
  <w:style w:type="character" w:styleId="50">
    <w:name w:val="HTML Code"/>
    <w:qFormat/>
    <w:uiPriority w:val="0"/>
    <w:rPr>
      <w:rFonts w:hint="default" w:ascii="Consolas" w:hAnsi="Consolas" w:eastAsia="Consolas" w:cs="Consolas"/>
      <w:color w:val="C7254E"/>
      <w:sz w:val="21"/>
      <w:szCs w:val="21"/>
      <w:shd w:val="clear" w:color="auto" w:fill="F9F2F4"/>
    </w:rPr>
  </w:style>
  <w:style w:type="character" w:styleId="51">
    <w:name w:val="annotation reference"/>
    <w:qFormat/>
    <w:uiPriority w:val="0"/>
    <w:rPr>
      <w:sz w:val="21"/>
    </w:rPr>
  </w:style>
  <w:style w:type="character" w:styleId="52">
    <w:name w:val="HTML Keyboard"/>
    <w:qFormat/>
    <w:uiPriority w:val="0"/>
    <w:rPr>
      <w:rFonts w:hint="default" w:ascii="Consolas" w:hAnsi="Consolas" w:eastAsia="Consolas" w:cs="Consolas"/>
      <w:color w:val="FFFFFF"/>
      <w:sz w:val="21"/>
      <w:szCs w:val="21"/>
      <w:shd w:val="clear" w:color="auto" w:fill="333333"/>
    </w:rPr>
  </w:style>
  <w:style w:type="character" w:styleId="53">
    <w:name w:val="HTML Sample"/>
    <w:qFormat/>
    <w:uiPriority w:val="0"/>
    <w:rPr>
      <w:rFonts w:ascii="Consolas" w:hAnsi="Consolas" w:eastAsia="Consolas" w:cs="Consolas"/>
      <w:sz w:val="21"/>
      <w:szCs w:val="21"/>
    </w:rPr>
  </w:style>
  <w:style w:type="character" w:customStyle="1" w:styleId="54">
    <w:name w:val="标题 2 字符"/>
    <w:link w:val="3"/>
    <w:qFormat/>
    <w:uiPriority w:val="0"/>
    <w:rPr>
      <w:rFonts w:ascii="Arial" w:hAnsi="Arial" w:eastAsia="黑体"/>
      <w:b/>
      <w:sz w:val="32"/>
      <w:szCs w:val="24"/>
    </w:rPr>
  </w:style>
  <w:style w:type="character" w:customStyle="1" w:styleId="55">
    <w:name w:val="标题 1 字符"/>
    <w:link w:val="2"/>
    <w:qFormat/>
    <w:uiPriority w:val="0"/>
    <w:rPr>
      <w:b/>
      <w:kern w:val="44"/>
      <w:sz w:val="44"/>
      <w:szCs w:val="24"/>
    </w:rPr>
  </w:style>
  <w:style w:type="character" w:customStyle="1" w:styleId="56">
    <w:name w:val="标题 3 字符"/>
    <w:link w:val="4"/>
    <w:qFormat/>
    <w:uiPriority w:val="0"/>
    <w:rPr>
      <w:rFonts w:ascii="楷体_GB2312" w:hAnsi="宋体" w:eastAsia="楷体_GB2312"/>
      <w:b/>
      <w:sz w:val="32"/>
      <w:szCs w:val="24"/>
    </w:rPr>
  </w:style>
  <w:style w:type="character" w:customStyle="1" w:styleId="57">
    <w:name w:val="标题 4 字符"/>
    <w:link w:val="5"/>
    <w:qFormat/>
    <w:uiPriority w:val="9"/>
    <w:rPr>
      <w:rFonts w:ascii="宋体" w:hAnsi="宋体"/>
      <w:sz w:val="24"/>
      <w:szCs w:val="24"/>
    </w:rPr>
  </w:style>
  <w:style w:type="character" w:customStyle="1" w:styleId="58">
    <w:name w:val="正文缩进 字符"/>
    <w:link w:val="7"/>
    <w:qFormat/>
    <w:uiPriority w:val="0"/>
    <w:rPr>
      <w:rFonts w:eastAsia="宋体"/>
      <w:sz w:val="24"/>
      <w:szCs w:val="24"/>
      <w:lang w:val="en-US" w:eastAsia="zh-CN" w:bidi="ar-SA"/>
    </w:rPr>
  </w:style>
  <w:style w:type="character" w:customStyle="1" w:styleId="59">
    <w:name w:val="文档结构图 字符"/>
    <w:link w:val="9"/>
    <w:qFormat/>
    <w:uiPriority w:val="99"/>
    <w:rPr>
      <w:sz w:val="24"/>
      <w:szCs w:val="24"/>
      <w:shd w:val="clear" w:color="auto" w:fill="000080"/>
    </w:rPr>
  </w:style>
  <w:style w:type="character" w:customStyle="1" w:styleId="60">
    <w:name w:val="纯文本 字符"/>
    <w:link w:val="19"/>
    <w:qFormat/>
    <w:locked/>
    <w:uiPriority w:val="0"/>
    <w:rPr>
      <w:rFonts w:ascii="宋体" w:hAnsi="Courier New" w:eastAsia="宋体"/>
      <w:kern w:val="2"/>
      <w:sz w:val="24"/>
      <w:lang w:val="en-US" w:eastAsia="zh-CN" w:bidi="ar-SA"/>
    </w:rPr>
  </w:style>
  <w:style w:type="character" w:customStyle="1" w:styleId="61">
    <w:name w:val="批注框文本 字符"/>
    <w:link w:val="23"/>
    <w:qFormat/>
    <w:uiPriority w:val="99"/>
    <w:rPr>
      <w:sz w:val="18"/>
      <w:szCs w:val="24"/>
    </w:rPr>
  </w:style>
  <w:style w:type="character" w:customStyle="1" w:styleId="62">
    <w:name w:val="页脚 字符"/>
    <w:link w:val="24"/>
    <w:qFormat/>
    <w:uiPriority w:val="99"/>
    <w:rPr>
      <w:sz w:val="18"/>
      <w:szCs w:val="24"/>
    </w:rPr>
  </w:style>
  <w:style w:type="character" w:customStyle="1" w:styleId="63">
    <w:name w:val="页眉 字符"/>
    <w:link w:val="25"/>
    <w:qFormat/>
    <w:uiPriority w:val="99"/>
    <w:rPr>
      <w:sz w:val="18"/>
      <w:szCs w:val="24"/>
    </w:rPr>
  </w:style>
  <w:style w:type="paragraph" w:customStyle="1" w:styleId="64">
    <w:name w:val="_Style 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5">
    <w:name w:val="first-child"/>
    <w:qFormat/>
    <w:uiPriority w:val="0"/>
  </w:style>
  <w:style w:type="character" w:customStyle="1" w:styleId="66">
    <w:name w:val="Char Char8"/>
    <w:qFormat/>
    <w:uiPriority w:val="0"/>
    <w:rPr>
      <w:rFonts w:ascii="宋体" w:hAnsi="Courier New" w:eastAsia="宋体" w:cs="Courier New"/>
      <w:sz w:val="21"/>
      <w:szCs w:val="21"/>
    </w:rPr>
  </w:style>
  <w:style w:type="character" w:customStyle="1" w:styleId="67">
    <w:name w:val="bd-open"/>
    <w:qFormat/>
    <w:uiPriority w:val="0"/>
  </w:style>
  <w:style w:type="character" w:customStyle="1" w:styleId="68">
    <w:name w:val="tmpztreemove_arrow"/>
    <w:qFormat/>
    <w:uiPriority w:val="0"/>
  </w:style>
  <w:style w:type="character" w:customStyle="1" w:styleId="69">
    <w:name w:val="font41"/>
    <w:qFormat/>
    <w:uiPriority w:val="0"/>
    <w:rPr>
      <w:rFonts w:ascii="宋体" w:hAnsi="宋体" w:eastAsia="宋体" w:cs="宋体"/>
      <w:color w:val="000000"/>
      <w:sz w:val="22"/>
      <w:szCs w:val="22"/>
      <w:u w:val="none"/>
    </w:rPr>
  </w:style>
  <w:style w:type="character" w:customStyle="1" w:styleId="70">
    <w:name w:val="表格正文 Char"/>
    <w:link w:val="71"/>
    <w:qFormat/>
    <w:uiPriority w:val="0"/>
    <w:rPr>
      <w:rFonts w:ascii="宋体" w:hAnsi="Tahoma"/>
      <w:sz w:val="24"/>
    </w:rPr>
  </w:style>
  <w:style w:type="paragraph" w:customStyle="1" w:styleId="71">
    <w:name w:val="表格正文"/>
    <w:basedOn w:val="1"/>
    <w:link w:val="70"/>
    <w:qFormat/>
    <w:uiPriority w:val="0"/>
    <w:pPr>
      <w:overflowPunct w:val="0"/>
      <w:autoSpaceDE w:val="0"/>
      <w:autoSpaceDN w:val="0"/>
      <w:adjustRightInd w:val="0"/>
      <w:spacing w:before="312" w:after="312" w:line="360" w:lineRule="auto"/>
      <w:textAlignment w:val="baseline"/>
    </w:pPr>
    <w:rPr>
      <w:rFonts w:ascii="宋体" w:hAnsi="Tahoma"/>
      <w:szCs w:val="20"/>
    </w:rPr>
  </w:style>
  <w:style w:type="character" w:customStyle="1" w:styleId="72">
    <w:name w:val="模板正文 Char"/>
    <w:link w:val="73"/>
    <w:qFormat/>
    <w:locked/>
    <w:uiPriority w:val="0"/>
    <w:rPr>
      <w:rFonts w:eastAsia="仿宋_GB2312"/>
      <w:sz w:val="21"/>
      <w:lang w:bidi="ar-SA"/>
    </w:rPr>
  </w:style>
  <w:style w:type="paragraph" w:customStyle="1" w:styleId="73">
    <w:name w:val="模板正文"/>
    <w:basedOn w:val="1"/>
    <w:link w:val="72"/>
    <w:qFormat/>
    <w:uiPriority w:val="0"/>
    <w:pPr>
      <w:wordWrap w:val="0"/>
      <w:spacing w:line="360" w:lineRule="auto"/>
      <w:ind w:firstLine="200" w:firstLineChars="200"/>
    </w:pPr>
    <w:rPr>
      <w:rFonts w:eastAsia="仿宋_GB2312"/>
      <w:sz w:val="21"/>
      <w:szCs w:val="20"/>
    </w:rPr>
  </w:style>
  <w:style w:type="character" w:customStyle="1" w:styleId="74">
    <w:name w:val="layui-layer-tabnow"/>
    <w:qFormat/>
    <w:uiPriority w:val="0"/>
    <w:rPr>
      <w:bdr w:val="single" w:color="CCCCCC" w:sz="6" w:space="0"/>
      <w:shd w:val="clear" w:color="auto" w:fill="FFFFFF"/>
    </w:rPr>
  </w:style>
  <w:style w:type="character" w:customStyle="1" w:styleId="75">
    <w:name w:val="left"/>
    <w:qFormat/>
    <w:uiPriority w:val="0"/>
    <w:rPr>
      <w:color w:val="FF4700"/>
    </w:rPr>
  </w:style>
  <w:style w:type="character" w:customStyle="1" w:styleId="76">
    <w:name w:val="正文000 Char"/>
    <w:link w:val="77"/>
    <w:qFormat/>
    <w:locked/>
    <w:uiPriority w:val="0"/>
    <w:rPr>
      <w:rFonts w:ascii="宋体" w:hAnsi="宋体" w:eastAsia="宋体"/>
      <w:sz w:val="21"/>
      <w:lang w:bidi="ar-SA"/>
    </w:rPr>
  </w:style>
  <w:style w:type="paragraph" w:customStyle="1" w:styleId="77">
    <w:name w:val="正文000"/>
    <w:basedOn w:val="7"/>
    <w:link w:val="76"/>
    <w:qFormat/>
    <w:uiPriority w:val="0"/>
    <w:pPr>
      <w:adjustRightInd w:val="0"/>
      <w:ind w:firstLine="0"/>
      <w:textAlignment w:val="baseline"/>
    </w:pPr>
    <w:rPr>
      <w:rFonts w:ascii="宋体" w:hAnsi="宋体"/>
      <w:sz w:val="21"/>
      <w:szCs w:val="20"/>
    </w:rPr>
  </w:style>
  <w:style w:type="character" w:customStyle="1" w:styleId="78">
    <w:name w:val="标题 二2 字符"/>
    <w:link w:val="79"/>
    <w:qFormat/>
    <w:uiPriority w:val="0"/>
    <w:rPr>
      <w:rFonts w:ascii="宋体" w:hAnsi="宋体" w:eastAsia="宋体" w:cs="Courier New"/>
      <w:b/>
      <w:kern w:val="2"/>
      <w:sz w:val="28"/>
      <w:szCs w:val="28"/>
      <w:lang w:val="en-US" w:eastAsia="zh-CN" w:bidi="ar-SA"/>
    </w:rPr>
  </w:style>
  <w:style w:type="paragraph" w:customStyle="1" w:styleId="79">
    <w:name w:val="标题 二2"/>
    <w:basedOn w:val="19"/>
    <w:next w:val="3"/>
    <w:link w:val="78"/>
    <w:qFormat/>
    <w:uiPriority w:val="0"/>
    <w:pPr>
      <w:widowControl w:val="0"/>
      <w:numPr>
        <w:ilvl w:val="0"/>
        <w:numId w:val="1"/>
      </w:numPr>
      <w:adjustRightInd w:val="0"/>
      <w:snapToGrid w:val="0"/>
      <w:outlineLvl w:val="1"/>
    </w:pPr>
    <w:rPr>
      <w:rFonts w:hAnsi="宋体" w:cs="Courier New"/>
      <w:b/>
      <w:sz w:val="28"/>
      <w:szCs w:val="28"/>
    </w:rPr>
  </w:style>
  <w:style w:type="character" w:customStyle="1" w:styleId="80">
    <w:name w:val="button"/>
    <w:qFormat/>
    <w:uiPriority w:val="0"/>
  </w:style>
  <w:style w:type="character" w:customStyle="1" w:styleId="81">
    <w:name w:val="H3 Char"/>
    <w:qFormat/>
    <w:uiPriority w:val="0"/>
    <w:rPr>
      <w:rFonts w:ascii="楷体_GB2312" w:hAnsi="宋体" w:eastAsia="楷体_GB2312"/>
      <w:b/>
      <w:kern w:val="2"/>
      <w:sz w:val="32"/>
      <w:lang w:val="en-US" w:eastAsia="zh-CN"/>
    </w:rPr>
  </w:style>
  <w:style w:type="character" w:customStyle="1" w:styleId="82">
    <w:name w:val="right"/>
    <w:qFormat/>
    <w:uiPriority w:val="0"/>
  </w:style>
  <w:style w:type="character" w:customStyle="1" w:styleId="83">
    <w:name w:val="表正文 Char1"/>
    <w:qFormat/>
    <w:uiPriority w:val="0"/>
    <w:rPr>
      <w:rFonts w:eastAsia="宋体"/>
      <w:kern w:val="2"/>
      <w:sz w:val="24"/>
      <w:lang w:val="en-US" w:eastAsia="zh-CN"/>
    </w:rPr>
  </w:style>
  <w:style w:type="character" w:customStyle="1" w:styleId="84">
    <w:name w:val="Char Char81"/>
    <w:qFormat/>
    <w:uiPriority w:val="0"/>
    <w:rPr>
      <w:rFonts w:ascii="宋体" w:hAnsi="Courier New" w:eastAsia="宋体" w:cs="Courier New"/>
      <w:sz w:val="21"/>
      <w:szCs w:val="21"/>
    </w:rPr>
  </w:style>
  <w:style w:type="character" w:customStyle="1" w:styleId="85">
    <w:name w:val="单一列表 Char Char"/>
    <w:link w:val="86"/>
    <w:qFormat/>
    <w:uiPriority w:val="0"/>
    <w:rPr>
      <w:sz w:val="24"/>
      <w:szCs w:val="24"/>
      <w:lang w:bidi="ar-SA"/>
    </w:rPr>
  </w:style>
  <w:style w:type="paragraph" w:customStyle="1" w:styleId="86">
    <w:name w:val="单一列表"/>
    <w:basedOn w:val="1"/>
    <w:link w:val="85"/>
    <w:qFormat/>
    <w:uiPriority w:val="0"/>
    <w:pPr>
      <w:numPr>
        <w:ilvl w:val="0"/>
        <w:numId w:val="2"/>
      </w:numPr>
      <w:spacing w:line="360" w:lineRule="auto"/>
    </w:pPr>
  </w:style>
  <w:style w:type="character" w:customStyle="1" w:styleId="87">
    <w:name w:val="bd-close2"/>
    <w:qFormat/>
    <w:uiPriority w:val="0"/>
    <w:rPr>
      <w:vanish/>
    </w:rPr>
  </w:style>
  <w:style w:type="character" w:customStyle="1" w:styleId="88">
    <w:name w:val="纯文本 Char Char Char Char"/>
    <w:qFormat/>
    <w:uiPriority w:val="0"/>
    <w:rPr>
      <w:rFonts w:ascii="宋体" w:hAnsi="Courier New" w:eastAsia="宋体"/>
      <w:kern w:val="2"/>
      <w:sz w:val="24"/>
      <w:lang w:val="en-US" w:eastAsia="zh-CN"/>
    </w:rPr>
  </w:style>
  <w:style w:type="paragraph" w:customStyle="1" w:styleId="89">
    <w:name w:val="Char Char3"/>
    <w:basedOn w:val="1"/>
    <w:qFormat/>
    <w:uiPriority w:val="0"/>
    <w:pPr>
      <w:widowControl w:val="0"/>
      <w:ind w:left="420" w:hanging="420"/>
      <w:jc w:val="both"/>
    </w:pPr>
    <w:rPr>
      <w:kern w:val="2"/>
    </w:rPr>
  </w:style>
  <w:style w:type="paragraph" w:customStyle="1" w:styleId="90">
    <w:name w:val="列表段落1"/>
    <w:basedOn w:val="1"/>
    <w:qFormat/>
    <w:uiPriority w:val="99"/>
    <w:pPr>
      <w:widowControl w:val="0"/>
      <w:ind w:firstLine="420" w:firstLineChars="200"/>
      <w:jc w:val="both"/>
    </w:pPr>
    <w:rPr>
      <w:kern w:val="2"/>
    </w:rPr>
  </w:style>
  <w:style w:type="paragraph" w:customStyle="1" w:styleId="91">
    <w:name w:val="xl29"/>
    <w:basedOn w:val="1"/>
    <w:qFormat/>
    <w:uiPriority w:val="0"/>
    <w:pPr>
      <w:spacing w:before="100" w:beforeAutospacing="1" w:after="100" w:afterAutospacing="1"/>
      <w:jc w:val="center"/>
    </w:pPr>
    <w:rPr>
      <w:rFonts w:ascii="宋体" w:hAnsi="宋体"/>
      <w:sz w:val="28"/>
    </w:rPr>
  </w:style>
  <w:style w:type="paragraph" w:customStyle="1" w:styleId="92">
    <w:name w:val="_Style 91"/>
    <w:basedOn w:val="1"/>
    <w:next w:val="1"/>
    <w:qFormat/>
    <w:uiPriority w:val="0"/>
    <w:pPr>
      <w:pBdr>
        <w:bottom w:val="single" w:color="auto" w:sz="6" w:space="1"/>
      </w:pBdr>
      <w:jc w:val="center"/>
    </w:pPr>
    <w:rPr>
      <w:rFonts w:ascii="Arial"/>
      <w:vanish/>
      <w:sz w:val="16"/>
    </w:rPr>
  </w:style>
  <w:style w:type="paragraph" w:customStyle="1" w:styleId="93">
    <w:name w:val="修订1"/>
    <w:semiHidden/>
    <w:qFormat/>
    <w:uiPriority w:val="0"/>
    <w:rPr>
      <w:rFonts w:ascii="Times New Roman" w:hAnsi="Times New Roman" w:eastAsia="宋体" w:cs="Times New Roman"/>
      <w:sz w:val="24"/>
      <w:szCs w:val="24"/>
      <w:lang w:val="en-US" w:eastAsia="zh-CN" w:bidi="ar-SA"/>
    </w:rPr>
  </w:style>
  <w:style w:type="paragraph" w:customStyle="1" w:styleId="94">
    <w:name w:val="表格"/>
    <w:qFormat/>
    <w:uiPriority w:val="0"/>
    <w:rPr>
      <w:rFonts w:ascii="Times New Roman" w:hAnsi="Times New Roman" w:eastAsia="宋体" w:cs="Arial"/>
      <w:kern w:val="2"/>
      <w:sz w:val="21"/>
      <w:szCs w:val="24"/>
      <w:lang w:val="en-US" w:eastAsia="zh-CN" w:bidi="ar-SA"/>
    </w:rPr>
  </w:style>
  <w:style w:type="paragraph" w:customStyle="1" w:styleId="95">
    <w:name w:val="列出段落3"/>
    <w:basedOn w:val="1"/>
    <w:qFormat/>
    <w:uiPriority w:val="0"/>
    <w:pPr>
      <w:widowControl w:val="0"/>
      <w:ind w:firstLine="420" w:firstLineChars="200"/>
      <w:jc w:val="both"/>
    </w:pPr>
    <w:rPr>
      <w:rFonts w:ascii="Calibri" w:hAnsi="Calibri"/>
      <w:kern w:val="2"/>
      <w:sz w:val="21"/>
      <w:szCs w:val="22"/>
    </w:rPr>
  </w:style>
  <w:style w:type="paragraph" w:customStyle="1" w:styleId="96">
    <w:name w:val="Char Char Char Char Char Char1 Char"/>
    <w:basedOn w:val="1"/>
    <w:qFormat/>
    <w:uiPriority w:val="0"/>
    <w:pPr>
      <w:spacing w:after="160" w:line="240" w:lineRule="exact"/>
    </w:pPr>
    <w:rPr>
      <w:rFonts w:ascii="Arial" w:hAnsi="Arial" w:eastAsia="楷体_GB2312"/>
      <w:b/>
      <w:lang w:eastAsia="en-US"/>
    </w:rPr>
  </w:style>
  <w:style w:type="paragraph" w:customStyle="1" w:styleId="97">
    <w:name w:val="Char1 Char Char Char Char Char Char"/>
    <w:basedOn w:val="9"/>
    <w:qFormat/>
    <w:uiPriority w:val="0"/>
    <w:rPr>
      <w:rFonts w:ascii="Tahoma" w:hAnsi="Tahoma"/>
    </w:rPr>
  </w:style>
  <w:style w:type="paragraph" w:customStyle="1" w:styleId="98">
    <w:name w:val="正文_17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Char Char31"/>
    <w:basedOn w:val="1"/>
    <w:qFormat/>
    <w:uiPriority w:val="0"/>
    <w:pPr>
      <w:widowControl w:val="0"/>
      <w:ind w:left="420" w:hanging="420"/>
      <w:jc w:val="both"/>
    </w:pPr>
    <w:rPr>
      <w:kern w:val="2"/>
    </w:rPr>
  </w:style>
  <w:style w:type="paragraph" w:customStyle="1" w:styleId="100">
    <w:name w:val="列出段落21"/>
    <w:basedOn w:val="1"/>
    <w:semiHidden/>
    <w:qFormat/>
    <w:uiPriority w:val="0"/>
    <w:pPr>
      <w:widowControl w:val="0"/>
      <w:adjustRightInd w:val="0"/>
      <w:spacing w:line="360" w:lineRule="auto"/>
      <w:ind w:firstLine="420" w:firstLineChars="200"/>
    </w:pPr>
    <w:rPr>
      <w:kern w:val="2"/>
    </w:rPr>
  </w:style>
  <w:style w:type="paragraph" w:customStyle="1" w:styleId="101">
    <w:name w:val="正文1"/>
    <w:basedOn w:val="1"/>
    <w:qFormat/>
    <w:uiPriority w:val="0"/>
    <w:pPr>
      <w:overflowPunct w:val="0"/>
      <w:autoSpaceDE w:val="0"/>
      <w:autoSpaceDN w:val="0"/>
      <w:adjustRightInd w:val="0"/>
      <w:spacing w:line="312" w:lineRule="exact"/>
      <w:textAlignment w:val="baseline"/>
    </w:pPr>
    <w:rPr>
      <w:rFonts w:ascii="宋体"/>
    </w:rPr>
  </w:style>
  <w:style w:type="paragraph" w:customStyle="1" w:styleId="102">
    <w:name w:val="列出段落2"/>
    <w:basedOn w:val="1"/>
    <w:qFormat/>
    <w:uiPriority w:val="0"/>
    <w:pPr>
      <w:widowControl w:val="0"/>
      <w:spacing w:line="360" w:lineRule="auto"/>
      <w:ind w:firstLine="480" w:firstLineChars="200"/>
      <w:jc w:val="both"/>
    </w:pPr>
    <w:rPr>
      <w:kern w:val="2"/>
    </w:rPr>
  </w:style>
  <w:style w:type="paragraph" w:customStyle="1" w:styleId="103">
    <w:name w:val="Table Paragraph"/>
    <w:basedOn w:val="1"/>
    <w:qFormat/>
    <w:uiPriority w:val="0"/>
    <w:pPr>
      <w:widowControl w:val="0"/>
      <w:autoSpaceDE w:val="0"/>
      <w:autoSpaceDN w:val="0"/>
    </w:pPr>
    <w:rPr>
      <w:rFonts w:ascii="宋体" w:hAnsi="宋体" w:cs="宋体"/>
      <w:sz w:val="22"/>
      <w:szCs w:val="22"/>
      <w:lang w:val="zh-CN"/>
    </w:rPr>
  </w:style>
  <w:style w:type="paragraph" w:customStyle="1" w:styleId="104">
    <w:name w:val="Char"/>
    <w:basedOn w:val="1"/>
    <w:qFormat/>
    <w:uiPriority w:val="0"/>
    <w:pPr>
      <w:tabs>
        <w:tab w:val="left" w:pos="360"/>
      </w:tabs>
    </w:pPr>
  </w:style>
  <w:style w:type="paragraph" w:customStyle="1" w:styleId="105">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06">
    <w:name w:val="Char1 Char Char Char Char Char Char1"/>
    <w:basedOn w:val="9"/>
    <w:qFormat/>
    <w:uiPriority w:val="0"/>
    <w:rPr>
      <w:rFonts w:ascii="Tahoma" w:hAnsi="Tahoma"/>
    </w:rPr>
  </w:style>
  <w:style w:type="paragraph" w:customStyle="1" w:styleId="107">
    <w:name w:val="Char Char2 Char"/>
    <w:basedOn w:val="1"/>
    <w:qFormat/>
    <w:uiPriority w:val="0"/>
    <w:rPr>
      <w:rFonts w:ascii="宋体" w:hAnsi="宋体"/>
      <w:b/>
      <w:sz w:val="28"/>
    </w:rPr>
  </w:style>
  <w:style w:type="paragraph" w:customStyle="1" w:styleId="108">
    <w:name w:val="Char Char"/>
    <w:basedOn w:val="1"/>
    <w:qFormat/>
    <w:uiPriority w:val="0"/>
    <w:pPr>
      <w:spacing w:after="160" w:line="240" w:lineRule="exact"/>
    </w:pPr>
    <w:rPr>
      <w:rFonts w:ascii="Verdana" w:hAnsi="Verdana" w:eastAsia="MS Mincho" w:cs="Verdana"/>
      <w:sz w:val="20"/>
      <w:lang w:eastAsia="en-US" w:bidi="kn-IN"/>
    </w:rPr>
  </w:style>
  <w:style w:type="paragraph" w:customStyle="1" w:styleId="109">
    <w:name w:val="表格文字"/>
    <w:basedOn w:val="1"/>
    <w:qFormat/>
    <w:uiPriority w:val="0"/>
    <w:pPr>
      <w:spacing w:before="25" w:after="25"/>
    </w:pPr>
    <w:rPr>
      <w:spacing w:val="10"/>
    </w:rPr>
  </w:style>
  <w:style w:type="paragraph" w:customStyle="1" w:styleId="110">
    <w:name w:val="标题 21"/>
    <w:basedOn w:val="1"/>
    <w:qFormat/>
    <w:uiPriority w:val="0"/>
    <w:pPr>
      <w:spacing w:before="33"/>
      <w:ind w:left="109"/>
      <w:outlineLvl w:val="2"/>
    </w:pPr>
    <w:rPr>
      <w:rFonts w:ascii="宋体" w:hAnsi="宋体"/>
      <w:sz w:val="22"/>
      <w:szCs w:val="22"/>
      <w:lang w:eastAsia="en-US"/>
    </w:rPr>
  </w:style>
  <w:style w:type="paragraph" w:customStyle="1" w:styleId="111">
    <w:name w:val="_Style 110"/>
    <w:basedOn w:val="1"/>
    <w:next w:val="1"/>
    <w:qFormat/>
    <w:uiPriority w:val="0"/>
    <w:pPr>
      <w:pBdr>
        <w:top w:val="single" w:color="auto" w:sz="6" w:space="1"/>
      </w:pBdr>
      <w:jc w:val="center"/>
    </w:pPr>
    <w:rPr>
      <w:rFonts w:ascii="Arial"/>
      <w:vanish/>
      <w:sz w:val="16"/>
    </w:rPr>
  </w:style>
  <w:style w:type="paragraph" w:customStyle="1" w:styleId="112">
    <w:name w:val="List Paragraph1"/>
    <w:basedOn w:val="1"/>
    <w:qFormat/>
    <w:uiPriority w:val="0"/>
    <w:pPr>
      <w:widowControl w:val="0"/>
      <w:ind w:firstLine="420" w:firstLineChars="200"/>
      <w:jc w:val="both"/>
    </w:pPr>
    <w:rPr>
      <w:rFonts w:ascii="Calibri" w:hAnsi="Calibri"/>
      <w:kern w:val="2"/>
      <w:sz w:val="21"/>
    </w:rPr>
  </w:style>
  <w:style w:type="paragraph" w:customStyle="1" w:styleId="113">
    <w:name w:val="默认段落字体 Para Char Char Char Char Char Char Char Char Char1 Char Char Char Char Char Char Char Char Char Char"/>
    <w:basedOn w:val="9"/>
    <w:qFormat/>
    <w:uiPriority w:val="0"/>
    <w:pPr>
      <w:ind w:firstLine="540" w:firstLineChars="225"/>
    </w:pPr>
    <w:rPr>
      <w:rFonts w:eastAsia="仿宋_GB2312"/>
      <w:sz w:val="32"/>
    </w:rPr>
  </w:style>
  <w:style w:type="paragraph" w:customStyle="1" w:styleId="114">
    <w:name w:val="样式 小四 段前: 5 磅 段后: 5 磅 首行缩进:  2 字符"/>
    <w:basedOn w:val="1"/>
    <w:qFormat/>
    <w:uiPriority w:val="0"/>
    <w:pPr>
      <w:spacing w:before="100" w:after="120"/>
    </w:pPr>
    <w:rPr>
      <w:rFonts w:hAnsi="宋体"/>
      <w:color w:val="000000"/>
    </w:rPr>
  </w:style>
  <w:style w:type="paragraph" w:customStyle="1" w:styleId="115">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表格内容"/>
    <w:basedOn w:val="1"/>
    <w:qFormat/>
    <w:uiPriority w:val="0"/>
    <w:pPr>
      <w:spacing w:line="312" w:lineRule="auto"/>
    </w:pPr>
    <w:rPr>
      <w:rFonts w:ascii="Calibri"/>
    </w:rPr>
  </w:style>
  <w:style w:type="paragraph" w:customStyle="1" w:styleId="117">
    <w:name w:val="Table"/>
    <w:basedOn w:val="1"/>
    <w:qFormat/>
    <w:uiPriority w:val="0"/>
    <w:pPr>
      <w:keepLines/>
      <w:spacing w:before="40" w:after="40" w:line="320" w:lineRule="atLeast"/>
    </w:pPr>
    <w:rPr>
      <w:rFonts w:ascii="Helvetica" w:hAnsi="Helvetica"/>
      <w:sz w:val="20"/>
      <w:lang w:val="en-GB" w:eastAsia="en-US"/>
    </w:rPr>
  </w:style>
  <w:style w:type="paragraph" w:customStyle="1" w:styleId="118">
    <w:name w:val="列出段落1"/>
    <w:basedOn w:val="1"/>
    <w:qFormat/>
    <w:uiPriority w:val="34"/>
    <w:pPr>
      <w:widowControl w:val="0"/>
      <w:ind w:firstLine="420" w:firstLineChars="200"/>
      <w:jc w:val="both"/>
    </w:pPr>
    <w:rPr>
      <w:kern w:val="2"/>
      <w:sz w:val="21"/>
    </w:rPr>
  </w:style>
  <w:style w:type="paragraph" w:customStyle="1" w:styleId="1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20">
    <w:name w:val="列举项目"/>
    <w:basedOn w:val="1"/>
    <w:qFormat/>
    <w:uiPriority w:val="0"/>
    <w:pPr>
      <w:numPr>
        <w:ilvl w:val="0"/>
        <w:numId w:val="3"/>
      </w:numPr>
      <w:tabs>
        <w:tab w:val="left" w:pos="1200"/>
        <w:tab w:val="clear" w:pos="720"/>
      </w:tabs>
      <w:spacing w:line="360" w:lineRule="auto"/>
    </w:pPr>
    <w:rPr>
      <w:rFonts w:ascii="宋体" w:hAnsi="宋体"/>
    </w:rPr>
  </w:style>
  <w:style w:type="paragraph" w:customStyle="1" w:styleId="121">
    <w:name w:val="Char Char11"/>
    <w:basedOn w:val="1"/>
    <w:qFormat/>
    <w:uiPriority w:val="0"/>
    <w:pPr>
      <w:spacing w:after="160" w:line="240" w:lineRule="exact"/>
    </w:pPr>
    <w:rPr>
      <w:rFonts w:ascii="Verdana" w:hAnsi="Verdana" w:eastAsia="MS Mincho" w:cs="Verdana"/>
      <w:sz w:val="20"/>
      <w:lang w:eastAsia="en-US" w:bidi="kn-IN"/>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Times New Roman" w:eastAsia="宋体" w:cs="Times New Roman"/>
      <w:kern w:val="16"/>
      <w:sz w:val="21"/>
      <w:szCs w:val="24"/>
      <w:lang w:val="en-US" w:eastAsia="zh-CN" w:bidi="ar-SA"/>
    </w:rPr>
  </w:style>
  <w:style w:type="paragraph" w:customStyle="1" w:styleId="123">
    <w:name w:val="Char11"/>
    <w:basedOn w:val="1"/>
    <w:qFormat/>
    <w:uiPriority w:val="0"/>
    <w:pPr>
      <w:spacing w:after="160" w:line="240" w:lineRule="exact"/>
    </w:pPr>
    <w:rPr>
      <w:rFonts w:ascii="Verdana" w:hAnsi="Verdana" w:eastAsia="仿宋_GB2312"/>
      <w:lang w:eastAsia="en-US"/>
    </w:rPr>
  </w:style>
  <w:style w:type="paragraph" w:customStyle="1" w:styleId="124">
    <w:name w:val="Char Char3 Char Char"/>
    <w:basedOn w:val="1"/>
    <w:qFormat/>
    <w:uiPriority w:val="0"/>
    <w:pPr>
      <w:widowControl w:val="0"/>
      <w:ind w:left="420" w:hanging="420"/>
      <w:jc w:val="both"/>
    </w:pPr>
    <w:rPr>
      <w:kern w:val="2"/>
    </w:rPr>
  </w:style>
  <w:style w:type="paragraph" w:customStyle="1" w:styleId="125">
    <w:name w:val="Char Char Char Char"/>
    <w:basedOn w:val="1"/>
    <w:qFormat/>
    <w:uiPriority w:val="0"/>
    <w:pPr>
      <w:spacing w:after="160" w:line="240" w:lineRule="exact"/>
    </w:pPr>
    <w:rPr>
      <w:rFonts w:ascii="Verdana" w:hAnsi="Verdana" w:eastAsia="仿宋_GB2312"/>
      <w:lang w:eastAsia="en-US"/>
    </w:rPr>
  </w:style>
  <w:style w:type="paragraph" w:customStyle="1" w:styleId="126">
    <w:name w:val="正文2"/>
    <w:basedOn w:val="1"/>
    <w:qFormat/>
    <w:uiPriority w:val="0"/>
    <w:pPr>
      <w:overflowPunct w:val="0"/>
      <w:autoSpaceDE w:val="0"/>
      <w:autoSpaceDN w:val="0"/>
      <w:adjustRightInd w:val="0"/>
      <w:spacing w:line="312" w:lineRule="exact"/>
      <w:textAlignment w:val="baseline"/>
    </w:pPr>
    <w:rPr>
      <w:rFonts w:ascii="宋体"/>
    </w:rPr>
  </w:style>
  <w:style w:type="paragraph" w:customStyle="1" w:styleId="127">
    <w:name w:val="彩色列表 - 强调文字颜色 11"/>
    <w:basedOn w:val="1"/>
    <w:qFormat/>
    <w:uiPriority w:val="0"/>
    <w:pPr>
      <w:widowControl w:val="0"/>
      <w:adjustRightInd w:val="0"/>
      <w:spacing w:line="360" w:lineRule="atLeast"/>
      <w:ind w:firstLine="420" w:firstLineChars="200"/>
    </w:pPr>
    <w:rPr>
      <w:szCs w:val="20"/>
    </w:rPr>
  </w:style>
  <w:style w:type="paragraph" w:customStyle="1" w:styleId="128">
    <w:name w:val="_Style 278"/>
    <w:basedOn w:val="1"/>
    <w:next w:val="129"/>
    <w:qFormat/>
    <w:uiPriority w:val="99"/>
    <w:pPr>
      <w:ind w:firstLine="420" w:firstLineChars="200"/>
    </w:pPr>
  </w:style>
  <w:style w:type="paragraph" w:styleId="129">
    <w:name w:val="List Paragraph"/>
    <w:basedOn w:val="1"/>
    <w:qFormat/>
    <w:uiPriority w:val="34"/>
    <w:pPr>
      <w:ind w:firstLine="420" w:firstLineChars="200"/>
    </w:pPr>
  </w:style>
  <w:style w:type="paragraph" w:customStyle="1" w:styleId="130">
    <w:name w:val="Char1"/>
    <w:basedOn w:val="1"/>
    <w:qFormat/>
    <w:uiPriority w:val="0"/>
    <w:pPr>
      <w:spacing w:after="160" w:line="240" w:lineRule="exact"/>
    </w:pPr>
    <w:rPr>
      <w:rFonts w:ascii="Verdana" w:hAnsi="Verdana" w:eastAsia="仿宋_GB2312"/>
      <w:lang w:eastAsia="en-US"/>
    </w:rPr>
  </w:style>
  <w:style w:type="paragraph" w:customStyle="1" w:styleId="131">
    <w:name w:val="设计书正文"/>
    <w:basedOn w:val="1"/>
    <w:qFormat/>
    <w:uiPriority w:val="0"/>
    <w:pPr>
      <w:widowControl w:val="0"/>
      <w:spacing w:line="360" w:lineRule="auto"/>
      <w:ind w:firstLine="485" w:firstLineChars="202"/>
      <w:jc w:val="both"/>
    </w:pPr>
    <w:rPr>
      <w:rFonts w:ascii="宋体" w:hAnsi="宋体" w:cs="宋体"/>
      <w:kern w:val="2"/>
    </w:rPr>
  </w:style>
  <w:style w:type="paragraph" w:customStyle="1" w:styleId="132">
    <w:name w:val="_Style 131"/>
    <w:semiHidden/>
    <w:qFormat/>
    <w:uiPriority w:val="99"/>
    <w:rPr>
      <w:rFonts w:ascii="Times New Roman" w:hAnsi="Times New Roman" w:eastAsia="宋体" w:cs="Times New Roman"/>
      <w:sz w:val="24"/>
      <w:szCs w:val="24"/>
      <w:lang w:val="en-US" w:eastAsia="zh-CN" w:bidi="ar-SA"/>
    </w:rPr>
  </w:style>
  <w:style w:type="paragraph" w:customStyle="1" w:styleId="133">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rPr>
  </w:style>
  <w:style w:type="paragraph" w:customStyle="1" w:styleId="134">
    <w:name w:val="Char Char Char Char Char Char Char1"/>
    <w:basedOn w:val="1"/>
    <w:qFormat/>
    <w:uiPriority w:val="0"/>
    <w:pPr>
      <w:widowControl w:val="0"/>
      <w:jc w:val="both"/>
    </w:pPr>
    <w:rPr>
      <w:kern w:val="2"/>
      <w:sz w:val="21"/>
    </w:rPr>
  </w:style>
  <w:style w:type="paragraph" w:customStyle="1" w:styleId="135">
    <w:name w:val="题注5"/>
    <w:basedOn w:val="1"/>
    <w:next w:val="8"/>
    <w:qFormat/>
    <w:uiPriority w:val="0"/>
    <w:pPr>
      <w:jc w:val="center"/>
    </w:pPr>
    <w:rPr>
      <w:b/>
      <w:color w:val="000000"/>
    </w:rPr>
  </w:style>
  <w:style w:type="paragraph" w:customStyle="1" w:styleId="136">
    <w:name w:val="Char Char Char Char1"/>
    <w:basedOn w:val="1"/>
    <w:qFormat/>
    <w:uiPriority w:val="0"/>
    <w:pPr>
      <w:spacing w:after="160" w:line="240" w:lineRule="exact"/>
    </w:pPr>
    <w:rPr>
      <w:rFonts w:ascii="Verdana" w:hAnsi="Verdana" w:eastAsia="仿宋_GB2312"/>
      <w:lang w:eastAsia="en-US"/>
    </w:rPr>
  </w:style>
  <w:style w:type="paragraph" w:customStyle="1" w:styleId="137">
    <w:name w:val="正文11"/>
    <w:basedOn w:val="1"/>
    <w:qFormat/>
    <w:uiPriority w:val="0"/>
    <w:pPr>
      <w:widowControl w:val="0"/>
      <w:adjustRightInd w:val="0"/>
      <w:spacing w:line="360" w:lineRule="auto"/>
      <w:ind w:firstLine="420" w:firstLineChars="200"/>
    </w:pPr>
    <w:rPr>
      <w:kern w:val="2"/>
      <w:lang w:val="el-GR"/>
    </w:rPr>
  </w:style>
  <w:style w:type="paragraph" w:customStyle="1" w:styleId="138">
    <w:name w:val="技术响应1"/>
    <w:basedOn w:val="1"/>
    <w:qFormat/>
    <w:uiPriority w:val="0"/>
    <w:pPr>
      <w:spacing w:line="360" w:lineRule="auto"/>
      <w:ind w:firstLine="588"/>
    </w:pPr>
    <w:rPr>
      <w:rFonts w:ascii="宋体"/>
      <w:b/>
      <w:sz w:val="28"/>
    </w:rPr>
  </w:style>
  <w:style w:type="paragraph" w:customStyle="1" w:styleId="139">
    <w:name w:val="默认段落字体 Para Char"/>
    <w:basedOn w:val="1"/>
    <w:qFormat/>
    <w:uiPriority w:val="0"/>
    <w:rPr>
      <w:sz w:val="30"/>
    </w:rPr>
  </w:style>
  <w:style w:type="paragraph" w:customStyle="1" w:styleId="140">
    <w:name w:val="题注4"/>
    <w:basedOn w:val="1"/>
    <w:next w:val="8"/>
    <w:qFormat/>
    <w:uiPriority w:val="0"/>
    <w:pPr>
      <w:ind w:left="-132" w:leftChars="-64" w:right="-105" w:hanging="2"/>
      <w:jc w:val="center"/>
    </w:pPr>
    <w:rPr>
      <w:b/>
      <w:color w:val="FF0000"/>
      <w:lang w:val="en-GB"/>
    </w:rPr>
  </w:style>
  <w:style w:type="paragraph" w:customStyle="1" w:styleId="141">
    <w:name w:val="标题 31"/>
    <w:basedOn w:val="1"/>
    <w:qFormat/>
    <w:uiPriority w:val="0"/>
    <w:pPr>
      <w:ind w:left="109"/>
      <w:outlineLvl w:val="3"/>
    </w:pPr>
    <w:rPr>
      <w:rFonts w:ascii="宋体" w:hAnsi="宋体"/>
      <w:b/>
      <w:bCs/>
      <w:szCs w:val="21"/>
      <w:lang w:eastAsia="en-US"/>
    </w:rPr>
  </w:style>
  <w:style w:type="paragraph" w:customStyle="1" w:styleId="142">
    <w:name w:val="xl24"/>
    <w:basedOn w:val="1"/>
    <w:qFormat/>
    <w:uiPriority w:val="0"/>
    <w:pPr>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rPr>
  </w:style>
  <w:style w:type="paragraph" w:customStyle="1" w:styleId="143">
    <w:name w:val="p0"/>
    <w:basedOn w:val="1"/>
    <w:qFormat/>
    <w:uiPriority w:val="0"/>
    <w:rPr>
      <w:rFonts w:ascii="Calibri" w:hAnsi="Calibri" w:cs="宋体"/>
      <w:szCs w:val="21"/>
    </w:rPr>
  </w:style>
  <w:style w:type="paragraph" w:customStyle="1" w:styleId="144">
    <w:name w:val="图"/>
    <w:basedOn w:val="1"/>
    <w:qFormat/>
    <w:uiPriority w:val="0"/>
    <w:pPr>
      <w:keepNext/>
      <w:adjustRightInd w:val="0"/>
      <w:spacing w:before="60" w:after="60" w:line="300" w:lineRule="auto"/>
      <w:jc w:val="center"/>
      <w:textAlignment w:val="center"/>
    </w:pPr>
    <w:rPr>
      <w:snapToGrid w:val="0"/>
      <w:spacing w:val="20"/>
    </w:rPr>
  </w:style>
  <w:style w:type="paragraph" w:customStyle="1" w:styleId="145">
    <w:name w:val="P标3"/>
    <w:basedOn w:val="4"/>
    <w:qFormat/>
    <w:uiPriority w:val="0"/>
    <w:pPr>
      <w:keepNext w:val="0"/>
      <w:spacing w:line="360" w:lineRule="auto"/>
      <w:jc w:val="center"/>
    </w:pPr>
    <w:rPr>
      <w:rFonts w:ascii="宋体" w:eastAsia="宋体"/>
      <w:b w:val="0"/>
      <w:color w:val="000000"/>
      <w:sz w:val="24"/>
    </w:rPr>
  </w:style>
  <w:style w:type="paragraph" w:customStyle="1" w:styleId="146">
    <w:name w:val="_Style 3"/>
    <w:basedOn w:val="1"/>
    <w:qFormat/>
    <w:uiPriority w:val="0"/>
    <w:pPr>
      <w:ind w:firstLine="420" w:firstLineChars="200"/>
    </w:pPr>
    <w:rPr>
      <w:sz w:val="20"/>
      <w:szCs w:val="21"/>
    </w:rPr>
  </w:style>
  <w:style w:type="paragraph" w:customStyle="1" w:styleId="1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Char1"/>
    <w:basedOn w:val="1"/>
    <w:qFormat/>
    <w:uiPriority w:val="0"/>
    <w:pPr>
      <w:spacing w:after="160" w:line="240" w:lineRule="exact"/>
    </w:pPr>
    <w:rPr>
      <w:kern w:val="2"/>
      <w:sz w:val="21"/>
    </w:rPr>
  </w:style>
  <w:style w:type="paragraph" w:customStyle="1" w:styleId="149">
    <w:name w:val="正文_0"/>
    <w:qFormat/>
    <w:uiPriority w:val="0"/>
    <w:pPr>
      <w:widowControl w:val="0"/>
      <w:jc w:val="both"/>
    </w:pPr>
    <w:rPr>
      <w:rFonts w:ascii="Times New Roman" w:hAnsi="Times New Roman" w:eastAsia="宋体" w:cs="Times New Roman"/>
      <w:color w:val="000000"/>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98</Pages>
  <Words>46069</Words>
  <Characters>47876</Characters>
  <Lines>372</Lines>
  <Paragraphs>104</Paragraphs>
  <TotalTime>303</TotalTime>
  <ScaleCrop>false</ScaleCrop>
  <LinksUpToDate>false</LinksUpToDate>
  <CharactersWithSpaces>49414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2019-08-19T09:47:00Z</dcterms:created>
  <dc:creator>User</dc:creator>
  <cp:lastModifiedBy>陈玉洁</cp:lastModifiedBy>
  <cp:lastPrinted>2022-04-19T09:41:00Z</cp:lastPrinted>
  <dcterms:modified xsi:type="dcterms:W3CDTF">2022-08-05T07:09:14Z</dcterms:modified>
  <dc:title>《汕头市土地整治规划（2016-2020年）》</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D6588CB69667424386541D1137EA0A8C</vt:lpwstr>
  </property>
</Properties>
</file>