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bidi w:val="0"/>
        <w:spacing w:line="560" w:lineRule="exact"/>
        <w:rPr>
          <w:rFonts w:hint="eastAsia" w:ascii="仿宋_GB2312" w:hAnsi="仿宋_GB2312" w:eastAsia="仿宋_GB2312" w:cs="仿宋_GB2312"/>
          <w:bCs/>
          <w:color w:val="auto"/>
          <w:kern w:val="0"/>
          <w:sz w:val="32"/>
          <w:szCs w:val="32"/>
        </w:rPr>
      </w:pPr>
    </w:p>
    <w:p>
      <w:pPr>
        <w:keepNext w:val="0"/>
        <w:keepLines w:val="0"/>
        <w:pageBreakBefore w:val="0"/>
        <w:kinsoku/>
        <w:topLinePunct w:val="0"/>
        <w:bidi w:val="0"/>
        <w:snapToGrid w:val="0"/>
        <w:spacing w:line="560" w:lineRule="exact"/>
        <w:jc w:val="center"/>
        <w:rPr>
          <w:rFonts w:hint="eastAsia" w:ascii="黑体" w:hAnsi="宋体" w:eastAsia="黑体" w:cs="宋体"/>
          <w:b/>
          <w:bCs/>
          <w:color w:val="auto"/>
          <w:kern w:val="0"/>
          <w:sz w:val="44"/>
          <w:szCs w:val="44"/>
          <w:lang w:eastAsia="zh-CN"/>
        </w:rPr>
      </w:pPr>
      <w:r>
        <w:rPr>
          <w:rFonts w:hint="eastAsia" w:ascii="黑体" w:hAnsi="宋体" w:eastAsia="黑体" w:cs="宋体"/>
          <w:b/>
          <w:bCs/>
          <w:color w:val="auto"/>
          <w:kern w:val="0"/>
          <w:sz w:val="44"/>
          <w:szCs w:val="44"/>
        </w:rPr>
        <w:t>社会保险费补缴承诺书</w:t>
      </w:r>
      <w:r>
        <w:rPr>
          <w:rFonts w:hint="eastAsia" w:ascii="黑体" w:hAnsi="宋体" w:eastAsia="黑体" w:cs="宋体"/>
          <w:b/>
          <w:bCs/>
          <w:color w:val="auto"/>
          <w:kern w:val="0"/>
          <w:sz w:val="44"/>
          <w:szCs w:val="44"/>
          <w:lang w:eastAsia="zh-CN"/>
        </w:rPr>
        <w:t>（用人单位）</w:t>
      </w:r>
    </w:p>
    <w:p>
      <w:pPr>
        <w:keepNext w:val="0"/>
        <w:keepLines w:val="0"/>
        <w:pageBreakBefore w:val="0"/>
        <w:kinsoku/>
        <w:topLinePunct w:val="0"/>
        <w:bidi w:val="0"/>
        <w:spacing w:line="560" w:lineRule="exact"/>
        <w:rPr>
          <w:rFonts w:hint="eastAsia"/>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本单位已知悉社会保险费补缴办理流程及所需资料，并已充分理解对以虚构、隐瞒事实，提供、出具虚假证明材料等方式，达到办理社会保险费补缴手续，造成社保基金损失的相应法律责任，特别是以下规定：</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color w:val="auto"/>
          <w:kern w:val="0"/>
          <w:sz w:val="32"/>
          <w:szCs w:val="32"/>
          <w:u w:val="none"/>
          <w:lang w:val="en-US" w:eastAsia="zh-CN"/>
        </w:rPr>
      </w:pPr>
      <w:r>
        <w:rPr>
          <w:rFonts w:hint="eastAsia" w:ascii="仿宋_GB2312" w:hAnsi="仿宋_GB2312" w:eastAsia="仿宋_GB2312" w:cs="仿宋_GB2312"/>
          <w:b w:val="0"/>
          <w:bCs/>
          <w:color w:val="auto"/>
          <w:kern w:val="0"/>
          <w:sz w:val="32"/>
          <w:szCs w:val="32"/>
          <w:u w:val="none"/>
          <w:lang w:val="en-US" w:eastAsia="zh-CN"/>
        </w:rPr>
        <w:t>一、《中华人民共和国社会保险法》第八十八条：“以欺诈、伪造证明材料或者其他手段骗取社会保险待遇的，由社会保险行政部门责令退回骗取的社会保险金，处骗取金额二倍以上五倍以下的罚款。”第九十四条规定“违反本法规定，构成犯罪的，依法追究刑事责任。”</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color w:val="auto"/>
          <w:kern w:val="0"/>
          <w:sz w:val="32"/>
          <w:szCs w:val="32"/>
          <w:u w:val="none"/>
          <w:lang w:val="en-US" w:eastAsia="zh-CN"/>
        </w:rPr>
      </w:pPr>
      <w:r>
        <w:rPr>
          <w:rFonts w:hint="eastAsia" w:ascii="仿宋_GB2312" w:hAnsi="仿宋_GB2312" w:eastAsia="仿宋_GB2312" w:cs="仿宋_GB2312"/>
          <w:b w:val="0"/>
          <w:bCs/>
          <w:color w:val="auto"/>
          <w:kern w:val="0"/>
          <w:sz w:val="32"/>
          <w:szCs w:val="32"/>
          <w:u w:val="none"/>
          <w:lang w:val="en-US" w:eastAsia="zh-CN"/>
        </w:rPr>
        <w:t>二、《中华人民共和国刑法》第二百六十六条：“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color w:val="auto"/>
          <w:kern w:val="0"/>
          <w:sz w:val="32"/>
          <w:szCs w:val="32"/>
          <w:u w:val="none"/>
          <w:lang w:val="en-US" w:eastAsia="zh-CN"/>
        </w:rPr>
      </w:pPr>
      <w:r>
        <w:rPr>
          <w:rFonts w:hint="eastAsia" w:ascii="仿宋_GB2312" w:hAnsi="仿宋_GB2312" w:eastAsia="仿宋_GB2312" w:cs="仿宋_GB2312"/>
          <w:b w:val="0"/>
          <w:bCs/>
          <w:color w:val="auto"/>
          <w:kern w:val="0"/>
          <w:sz w:val="32"/>
          <w:szCs w:val="32"/>
          <w:u w:val="none"/>
          <w:lang w:val="en-US" w:eastAsia="zh-CN"/>
        </w:rPr>
        <w:t>三、2014年4月24日，第十二届全国人民代表大会常务委员会第八次会议通过的《关于</w:t>
      </w:r>
      <w:r>
        <w:rPr>
          <w:rFonts w:hint="eastAsia" w:ascii="宋体" w:hAnsi="宋体" w:eastAsia="宋体" w:cs="宋体"/>
          <w:b w:val="0"/>
          <w:bCs/>
          <w:color w:val="auto"/>
          <w:kern w:val="0"/>
          <w:sz w:val="32"/>
          <w:szCs w:val="32"/>
          <w:u w:val="none"/>
          <w:lang w:val="en-US" w:eastAsia="zh-CN"/>
        </w:rPr>
        <w:t>〈</w:t>
      </w:r>
      <w:r>
        <w:rPr>
          <w:rFonts w:hint="eastAsia" w:ascii="仿宋_GB2312" w:hAnsi="仿宋_GB2312" w:eastAsia="仿宋_GB2312" w:cs="仿宋_GB2312"/>
          <w:b w:val="0"/>
          <w:bCs/>
          <w:color w:val="auto"/>
          <w:kern w:val="0"/>
          <w:sz w:val="32"/>
          <w:szCs w:val="32"/>
          <w:u w:val="none"/>
          <w:lang w:val="en-US" w:eastAsia="zh-CN"/>
        </w:rPr>
        <w:t>中华人民共和国刑法</w:t>
      </w:r>
      <w:r>
        <w:rPr>
          <w:rFonts w:hint="eastAsia" w:ascii="宋体" w:hAnsi="宋体" w:eastAsia="宋体" w:cs="宋体"/>
          <w:b w:val="0"/>
          <w:bCs/>
          <w:color w:val="auto"/>
          <w:kern w:val="0"/>
          <w:sz w:val="32"/>
          <w:szCs w:val="32"/>
          <w:u w:val="none"/>
          <w:lang w:val="en-US" w:eastAsia="zh-CN"/>
        </w:rPr>
        <w:t>〉</w:t>
      </w:r>
      <w:bookmarkStart w:id="0" w:name="_GoBack"/>
      <w:bookmarkEnd w:id="0"/>
      <w:r>
        <w:rPr>
          <w:rFonts w:hint="eastAsia" w:ascii="仿宋_GB2312" w:hAnsi="仿宋_GB2312" w:eastAsia="仿宋_GB2312" w:cs="仿宋_GB2312"/>
          <w:b w:val="0"/>
          <w:bCs/>
          <w:color w:val="auto"/>
          <w:kern w:val="0"/>
          <w:sz w:val="32"/>
          <w:szCs w:val="32"/>
          <w:u w:val="none"/>
          <w:lang w:val="en-US" w:eastAsia="zh-CN"/>
        </w:rPr>
        <w:t>第二百六十六条的解释》：“以欺诈、伪造证明材料或者其他手段骗取养老、医疗、工伤、失业、生育等社会保险金或者其他社会保障待遇的，属于刑法第二百六十六条规定的诈骗公私财物的行为。”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 w:val="0"/>
          <w:bCs/>
          <w:color w:val="auto"/>
          <w:kern w:val="0"/>
          <w:sz w:val="32"/>
          <w:szCs w:val="32"/>
          <w:u w:val="none"/>
          <w:lang w:val="en-US" w:eastAsia="zh-CN"/>
        </w:rPr>
      </w:pPr>
      <w:r>
        <w:rPr>
          <w:rFonts w:hint="eastAsia" w:ascii="仿宋_GB2312" w:hAnsi="仿宋_GB2312" w:eastAsia="仿宋_GB2312" w:cs="仿宋_GB2312"/>
          <w:b w:val="0"/>
          <w:bCs/>
          <w:color w:val="auto"/>
          <w:kern w:val="0"/>
          <w:sz w:val="32"/>
          <w:szCs w:val="32"/>
          <w:u w:val="none"/>
          <w:lang w:val="en-US" w:eastAsia="zh-CN"/>
        </w:rPr>
        <w:t>四、《广东省社会保险基金监督条例》第六十一条：“以欺诈、伪造证明材料、冒用他人证件、虚构劳动关系等手段办理社会保险业务的，社会保险行政部门、社会保险费征收机构、社会保险经办机构不予办理，将有关情况记入其信用档案；情节严重的，处涉案金额一倍以上三倍以下的罚款。以欺诈、伪造证明材料、虚构劳动关系或者其他手段骗取社会保险待遇的，由社会保险行政部门责令退还已骗取的社会保险待遇，并处骗取金额二倍以上五倍以下的罚款。”</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在此，本单位郑重承诺：本单位保证向</w:t>
      </w:r>
      <w:r>
        <w:rPr>
          <w:rFonts w:hint="eastAsia" w:ascii="仿宋_GB2312" w:hAnsi="仿宋_GB2312" w:eastAsia="仿宋_GB2312" w:cs="仿宋_GB2312"/>
          <w:bCs/>
          <w:color w:val="auto"/>
          <w:kern w:val="0"/>
          <w:sz w:val="32"/>
          <w:szCs w:val="32"/>
          <w:u w:val="single"/>
          <w:lang w:val="en-US" w:eastAsia="zh-CN"/>
        </w:rPr>
        <w:t xml:space="preserve">              </w:t>
      </w:r>
      <w:r>
        <w:rPr>
          <w:rFonts w:hint="eastAsia" w:ascii="仿宋_GB2312" w:hAnsi="仿宋_GB2312" w:eastAsia="仿宋_GB2312" w:cs="仿宋_GB2312"/>
          <w:bCs/>
          <w:color w:val="auto"/>
          <w:kern w:val="0"/>
          <w:sz w:val="32"/>
          <w:szCs w:val="32"/>
          <w:lang w:val="en-US" w:eastAsia="zh-CN"/>
        </w:rPr>
        <w:t>所提供的全部材料与相关信息均真实、完整、合法，不存在伪造、编造、隐匿证据等虚假情形，若违反上述承诺内容愿意承担相应的法律责任。</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_GB2312" w:eastAsia="仿宋_GB2312" w:cs="仿宋_GB2312"/>
          <w:bCs/>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right"/>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单位（公章）</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 xml:space="preserve">                                 年    月    日</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color w:val="auto"/>
          <w:kern w:val="0"/>
          <w:sz w:val="32"/>
          <w:szCs w:val="32"/>
        </w:rPr>
      </w:pPr>
    </w:p>
    <w:p>
      <w:pPr>
        <w:keepNext w:val="0"/>
        <w:keepLines w:val="0"/>
        <w:pageBreakBefore w:val="0"/>
        <w:kinsoku/>
        <w:topLinePunct w:val="0"/>
        <w:bidi w:val="0"/>
        <w:spacing w:line="560" w:lineRule="exact"/>
        <w:jc w:val="both"/>
        <w:rPr>
          <w:rFonts w:hint="eastAsia" w:ascii="黑体" w:hAnsi="黑体" w:eastAsia="黑体" w:cs="黑体"/>
          <w:b w:val="0"/>
          <w:bCs w:val="0"/>
          <w:sz w:val="32"/>
          <w:szCs w:val="32"/>
          <w:lang w:eastAsia="zh-CN"/>
        </w:rPr>
      </w:pPr>
    </w:p>
    <w:p>
      <w:pPr>
        <w:pStyle w:val="4"/>
        <w:rPr>
          <w:rFonts w:hint="eastAsia" w:ascii="黑体" w:hAnsi="黑体" w:eastAsia="黑体" w:cs="黑体"/>
          <w:b w:val="0"/>
          <w:bCs w:val="0"/>
          <w:sz w:val="32"/>
          <w:szCs w:val="32"/>
          <w:lang w:eastAsia="zh-CN"/>
        </w:rPr>
      </w:pPr>
    </w:p>
    <w:p>
      <w:pPr>
        <w:rPr>
          <w:rFonts w:hint="eastAsia" w:ascii="黑体" w:hAnsi="黑体" w:eastAsia="黑体" w:cs="黑体"/>
          <w:b w:val="0"/>
          <w:bCs w:val="0"/>
          <w:sz w:val="32"/>
          <w:szCs w:val="32"/>
          <w:lang w:eastAsia="zh-CN"/>
        </w:rPr>
      </w:pPr>
    </w:p>
    <w:p>
      <w:pPr>
        <w:rPr>
          <w:rFonts w:hint="eastAsia" w:ascii="黑体" w:hAnsi="黑体" w:eastAsia="黑体" w:cs="黑体"/>
          <w:b w:val="0"/>
          <w:bCs w:val="0"/>
          <w:sz w:val="32"/>
          <w:szCs w:val="32"/>
          <w:lang w:eastAsia="zh-CN"/>
        </w:rPr>
      </w:pPr>
    </w:p>
    <w:p>
      <w:pPr>
        <w:rPr>
          <w:rFonts w:hint="eastAsia" w:ascii="黑体" w:hAnsi="黑体" w:eastAsia="黑体" w:cs="黑体"/>
          <w:b w:val="0"/>
          <w:bCs w:val="0"/>
          <w:sz w:val="32"/>
          <w:szCs w:val="32"/>
          <w:lang w:eastAsia="zh-CN"/>
        </w:rPr>
      </w:pPr>
    </w:p>
    <w:p>
      <w:pPr>
        <w:keepNext w:val="0"/>
        <w:keepLines w:val="0"/>
        <w:pageBreakBefore w:val="0"/>
        <w:kinsoku/>
        <w:topLinePunct w:val="0"/>
        <w:bidi w:val="0"/>
        <w:snapToGrid w:val="0"/>
        <w:spacing w:line="560" w:lineRule="exact"/>
        <w:jc w:val="center"/>
        <w:rPr>
          <w:rFonts w:hint="eastAsia" w:ascii="黑体" w:hAnsi="宋体" w:eastAsia="黑体" w:cs="宋体"/>
          <w:b/>
          <w:bCs/>
          <w:color w:val="auto"/>
          <w:kern w:val="0"/>
          <w:sz w:val="44"/>
          <w:szCs w:val="44"/>
        </w:rPr>
      </w:pPr>
    </w:p>
    <w:p>
      <w:pPr>
        <w:keepNext w:val="0"/>
        <w:keepLines w:val="0"/>
        <w:pageBreakBefore w:val="0"/>
        <w:kinsoku/>
        <w:topLinePunct w:val="0"/>
        <w:bidi w:val="0"/>
        <w:snapToGrid w:val="0"/>
        <w:spacing w:line="560" w:lineRule="exact"/>
        <w:jc w:val="center"/>
        <w:rPr>
          <w:rFonts w:hint="eastAsia" w:ascii="黑体" w:hAnsi="宋体" w:eastAsia="黑体" w:cs="宋体"/>
          <w:b/>
          <w:bCs/>
          <w:color w:val="auto"/>
          <w:kern w:val="0"/>
          <w:sz w:val="44"/>
          <w:szCs w:val="44"/>
          <w:lang w:eastAsia="zh-CN"/>
        </w:rPr>
      </w:pPr>
      <w:r>
        <w:rPr>
          <w:rFonts w:hint="eastAsia" w:ascii="黑体" w:hAnsi="宋体" w:eastAsia="黑体" w:cs="宋体"/>
          <w:b/>
          <w:bCs/>
          <w:color w:val="auto"/>
          <w:kern w:val="0"/>
          <w:sz w:val="44"/>
          <w:szCs w:val="44"/>
        </w:rPr>
        <w:t>社会保险费补缴承诺书</w:t>
      </w:r>
      <w:r>
        <w:rPr>
          <w:rFonts w:hint="eastAsia" w:ascii="黑体" w:hAnsi="宋体" w:eastAsia="黑体" w:cs="宋体"/>
          <w:b/>
          <w:bCs/>
          <w:color w:val="auto"/>
          <w:kern w:val="0"/>
          <w:sz w:val="44"/>
          <w:szCs w:val="44"/>
          <w:lang w:eastAsia="zh-CN"/>
        </w:rPr>
        <w:t>（个人）</w:t>
      </w:r>
    </w:p>
    <w:p>
      <w:pPr>
        <w:keepNext w:val="0"/>
        <w:keepLines w:val="0"/>
        <w:pageBreakBefore w:val="0"/>
        <w:widowControl/>
        <w:kinsoku/>
        <w:topLinePunct w:val="0"/>
        <w:bidi w:val="0"/>
        <w:snapToGrid w:val="0"/>
        <w:spacing w:line="560" w:lineRule="exact"/>
        <w:jc w:val="left"/>
        <w:rPr>
          <w:rFonts w:hint="eastAsia" w:ascii="宋体" w:hAnsi="宋体"/>
          <w:bCs/>
          <w:color w:val="auto"/>
          <w:kern w:val="0"/>
          <w:szCs w:val="21"/>
        </w:rPr>
      </w:pPr>
      <w:r>
        <w:rPr>
          <w:rFonts w:hint="eastAsia" w:ascii="宋体" w:hAnsi="宋体"/>
          <w:bCs/>
          <w:color w:val="auto"/>
          <w:kern w:val="0"/>
          <w:szCs w:val="21"/>
        </w:rPr>
        <w:t xml:space="preserve">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本人承诺与用人单位的劳动关系真实有效，知悉以下规定，并自愿申请补缴社会保险费</w:t>
      </w:r>
      <w:r>
        <w:rPr>
          <w:rFonts w:hint="eastAsia" w:ascii="仿宋_GB2312" w:hAnsi="仿宋_GB2312" w:eastAsia="仿宋_GB2312" w:cs="仿宋_GB2312"/>
          <w:bCs/>
          <w:color w:val="auto"/>
          <w:kern w:val="0"/>
          <w:sz w:val="32"/>
          <w:szCs w:val="32"/>
          <w:lang w:eastAsia="zh-CN"/>
        </w:rPr>
        <w:t>，如有虚假愿承担相应法律责任</w:t>
      </w:r>
      <w:r>
        <w:rPr>
          <w:rFonts w:hint="eastAsia" w:ascii="仿宋_GB2312" w:hAnsi="仿宋_GB2312" w:eastAsia="仿宋_GB2312" w:cs="仿宋_GB2312"/>
          <w:bCs/>
          <w:color w:val="auto"/>
          <w:kern w:val="0"/>
          <w:sz w:val="32"/>
          <w:szCs w:val="32"/>
        </w:rPr>
        <w:t>。若因政策规定无法在广东省办理退休待遇或跨省转移，同意相关缴费按规定处理</w:t>
      </w:r>
      <w:r>
        <w:rPr>
          <w:rFonts w:hint="eastAsia" w:ascii="仿宋_GB2312" w:hAnsi="仿宋_GB2312" w:eastAsia="仿宋_GB2312" w:cs="仿宋_GB2312"/>
          <w:bCs/>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一、《城镇企业职工基本养老保险关系转移接续暂行办法》（国办发〔2009〕66号）第五条第二点规定：“对男性年满50周岁和女性年满40周岁的，应在原参保地继续保留基本养老保险关系，同时在新参保地建立临时基本养老保险缴费账户，记录单位和个人全部缴费。参保人员再次跨省流动就业或在新参保地达到待遇领取条件时，将临时基本养老保险缴费账户中的全部缴费本息，转移归集到原参保地或待遇领取地。”</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二、《关于城镇企业职工基本养老保险关系转移接续若干问题的通知》（人社部规〔2016〕5号）第三条：“参保人员在建立临时基本养老保险缴费账户地按照社会保险法规定，缴纳建立临时基本养老保险缴费账户前应缴未缴的养老保险费的，其临时基本养老保险缴费账户性质不予改变”。</w:t>
      </w:r>
    </w:p>
    <w:p>
      <w:pPr>
        <w:keepNext w:val="0"/>
        <w:keepLines w:val="0"/>
        <w:pageBreakBefore w:val="0"/>
        <w:widowControl/>
        <w:kinsoku/>
        <w:topLinePunct w:val="0"/>
        <w:bidi w:val="0"/>
        <w:snapToGrid w:val="0"/>
        <w:spacing w:line="560" w:lineRule="exact"/>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三、《关于城镇企业职工基本养老保险关系转移接续若干问题的通知》（人社部规〔2016〕5号）第四条：“关于一次性缴纳养老保险费的转移。跨省流动就业人员转移接续养老保险关系时，对于符合国家规定一次性缴纳养老保险费超过3年（含）的，转出地应向转入地提供人民法院、审计部门、实施劳动保障监察的行政部门或劳动争议仲裁委员会出具的具有法律效力证明一次性缴费期间存在劳动关系的相应文书。”</w:t>
      </w:r>
    </w:p>
    <w:p>
      <w:pPr>
        <w:keepNext w:val="0"/>
        <w:keepLines w:val="0"/>
        <w:pageBreakBefore w:val="0"/>
        <w:widowControl/>
        <w:kinsoku/>
        <w:topLinePunct w:val="0"/>
        <w:bidi w:val="0"/>
        <w:snapToGrid w:val="0"/>
        <w:spacing w:line="560" w:lineRule="exact"/>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四、《人力资源社会保障部办公厅关于职工基本养老保险关系转移接续有关问题的补充通知》（人社厅发〔2019〕94号）第二点规定：“ 参保人员跨省转移接续基本养老保险关系时，对在部规5号实施之后发生的超过3年（含3年）的一次性缴纳养老保险费，由转出地按照部规5号有关规定向转入地提供相关法律文书。相关法律文书是由人民法院、审计部门、实施劳动监察的行政部门或劳动人事争议仲裁委员会等部门在履行各自法定职责过程中形成且产生于一次性缴纳养老保险费之前，不得通过事后补办的方式开具。转出地和转入地应当根据各自职责审核相关材料的规范性和完整性，核对参保人员缴费及转移信息。”</w:t>
      </w:r>
    </w:p>
    <w:p>
      <w:pPr>
        <w:pStyle w:val="4"/>
        <w:keepNext w:val="0"/>
        <w:keepLines w:val="0"/>
        <w:pageBreakBefore w:val="0"/>
        <w:kinsoku/>
        <w:topLinePunct w:val="0"/>
        <w:bidi w:val="0"/>
        <w:spacing w:line="560" w:lineRule="exact"/>
        <w:ind w:left="0" w:leftChars="0"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此次申请补缴社会保险费属于下列情形之一：</w:t>
      </w:r>
    </w:p>
    <w:p>
      <w:pPr>
        <w:keepNext w:val="0"/>
        <w:keepLines w:val="0"/>
        <w:pageBreakBefore w:val="0"/>
        <w:kinsoku/>
        <w:topLinePunct w:val="0"/>
        <w:bidi w:val="0"/>
        <w:spacing w:line="560" w:lineRule="exact"/>
        <w:ind w:firstLine="640"/>
        <w:rPr>
          <w:rFonts w:hint="default"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□一次性补缴基本养老保险费超过3年（含3年）且需要办理跨省转移基本养老保险关系业务</w:t>
      </w:r>
    </w:p>
    <w:p>
      <w:pPr>
        <w:keepNext w:val="0"/>
        <w:keepLines w:val="0"/>
        <w:pageBreakBefore w:val="0"/>
        <w:kinsoku/>
        <w:topLinePunct w:val="0"/>
        <w:bidi w:val="0"/>
        <w:spacing w:line="560" w:lineRule="exact"/>
        <w:ind w:firstLine="640"/>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□非上述情形</w:t>
      </w:r>
    </w:p>
    <w:p>
      <w:pPr>
        <w:pStyle w:val="4"/>
        <w:keepNext w:val="0"/>
        <w:keepLines w:val="0"/>
        <w:pageBreakBefore w:val="0"/>
        <w:kinsoku/>
        <w:topLinePunct w:val="0"/>
        <w:bidi w:val="0"/>
        <w:spacing w:line="560" w:lineRule="exact"/>
        <w:ind w:left="0" w:leftChars="0" w:firstLine="0" w:firstLineChars="0"/>
        <w:rPr>
          <w:rFonts w:hint="eastAsia"/>
        </w:rPr>
      </w:pP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color w:val="auto"/>
          <w:kern w:val="0"/>
          <w:sz w:val="32"/>
          <w:szCs w:val="32"/>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xml:space="preserve">                承诺职工（签名）：</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xml:space="preserve">                     承诺时间：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A00D8"/>
    <w:rsid w:val="0E5A00D8"/>
    <w:rsid w:val="5BC21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OfAuthoring"/>
    <w:basedOn w:val="1"/>
    <w:next w:val="1"/>
    <w:qFormat/>
    <w:uiPriority w:val="99"/>
    <w:pPr>
      <w:ind w:left="420" w:leftChars="200"/>
    </w:pPr>
    <w:rPr>
      <w:rFonts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2024-04-07T08:28:00Z</dcterms:created>
  <dc:creator>潘灵舒</dc:creator>
  <cp:lastModifiedBy>冼结玲</cp:lastModifiedBy>
  <dcterms:modified xsi:type="dcterms:W3CDTF">2024-04-07T09:27:25Z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