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康简标题宋" w:eastAsia="华康简标题宋"/>
          <w:sz w:val="42"/>
          <w:szCs w:val="42"/>
        </w:rPr>
      </w:pPr>
    </w:p>
    <w:p>
      <w:pPr>
        <w:rPr>
          <w:rFonts w:ascii="华康简标题宋" w:eastAsia="华康简标题宋"/>
          <w:sz w:val="42"/>
          <w:szCs w:val="42"/>
        </w:rPr>
      </w:pPr>
    </w:p>
    <w:p>
      <w:pPr>
        <w:jc w:val="center"/>
        <w:rPr>
          <w:rFonts w:ascii="华康简标题宋" w:eastAsia="华康简标题宋"/>
          <w:sz w:val="42"/>
          <w:szCs w:val="42"/>
        </w:rPr>
      </w:pPr>
      <w:r>
        <w:rPr>
          <w:rFonts w:hint="eastAsia" w:ascii="华康简标题宋" w:eastAsia="华康简标题宋"/>
          <w:sz w:val="42"/>
          <w:szCs w:val="42"/>
        </w:rPr>
        <w:t>东莞市非营利组织免税资格认定办事指南</w:t>
      </w:r>
    </w:p>
    <w:p>
      <w:pPr>
        <w:jc w:val="center"/>
        <w:rPr>
          <w:rFonts w:ascii="仿宋_GB2312" w:eastAsia="仿宋_GB2312"/>
          <w:sz w:val="32"/>
          <w:szCs w:val="32"/>
        </w:rPr>
      </w:pPr>
    </w:p>
    <w:p>
      <w:pPr>
        <w:rPr>
          <w:rFonts w:ascii="仿宋_GB2312" w:eastAsia="仿宋_GB2312"/>
          <w:sz w:val="32"/>
          <w:szCs w:val="32"/>
        </w:rPr>
      </w:pPr>
    </w:p>
    <w:p>
      <w:pPr>
        <w:ind w:firstLine="615"/>
        <w:rPr>
          <w:rFonts w:ascii="仿宋_GB2312" w:eastAsia="仿宋_GB2312"/>
          <w:sz w:val="32"/>
          <w:szCs w:val="32"/>
        </w:rPr>
      </w:pPr>
      <w:r>
        <w:rPr>
          <w:rFonts w:hint="eastAsia" w:ascii="仿宋_GB2312" w:eastAsia="仿宋_GB2312"/>
          <w:sz w:val="32"/>
          <w:szCs w:val="32"/>
        </w:rPr>
        <w:t>为了切实做好东莞市非营利组织免税资格认定管理工作，方便非营利组织做好免税资格认定申报及办理税收优惠备</w:t>
      </w:r>
      <w:bookmarkStart w:id="0" w:name="_GoBack"/>
      <w:bookmarkEnd w:id="0"/>
      <w:r>
        <w:rPr>
          <w:rFonts w:hint="eastAsia" w:ascii="仿宋_GB2312" w:eastAsia="仿宋_GB2312"/>
          <w:sz w:val="32"/>
          <w:szCs w:val="32"/>
        </w:rPr>
        <w:t>案，现将有关事项明确如下：</w:t>
      </w:r>
    </w:p>
    <w:p>
      <w:pPr>
        <w:ind w:firstLine="643" w:firstLineChars="200"/>
        <w:rPr>
          <w:rFonts w:ascii="黑体" w:hAnsi="黑体" w:eastAsia="黑体"/>
          <w:b/>
          <w:sz w:val="32"/>
          <w:szCs w:val="32"/>
        </w:rPr>
      </w:pPr>
      <w:r>
        <w:rPr>
          <w:rFonts w:hint="eastAsia" w:ascii="黑体" w:hAnsi="黑体" w:eastAsia="黑体"/>
          <w:b/>
          <w:sz w:val="32"/>
          <w:szCs w:val="32"/>
        </w:rPr>
        <w:t>一、非营利组织免税资格认定条件</w:t>
      </w:r>
    </w:p>
    <w:p>
      <w:pPr>
        <w:ind w:firstLine="640" w:firstLineChars="200"/>
        <w:rPr>
          <w:rFonts w:ascii="仿宋_GB2312" w:eastAsia="仿宋_GB2312"/>
          <w:sz w:val="32"/>
          <w:szCs w:val="32"/>
        </w:rPr>
      </w:pPr>
      <w:r>
        <w:rPr>
          <w:rFonts w:hint="eastAsia" w:ascii="仿宋_GB2312" w:eastAsia="仿宋_GB2312"/>
          <w:sz w:val="32"/>
          <w:szCs w:val="32"/>
        </w:rPr>
        <w:t>非营利组织免税资格认定，必须同时满足以下条件：</w:t>
      </w:r>
    </w:p>
    <w:p>
      <w:pPr>
        <w:ind w:firstLine="640" w:firstLineChars="200"/>
        <w:rPr>
          <w:rFonts w:ascii="仿宋_GB2312" w:eastAsia="仿宋_GB2312"/>
          <w:sz w:val="32"/>
          <w:szCs w:val="32"/>
        </w:rPr>
      </w:pPr>
      <w:r>
        <w:rPr>
          <w:rFonts w:hint="eastAsia" w:ascii="仿宋_GB2312" w:eastAsia="仿宋_GB2312"/>
          <w:sz w:val="32"/>
          <w:szCs w:val="32"/>
        </w:rPr>
        <w:t>（一）依照国家有关法律法规设立或登记的事业单位、社会团体、基金会、社会服务机构、宗教活动场所、宗教院校以及财政部、税务总局认定的其他非营利组织；</w:t>
      </w:r>
    </w:p>
    <w:p>
      <w:pPr>
        <w:ind w:firstLine="640" w:firstLineChars="200"/>
        <w:rPr>
          <w:rFonts w:ascii="仿宋_GB2312" w:eastAsia="仿宋_GB2312"/>
          <w:sz w:val="32"/>
          <w:szCs w:val="32"/>
        </w:rPr>
      </w:pPr>
      <w:r>
        <w:rPr>
          <w:rFonts w:hint="eastAsia" w:ascii="仿宋_GB2312" w:eastAsia="仿宋_GB2312"/>
          <w:sz w:val="32"/>
          <w:szCs w:val="32"/>
        </w:rPr>
        <w:t>（二）从事公益性或者非营利性活动；</w:t>
      </w:r>
    </w:p>
    <w:p>
      <w:pPr>
        <w:ind w:firstLine="640" w:firstLineChars="200"/>
        <w:rPr>
          <w:rFonts w:ascii="仿宋_GB2312" w:eastAsia="仿宋_GB2312"/>
          <w:sz w:val="32"/>
          <w:szCs w:val="32"/>
        </w:rPr>
      </w:pPr>
      <w:r>
        <w:rPr>
          <w:rFonts w:hint="eastAsia" w:ascii="仿宋_GB2312" w:eastAsia="仿宋_GB2312"/>
          <w:sz w:val="32"/>
          <w:szCs w:val="32"/>
        </w:rPr>
        <w:t>（三）取得的收入除用于与该组织有关的、合理的支出外，全部用于登记核定或者章程规定的公益性或者非营利性事业；</w:t>
      </w:r>
    </w:p>
    <w:p>
      <w:pPr>
        <w:ind w:firstLine="640" w:firstLineChars="200"/>
        <w:rPr>
          <w:rFonts w:ascii="仿宋_GB2312" w:eastAsia="仿宋_GB2312"/>
          <w:sz w:val="32"/>
          <w:szCs w:val="32"/>
        </w:rPr>
      </w:pPr>
      <w:r>
        <w:rPr>
          <w:rFonts w:hint="eastAsia" w:ascii="仿宋_GB2312" w:eastAsia="仿宋_GB2312"/>
          <w:sz w:val="32"/>
          <w:szCs w:val="32"/>
        </w:rPr>
        <w:t>（四）财产及其孳息不用于分配，但不包括合理的工资薪金支出；</w:t>
      </w:r>
    </w:p>
    <w:p>
      <w:pPr>
        <w:ind w:firstLine="640" w:firstLineChars="200"/>
        <w:rPr>
          <w:rFonts w:ascii="仿宋_GB2312" w:eastAsia="仿宋_GB2312"/>
          <w:sz w:val="32"/>
          <w:szCs w:val="32"/>
        </w:rPr>
      </w:pPr>
      <w:r>
        <w:rPr>
          <w:rFonts w:hint="eastAsia" w:ascii="仿宋_GB2312" w:eastAsia="仿宋_GB2312"/>
          <w:sz w:val="32"/>
          <w:szCs w:val="32"/>
        </w:rPr>
        <w:t>（五）按照登记核定或者章程规定，该组织注销后的剩余财产用于公益性或者非营利性目的，或者由登记管理机关采取转赠给与该组织性质、宗旨相同的组织等处置方式，并向社会公告；</w:t>
      </w:r>
    </w:p>
    <w:p>
      <w:pPr>
        <w:ind w:firstLine="640" w:firstLineChars="200"/>
        <w:rPr>
          <w:rFonts w:ascii="仿宋_GB2312" w:eastAsia="仿宋_GB2312"/>
          <w:sz w:val="32"/>
          <w:szCs w:val="32"/>
        </w:rPr>
      </w:pPr>
      <w:r>
        <w:rPr>
          <w:rFonts w:hint="eastAsia" w:ascii="仿宋_GB2312" w:eastAsia="仿宋_GB2312"/>
          <w:sz w:val="32"/>
          <w:szCs w:val="32"/>
        </w:rPr>
        <w:t>（六）投入人对投入该组织的财产不保留或者不享有任何财产权利，本款所称投入人是指除各级人民政府及其部门外的法人、自然人和其他组织；</w:t>
      </w:r>
    </w:p>
    <w:p>
      <w:pPr>
        <w:ind w:firstLine="640" w:firstLineChars="200"/>
        <w:rPr>
          <w:rFonts w:ascii="仿宋_GB2312" w:eastAsia="仿宋_GB2312"/>
          <w:sz w:val="32"/>
          <w:szCs w:val="32"/>
        </w:rPr>
      </w:pPr>
      <w:r>
        <w:rPr>
          <w:rFonts w:hint="eastAsia" w:ascii="仿宋_GB2312" w:eastAsia="仿宋_GB2312"/>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ind w:firstLine="640" w:firstLineChars="200"/>
        <w:rPr>
          <w:rFonts w:ascii="仿宋_GB2312" w:eastAsia="仿宋_GB2312"/>
          <w:sz w:val="32"/>
          <w:szCs w:val="32"/>
        </w:rPr>
      </w:pPr>
      <w:r>
        <w:rPr>
          <w:rFonts w:hint="eastAsia" w:ascii="仿宋_GB2312" w:eastAsia="仿宋_GB2312"/>
          <w:sz w:val="32"/>
          <w:szCs w:val="32"/>
        </w:rPr>
        <w:t>（八）对取得的应纳税收入及其有关的成本、费用、损失应与免税收入及其有关的成本、费用、损失分别核算。</w:t>
      </w:r>
    </w:p>
    <w:p>
      <w:pPr>
        <w:ind w:firstLine="643" w:firstLineChars="200"/>
        <w:rPr>
          <w:rFonts w:ascii="黑体" w:hAnsi="黑体" w:eastAsia="黑体"/>
          <w:b/>
          <w:sz w:val="32"/>
          <w:szCs w:val="32"/>
        </w:rPr>
      </w:pPr>
      <w:r>
        <w:rPr>
          <w:rFonts w:hint="eastAsia" w:ascii="黑体" w:hAnsi="黑体" w:eastAsia="黑体"/>
          <w:b/>
          <w:sz w:val="32"/>
          <w:szCs w:val="32"/>
        </w:rPr>
        <w:t>二、非营利组织免税收入范围</w:t>
      </w:r>
    </w:p>
    <w:p>
      <w:pPr>
        <w:ind w:firstLine="615"/>
        <w:rPr>
          <w:rFonts w:ascii="仿宋_GB2312" w:eastAsia="仿宋_GB2312"/>
          <w:sz w:val="32"/>
          <w:szCs w:val="32"/>
        </w:rPr>
      </w:pPr>
      <w:r>
        <w:rPr>
          <w:rFonts w:hint="eastAsia" w:ascii="仿宋_GB2312" w:eastAsia="仿宋_GB2312"/>
          <w:sz w:val="32"/>
          <w:szCs w:val="32"/>
        </w:rPr>
        <w:t>符合条件的非营利组织经认定后，其取得的下列收入免征企业所得税：</w:t>
      </w:r>
    </w:p>
    <w:p>
      <w:pPr>
        <w:ind w:firstLine="615"/>
        <w:rPr>
          <w:rFonts w:ascii="仿宋_GB2312" w:eastAsia="仿宋_GB2312"/>
          <w:sz w:val="32"/>
          <w:szCs w:val="32"/>
        </w:rPr>
      </w:pPr>
      <w:r>
        <w:rPr>
          <w:rFonts w:hint="eastAsia" w:ascii="仿宋_GB2312" w:eastAsia="仿宋_GB2312"/>
          <w:sz w:val="32"/>
          <w:szCs w:val="32"/>
        </w:rPr>
        <w:t>（一）接受其他单位或者个人捐赠的收入；</w:t>
      </w:r>
    </w:p>
    <w:p>
      <w:pPr>
        <w:ind w:firstLine="615"/>
        <w:rPr>
          <w:rFonts w:ascii="仿宋_GB2312" w:eastAsia="仿宋_GB2312"/>
          <w:sz w:val="32"/>
          <w:szCs w:val="32"/>
        </w:rPr>
      </w:pPr>
      <w:r>
        <w:rPr>
          <w:rFonts w:hint="eastAsia" w:ascii="仿宋_GB2312" w:eastAsia="仿宋_GB2312"/>
          <w:sz w:val="32"/>
          <w:szCs w:val="32"/>
        </w:rPr>
        <w:t>（二）除《中华人民共和国企业所得税法》第七条规定的财政拨款以外的其他政府补助收入，但不包括因政府购买服务取得的收入；</w:t>
      </w:r>
    </w:p>
    <w:p>
      <w:pPr>
        <w:ind w:firstLine="615"/>
        <w:rPr>
          <w:rFonts w:ascii="仿宋_GB2312" w:eastAsia="仿宋_GB2312"/>
          <w:sz w:val="32"/>
          <w:szCs w:val="32"/>
        </w:rPr>
      </w:pPr>
      <w:r>
        <w:rPr>
          <w:rFonts w:hint="eastAsia" w:ascii="仿宋_GB2312" w:eastAsia="仿宋_GB2312"/>
          <w:sz w:val="32"/>
          <w:szCs w:val="32"/>
        </w:rPr>
        <w:t>（三）按照省级以上民政、财政部门规定收取的会费；</w:t>
      </w:r>
    </w:p>
    <w:p>
      <w:pPr>
        <w:ind w:firstLine="615"/>
        <w:rPr>
          <w:rFonts w:ascii="仿宋_GB2312" w:eastAsia="仿宋_GB2312"/>
          <w:sz w:val="32"/>
          <w:szCs w:val="32"/>
        </w:rPr>
      </w:pPr>
      <w:r>
        <w:rPr>
          <w:rFonts w:hint="eastAsia" w:ascii="仿宋_GB2312" w:eastAsia="仿宋_GB2312"/>
          <w:sz w:val="32"/>
          <w:szCs w:val="32"/>
        </w:rPr>
        <w:t>（四）不征税收入和免税收入孳生的银行存款利息收入；</w:t>
      </w:r>
    </w:p>
    <w:p>
      <w:pPr>
        <w:ind w:firstLine="615"/>
        <w:rPr>
          <w:rFonts w:ascii="仿宋_GB2312" w:eastAsia="仿宋_GB2312"/>
          <w:sz w:val="32"/>
          <w:szCs w:val="32"/>
        </w:rPr>
      </w:pPr>
      <w:r>
        <w:rPr>
          <w:rFonts w:hint="eastAsia" w:ascii="仿宋_GB2312" w:eastAsia="仿宋_GB2312"/>
          <w:sz w:val="32"/>
          <w:szCs w:val="32"/>
        </w:rPr>
        <w:t>（五）财政部、国家税务总局规定的其他收入。</w:t>
      </w:r>
    </w:p>
    <w:p>
      <w:pPr>
        <w:ind w:firstLine="630" w:firstLineChars="196"/>
        <w:rPr>
          <w:rFonts w:ascii="黑体" w:hAnsi="黑体" w:eastAsia="黑体"/>
          <w:b/>
          <w:sz w:val="32"/>
          <w:szCs w:val="32"/>
        </w:rPr>
      </w:pPr>
      <w:r>
        <w:rPr>
          <w:rFonts w:hint="eastAsia" w:ascii="黑体" w:hAnsi="黑体" w:eastAsia="黑体"/>
          <w:b/>
          <w:sz w:val="32"/>
          <w:szCs w:val="32"/>
        </w:rPr>
        <w:t>三、申请非营利组织免税资格需报送的资料</w:t>
      </w:r>
    </w:p>
    <w:p>
      <w:pPr>
        <w:ind w:firstLine="627" w:firstLineChars="196"/>
        <w:rPr>
          <w:rFonts w:ascii="仿宋_GB2312" w:eastAsia="仿宋_GB2312"/>
          <w:b/>
          <w:sz w:val="32"/>
          <w:szCs w:val="32"/>
        </w:rPr>
      </w:pPr>
      <w:r>
        <w:rPr>
          <w:rFonts w:hint="eastAsia" w:ascii="仿宋_GB2312" w:eastAsia="仿宋_GB2312"/>
          <w:sz w:val="32"/>
          <w:szCs w:val="32"/>
        </w:rPr>
        <w:t>（一）非营利组织申报免税资格资料清单（见附件1）；</w:t>
      </w:r>
    </w:p>
    <w:p>
      <w:pPr>
        <w:ind w:firstLine="640" w:firstLineChars="200"/>
        <w:rPr>
          <w:rFonts w:ascii="仿宋_GB2312" w:eastAsia="仿宋_GB2312"/>
          <w:sz w:val="32"/>
          <w:szCs w:val="32"/>
        </w:rPr>
      </w:pPr>
      <w:r>
        <w:rPr>
          <w:rFonts w:hint="eastAsia" w:ascii="仿宋_GB2312" w:eastAsia="仿宋_GB2312"/>
          <w:sz w:val="32"/>
          <w:szCs w:val="32"/>
        </w:rPr>
        <w:t>（二）东莞市非营利组织年度免税资格申请表（见附件2）；</w:t>
      </w:r>
    </w:p>
    <w:p>
      <w:pPr>
        <w:ind w:firstLine="640" w:firstLineChars="200"/>
        <w:rPr>
          <w:rFonts w:ascii="仿宋_GB2312" w:eastAsia="仿宋_GB2312"/>
          <w:sz w:val="32"/>
          <w:szCs w:val="32"/>
        </w:rPr>
      </w:pPr>
      <w:r>
        <w:rPr>
          <w:rFonts w:hint="eastAsia" w:ascii="仿宋_GB2312" w:eastAsia="仿宋_GB2312"/>
          <w:sz w:val="32"/>
          <w:szCs w:val="32"/>
        </w:rPr>
        <w:t>（三）申请报告（内容要求及样式见附件3）；</w:t>
      </w:r>
    </w:p>
    <w:p>
      <w:pPr>
        <w:ind w:firstLine="640" w:firstLineChars="200"/>
        <w:rPr>
          <w:rFonts w:ascii="仿宋_GB2312" w:eastAsia="仿宋_GB2312"/>
          <w:sz w:val="32"/>
          <w:szCs w:val="32"/>
        </w:rPr>
      </w:pPr>
      <w:r>
        <w:rPr>
          <w:rFonts w:hint="eastAsia" w:ascii="仿宋_GB2312" w:eastAsia="仿宋_GB2312"/>
          <w:sz w:val="32"/>
          <w:szCs w:val="32"/>
        </w:rPr>
        <w:t>（四）经登记管理部门备案</w:t>
      </w:r>
      <w:r>
        <w:rPr>
          <w:rFonts w:hint="eastAsia" w:ascii="仿宋_GB2312" w:eastAsia="仿宋_GB2312"/>
          <w:sz w:val="32"/>
          <w:szCs w:val="32"/>
          <w:lang w:eastAsia="zh-CN"/>
        </w:rPr>
        <w:t>（</w:t>
      </w:r>
      <w:r>
        <w:rPr>
          <w:rFonts w:hint="eastAsia" w:ascii="仿宋_GB2312" w:eastAsia="仿宋_GB2312"/>
          <w:sz w:val="32"/>
          <w:szCs w:val="32"/>
        </w:rPr>
        <w:t>盖章</w:t>
      </w:r>
      <w:r>
        <w:rPr>
          <w:rFonts w:hint="eastAsia" w:ascii="仿宋_GB2312" w:eastAsia="仿宋_GB2312"/>
          <w:sz w:val="32"/>
          <w:szCs w:val="32"/>
          <w:lang w:eastAsia="zh-CN"/>
        </w:rPr>
        <w:t>）</w:t>
      </w:r>
      <w:r>
        <w:rPr>
          <w:rFonts w:hint="eastAsia" w:ascii="仿宋_GB2312" w:eastAsia="仿宋_GB2312"/>
          <w:sz w:val="32"/>
          <w:szCs w:val="32"/>
        </w:rPr>
        <w:t>的事业单位、社会团体、基金会、社会服务机构的组织章程或宗教活动场所、宗教院校的管理制度复印件；</w:t>
      </w:r>
    </w:p>
    <w:p>
      <w:pPr>
        <w:ind w:firstLine="640" w:firstLineChars="200"/>
        <w:rPr>
          <w:rFonts w:ascii="仿宋_GB2312" w:eastAsia="仿宋_GB2312"/>
          <w:sz w:val="32"/>
          <w:szCs w:val="32"/>
        </w:rPr>
      </w:pPr>
      <w:r>
        <w:rPr>
          <w:rFonts w:hint="eastAsia" w:ascii="仿宋_GB2312" w:eastAsia="仿宋_GB2312"/>
          <w:sz w:val="32"/>
          <w:szCs w:val="32"/>
        </w:rPr>
        <w:t>（五）非营利组织注册登记证件复印件；</w:t>
      </w:r>
    </w:p>
    <w:p>
      <w:pPr>
        <w:ind w:firstLine="640" w:firstLineChars="200"/>
        <w:rPr>
          <w:rFonts w:ascii="仿宋_GB2312" w:eastAsia="仿宋_GB2312"/>
          <w:sz w:val="32"/>
          <w:szCs w:val="32"/>
        </w:rPr>
      </w:pPr>
      <w:r>
        <w:rPr>
          <w:rFonts w:hint="eastAsia" w:ascii="仿宋_GB2312" w:eastAsia="仿宋_GB2312"/>
          <w:sz w:val="32"/>
          <w:szCs w:val="32"/>
        </w:rPr>
        <w:t>（六）上一年度的资金来源及使用情况、公益活动和非营利活动的明细情况说明，新成立的单位提供成立当年的情况说明；</w:t>
      </w:r>
    </w:p>
    <w:p>
      <w:pPr>
        <w:ind w:firstLine="640" w:firstLineChars="200"/>
        <w:rPr>
          <w:rFonts w:ascii="仿宋_GB2312" w:eastAsia="仿宋_GB2312"/>
          <w:sz w:val="32"/>
          <w:szCs w:val="32"/>
        </w:rPr>
      </w:pPr>
      <w:r>
        <w:rPr>
          <w:rFonts w:hint="eastAsia" w:ascii="仿宋_GB2312" w:eastAsia="仿宋_GB2312"/>
          <w:sz w:val="32"/>
          <w:szCs w:val="32"/>
        </w:rPr>
        <w:t>（七）上一年度的工资薪金情况专项报告，包括薪酬制度、工作人员整体平均工资薪金水平、工资福利占总支出比例、重要人员工资薪金信息（至少包括工资薪金水平排名前10的人员），新成立的单位按实际月份提供；</w:t>
      </w:r>
    </w:p>
    <w:p>
      <w:pPr>
        <w:ind w:firstLine="640" w:firstLineChars="200"/>
        <w:rPr>
          <w:rFonts w:ascii="仿宋_GB2312" w:eastAsia="仿宋_GB2312"/>
          <w:sz w:val="32"/>
          <w:szCs w:val="32"/>
        </w:rPr>
      </w:pPr>
      <w:r>
        <w:rPr>
          <w:rFonts w:hint="eastAsia" w:ascii="仿宋_GB2312" w:eastAsia="仿宋_GB2312"/>
          <w:sz w:val="32"/>
          <w:szCs w:val="32"/>
        </w:rPr>
        <w:t>（八）登记管理机关出具的事业单位、社会团体、基金会、社会服务机构、宗教活动场所、宗教院校上一年度符合相关法律法规和国家政策的事业发展情况或非营利活动的材料（申请年度新成立的单位无需提供）；</w:t>
      </w:r>
    </w:p>
    <w:p>
      <w:pPr>
        <w:ind w:firstLine="640" w:firstLineChars="200"/>
        <w:rPr>
          <w:rFonts w:ascii="仿宋_GB2312" w:eastAsia="仿宋_GB2312"/>
          <w:sz w:val="32"/>
          <w:szCs w:val="32"/>
        </w:rPr>
      </w:pPr>
      <w:r>
        <w:rPr>
          <w:rFonts w:hint="eastAsia" w:ascii="仿宋_GB2312" w:eastAsia="仿宋_GB2312"/>
          <w:sz w:val="32"/>
          <w:szCs w:val="32"/>
        </w:rPr>
        <w:t>（九）具有资质的中介机构鉴证的上一年度财务报表和审计报告（申请年度新成立的单位无需提供，审计报告内容要求见附件4）；</w:t>
      </w:r>
    </w:p>
    <w:p>
      <w:pPr>
        <w:ind w:firstLine="640" w:firstLineChars="200"/>
        <w:rPr>
          <w:rFonts w:ascii="仿宋_GB2312" w:eastAsia="仿宋_GB2312"/>
          <w:sz w:val="32"/>
          <w:szCs w:val="32"/>
        </w:rPr>
      </w:pPr>
      <w:r>
        <w:rPr>
          <w:rFonts w:hint="eastAsia" w:ascii="仿宋_GB2312" w:eastAsia="仿宋_GB2312"/>
          <w:sz w:val="32"/>
          <w:szCs w:val="32"/>
        </w:rPr>
        <w:t>（十）有关部门要求提供的其他材料。</w:t>
      </w:r>
    </w:p>
    <w:p>
      <w:pPr>
        <w:ind w:firstLine="640" w:firstLineChars="200"/>
        <w:rPr>
          <w:rFonts w:ascii="仿宋_GB2312" w:eastAsia="仿宋_GB2312"/>
          <w:sz w:val="32"/>
          <w:szCs w:val="32"/>
        </w:rPr>
      </w:pPr>
      <w:r>
        <w:rPr>
          <w:rFonts w:hint="eastAsia" w:ascii="仿宋_GB2312" w:eastAsia="仿宋_GB2312"/>
          <w:sz w:val="32"/>
          <w:szCs w:val="32"/>
        </w:rPr>
        <w:t>申报资料一式两份，报送的复印件均需加盖本单位公章。</w:t>
      </w:r>
    </w:p>
    <w:p>
      <w:pPr>
        <w:ind w:firstLine="643" w:firstLineChars="200"/>
        <w:rPr>
          <w:rFonts w:ascii="黑体" w:hAnsi="黑体" w:eastAsia="黑体"/>
          <w:b/>
          <w:sz w:val="32"/>
          <w:szCs w:val="32"/>
        </w:rPr>
      </w:pPr>
      <w:r>
        <w:rPr>
          <w:rFonts w:hint="eastAsia" w:ascii="黑体" w:hAnsi="黑体" w:eastAsia="黑体"/>
          <w:b/>
          <w:sz w:val="32"/>
          <w:szCs w:val="32"/>
        </w:rPr>
        <w:t>四、非营利组织免税资格认定受理机关</w:t>
      </w:r>
    </w:p>
    <w:p>
      <w:pPr>
        <w:ind w:firstLine="640" w:firstLineChars="200"/>
        <w:rPr>
          <w:rFonts w:ascii="仿宋_GB2312" w:hAnsi="黑体" w:eastAsia="仿宋_GB2312"/>
          <w:sz w:val="32"/>
          <w:szCs w:val="32"/>
        </w:rPr>
      </w:pPr>
      <w:r>
        <w:rPr>
          <w:rFonts w:hint="eastAsia" w:ascii="仿宋_GB2312" w:hAnsi="黑体" w:eastAsia="仿宋_GB2312"/>
          <w:sz w:val="32"/>
          <w:szCs w:val="32"/>
        </w:rPr>
        <w:t>市级非营利组织免税资格认定的受理机关为各主管税务部门。</w:t>
      </w:r>
    </w:p>
    <w:p>
      <w:pPr>
        <w:ind w:firstLine="643" w:firstLineChars="200"/>
        <w:rPr>
          <w:rFonts w:ascii="黑体" w:hAnsi="黑体" w:eastAsia="黑体"/>
          <w:b/>
          <w:sz w:val="32"/>
          <w:szCs w:val="32"/>
        </w:rPr>
      </w:pPr>
      <w:r>
        <w:rPr>
          <w:rFonts w:hint="eastAsia" w:ascii="黑体" w:hAnsi="黑体" w:eastAsia="黑体" w:cs="Tahoma"/>
          <w:b/>
          <w:sz w:val="32"/>
          <w:szCs w:val="32"/>
        </w:rPr>
        <w:t>五、</w:t>
      </w:r>
      <w:r>
        <w:rPr>
          <w:rFonts w:hint="eastAsia" w:ascii="黑体" w:hAnsi="黑体" w:eastAsia="黑体"/>
          <w:b/>
          <w:sz w:val="32"/>
          <w:szCs w:val="32"/>
        </w:rPr>
        <w:t>非营利组织免税资格审核认定及受理时间</w:t>
      </w:r>
    </w:p>
    <w:p>
      <w:pPr>
        <w:ind w:firstLine="640" w:firstLineChars="200"/>
        <w:rPr>
          <w:rFonts w:ascii="仿宋_GB2312" w:eastAsia="仿宋_GB2312"/>
          <w:sz w:val="32"/>
          <w:szCs w:val="32"/>
        </w:rPr>
      </w:pPr>
      <w:r>
        <w:rPr>
          <w:rFonts w:hint="eastAsia" w:ascii="仿宋_GB2312" w:eastAsia="仿宋_GB2312"/>
          <w:sz w:val="32"/>
          <w:szCs w:val="32"/>
        </w:rPr>
        <w:t>非营利组织（含当年新成立或资格期满申请复审）免税资格申请的受理时间为每季度第3个月第1个星期。市财政局、市税务局对非营利组织享受免税资格进行联合审核认定，并于每季度结束前以正式文件予以公布。</w:t>
      </w:r>
    </w:p>
    <w:p>
      <w:pPr>
        <w:ind w:firstLine="640" w:firstLineChars="200"/>
        <w:rPr>
          <w:rFonts w:ascii="黑体" w:hAnsi="黑体" w:eastAsia="黑体"/>
          <w:sz w:val="32"/>
          <w:szCs w:val="32"/>
        </w:rPr>
      </w:pPr>
      <w:r>
        <w:rPr>
          <w:rFonts w:hint="eastAsia" w:ascii="黑体" w:hAnsi="黑体" w:eastAsia="黑体"/>
          <w:sz w:val="32"/>
          <w:szCs w:val="32"/>
        </w:rPr>
        <w:t>六、非营利组织税收优惠备案</w:t>
      </w:r>
    </w:p>
    <w:p>
      <w:pPr>
        <w:widowControl/>
        <w:ind w:firstLine="640" w:firstLineChars="200"/>
        <w:rPr>
          <w:rFonts w:ascii="仿宋_GB2312" w:eastAsia="仿宋_GB2312"/>
          <w:sz w:val="32"/>
          <w:szCs w:val="32"/>
        </w:rPr>
      </w:pPr>
      <w:r>
        <w:rPr>
          <w:rFonts w:hint="eastAsia" w:ascii="仿宋_GB2312" w:eastAsia="仿宋_GB2312"/>
          <w:sz w:val="32"/>
          <w:szCs w:val="32"/>
        </w:rPr>
        <w:t>根据新修订的《企业所得税优惠政策事项办理办法》（国家税务总局公告2018年第23号），通过免税资格认定的非营利组织采取“自行判别、申报享受、相关资料留存备查”的办理方式享受税收优惠，并按照《企业所得税优惠事项管理目录（2017年版）》的规定归集和留存相关备查资料。主要留存备查资料包括：</w:t>
      </w:r>
    </w:p>
    <w:p>
      <w:pPr>
        <w:widowControl/>
        <w:ind w:firstLine="640" w:firstLineChars="200"/>
        <w:rPr>
          <w:rFonts w:ascii="仿宋_GB2312" w:eastAsia="仿宋_GB2312"/>
          <w:sz w:val="32"/>
          <w:szCs w:val="32"/>
        </w:rPr>
      </w:pPr>
      <w:r>
        <w:rPr>
          <w:rFonts w:hint="eastAsia" w:ascii="仿宋_GB2312" w:eastAsia="仿宋_GB2312"/>
          <w:sz w:val="32"/>
          <w:szCs w:val="32"/>
        </w:rPr>
        <w:t>1.非营利组织免税资格有效认定文件或其他相关证明；</w:t>
      </w:r>
    </w:p>
    <w:p>
      <w:pPr>
        <w:widowControl/>
        <w:ind w:firstLine="640" w:firstLineChars="200"/>
        <w:rPr>
          <w:rFonts w:ascii="仿宋_GB2312" w:eastAsia="仿宋_GB2312"/>
          <w:sz w:val="32"/>
          <w:szCs w:val="32"/>
        </w:rPr>
      </w:pPr>
      <w:r>
        <w:rPr>
          <w:rFonts w:hint="eastAsia" w:ascii="仿宋_GB2312" w:eastAsia="仿宋_GB2312"/>
          <w:sz w:val="32"/>
          <w:szCs w:val="32"/>
        </w:rPr>
        <w:t>2.非营利组织认定资料；</w:t>
      </w:r>
    </w:p>
    <w:p>
      <w:pPr>
        <w:ind w:firstLine="640" w:firstLineChars="200"/>
        <w:rPr>
          <w:rFonts w:ascii="仿宋_GB2312" w:eastAsia="仿宋_GB2312"/>
          <w:sz w:val="32"/>
          <w:szCs w:val="32"/>
        </w:rPr>
      </w:pPr>
      <w:r>
        <w:rPr>
          <w:rFonts w:hint="eastAsia" w:ascii="仿宋_GB2312" w:eastAsia="仿宋_GB2312"/>
          <w:sz w:val="32"/>
          <w:szCs w:val="32"/>
        </w:rPr>
        <w:t>3.当年资金来源及使用情况、公益活动和非营利活动的明细情况；</w:t>
      </w:r>
    </w:p>
    <w:p>
      <w:pPr>
        <w:ind w:firstLine="640" w:firstLineChars="200"/>
        <w:rPr>
          <w:rFonts w:ascii="仿宋_GB2312" w:eastAsia="仿宋_GB2312"/>
          <w:sz w:val="32"/>
          <w:szCs w:val="32"/>
        </w:rPr>
      </w:pPr>
      <w:r>
        <w:rPr>
          <w:rFonts w:hint="eastAsia" w:ascii="仿宋_GB2312" w:eastAsia="仿宋_GB2312"/>
          <w:sz w:val="32"/>
          <w:szCs w:val="32"/>
        </w:rPr>
        <w:t>4.当年工资薪金情况专项报告，包括薪酬制度、工作人员整体平均工资薪金水平、工资福利占总支出比例、重要人员工资薪金信息（至少包括工资薪金水平排名前10的人员）；</w:t>
      </w:r>
    </w:p>
    <w:p>
      <w:pPr>
        <w:widowControl/>
        <w:ind w:firstLine="640" w:firstLineChars="200"/>
        <w:rPr>
          <w:rFonts w:ascii="仿宋_GB2312" w:eastAsia="仿宋_GB2312"/>
          <w:sz w:val="32"/>
          <w:szCs w:val="32"/>
        </w:rPr>
      </w:pPr>
      <w:r>
        <w:rPr>
          <w:rFonts w:hint="eastAsia" w:ascii="仿宋_GB2312" w:eastAsia="仿宋_GB2312"/>
          <w:sz w:val="32"/>
          <w:szCs w:val="32"/>
        </w:rPr>
        <w:t>5.当年财务报表；</w:t>
      </w:r>
    </w:p>
    <w:p>
      <w:pPr>
        <w:widowControl/>
        <w:ind w:firstLine="640" w:firstLineChars="200"/>
        <w:rPr>
          <w:rFonts w:ascii="仿宋_GB2312" w:eastAsia="仿宋_GB2312"/>
          <w:sz w:val="32"/>
          <w:szCs w:val="32"/>
        </w:rPr>
      </w:pPr>
      <w:r>
        <w:rPr>
          <w:rFonts w:hint="eastAsia" w:ascii="仿宋_GB2312" w:eastAsia="仿宋_GB2312"/>
          <w:sz w:val="32"/>
          <w:szCs w:val="32"/>
        </w:rPr>
        <w:t>6.登记管理机关出具的事业单位、社会团体、基金会、社会服务机构、宗教活动场所、宗教院校当年符合相关法律法规和国家政策的事业发展情况或非营利活动的材料；</w:t>
      </w:r>
    </w:p>
    <w:p>
      <w:pPr>
        <w:widowControl/>
        <w:ind w:firstLine="640" w:firstLineChars="200"/>
        <w:rPr>
          <w:rFonts w:ascii="仿宋_GB2312" w:eastAsia="仿宋_GB2312"/>
          <w:sz w:val="32"/>
          <w:szCs w:val="32"/>
        </w:rPr>
      </w:pPr>
      <w:r>
        <w:rPr>
          <w:rFonts w:hint="eastAsia" w:ascii="仿宋_GB2312" w:eastAsia="仿宋_GB2312"/>
          <w:sz w:val="32"/>
          <w:szCs w:val="32"/>
        </w:rPr>
        <w:t>7.应纳税收入及其有关的成本、费用、损失，与免税收入及其有关的成本、费用、损失分别核算的情况说明；</w:t>
      </w:r>
    </w:p>
    <w:p>
      <w:pPr>
        <w:widowControl/>
        <w:ind w:firstLine="640" w:firstLineChars="200"/>
        <w:rPr>
          <w:rFonts w:ascii="仿宋_GB2312" w:eastAsia="仿宋_GB2312"/>
          <w:sz w:val="32"/>
          <w:szCs w:val="32"/>
        </w:rPr>
      </w:pPr>
      <w:r>
        <w:rPr>
          <w:rFonts w:hint="eastAsia" w:ascii="仿宋_GB2312" w:eastAsia="仿宋_GB2312"/>
          <w:sz w:val="32"/>
          <w:szCs w:val="32"/>
        </w:rPr>
        <w:t>8.取得各类免税收入的情况说明；</w:t>
      </w:r>
    </w:p>
    <w:p>
      <w:pPr>
        <w:widowControl/>
        <w:ind w:firstLine="640" w:firstLineChars="200"/>
        <w:rPr>
          <w:rFonts w:ascii="仿宋_GB2312" w:eastAsia="仿宋_GB2312"/>
          <w:sz w:val="32"/>
          <w:szCs w:val="32"/>
        </w:rPr>
      </w:pPr>
      <w:r>
        <w:rPr>
          <w:rFonts w:hint="eastAsia" w:ascii="仿宋_GB2312" w:eastAsia="仿宋_GB2312"/>
          <w:sz w:val="32"/>
          <w:szCs w:val="32"/>
        </w:rPr>
        <w:t>9.各类免税收入的凭证。</w:t>
      </w:r>
    </w:p>
    <w:p>
      <w:pPr>
        <w:ind w:firstLine="643" w:firstLineChars="200"/>
        <w:rPr>
          <w:rFonts w:ascii="黑体" w:hAnsi="黑体" w:eastAsia="黑体"/>
          <w:b/>
          <w:sz w:val="32"/>
          <w:szCs w:val="32"/>
        </w:rPr>
      </w:pPr>
      <w:r>
        <w:rPr>
          <w:rFonts w:hint="eastAsia" w:ascii="黑体" w:hAnsi="黑体" w:eastAsia="黑体"/>
          <w:b/>
          <w:sz w:val="32"/>
          <w:szCs w:val="32"/>
        </w:rPr>
        <w:t>七、其他</w:t>
      </w:r>
    </w:p>
    <w:p>
      <w:pPr>
        <w:ind w:firstLine="640" w:firstLineChars="200"/>
        <w:rPr>
          <w:rFonts w:ascii="仿宋_GB2312" w:eastAsia="仿宋_GB2312"/>
          <w:sz w:val="32"/>
          <w:szCs w:val="32"/>
        </w:rPr>
      </w:pPr>
      <w:r>
        <w:rPr>
          <w:rFonts w:hint="eastAsia" w:ascii="仿宋_GB2312" w:eastAsia="仿宋_GB2312"/>
          <w:sz w:val="32"/>
          <w:szCs w:val="32"/>
        </w:rPr>
        <w:t>非营利组织免税优惠资格的有效期为五年。非营利组织应在免税优惠资格期满后六个月内提出复审申请，按照初次申请免税优惠资格的规定办理，不提出复审申请或复审不合格的，其享受免税优惠的资格到期自动失效，纳税人应补缴其超期享受的减免税额。</w:t>
      </w:r>
    </w:p>
    <w:p>
      <w:pPr>
        <w:ind w:firstLine="640" w:firstLineChars="200"/>
        <w:rPr>
          <w:rFonts w:ascii="仿宋_GB2312" w:eastAsia="仿宋_GB2312"/>
          <w:sz w:val="31"/>
          <w:szCs w:val="31"/>
        </w:rPr>
      </w:pPr>
      <w:r>
        <w:rPr>
          <w:rFonts w:hint="eastAsia" w:ascii="仿宋_GB2312" w:eastAsia="仿宋_GB2312"/>
          <w:sz w:val="32"/>
          <w:szCs w:val="32"/>
        </w:rPr>
        <w:t>已取得非营利组织免税资格的单位取得免税收入以外的其他收入，应按照税收规定计算缴纳企业所得税。未经认定的单位，其所有收入一律不得享受免税待遇，应按税法规定申报缴纳企业所得税。</w:t>
      </w:r>
      <w:r>
        <w:rPr>
          <w:rFonts w:hint="eastAsia" w:ascii="仿宋_GB2312" w:eastAsia="仿宋_GB2312"/>
          <w:sz w:val="31"/>
          <w:szCs w:val="31"/>
        </w:rPr>
        <w:t>未按规定申报纳税的，将按《中华人民共和国税收征收管理法》及有关规定进行处理。</w:t>
      </w:r>
    </w:p>
    <w:p>
      <w:pPr>
        <w:ind w:firstLine="622" w:firstLineChars="200"/>
        <w:rPr>
          <w:rFonts w:ascii="黑体" w:hAnsi="黑体" w:eastAsia="黑体"/>
          <w:b/>
          <w:sz w:val="31"/>
          <w:szCs w:val="31"/>
        </w:rPr>
      </w:pPr>
      <w:r>
        <w:rPr>
          <w:rFonts w:hint="eastAsia" w:ascii="黑体" w:hAnsi="黑体" w:eastAsia="黑体"/>
          <w:b/>
          <w:sz w:val="31"/>
          <w:szCs w:val="31"/>
        </w:rPr>
        <w:t>八、办理流程图</w:t>
      </w:r>
    </w:p>
    <w:p>
      <w:pPr>
        <w:ind w:firstLine="622" w:firstLineChars="200"/>
        <w:rPr>
          <w:rFonts w:ascii="黑体" w:hAnsi="黑体" w:eastAsia="黑体"/>
          <w:b/>
          <w:sz w:val="31"/>
          <w:szCs w:val="31"/>
        </w:rPr>
      </w:pPr>
    </w:p>
    <w:p>
      <w:r>
        <w:drawing>
          <wp:inline distT="0" distB="0" distL="0" distR="0">
            <wp:extent cx="5753100" cy="1333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53100" cy="1333500"/>
                    </a:xfrm>
                    <a:prstGeom prst="rect">
                      <a:avLst/>
                    </a:prstGeom>
                    <a:noFill/>
                    <a:ln>
                      <a:noFill/>
                    </a:ln>
                  </pic:spPr>
                </pic:pic>
              </a:graphicData>
            </a:graphic>
          </wp:inline>
        </w:drawing>
      </w:r>
    </w:p>
    <w:p>
      <w:pPr>
        <w:rPr>
          <w:rFonts w:ascii="黑体" w:hAnsi="黑体" w:eastAsia="黑体"/>
          <w:b/>
          <w:sz w:val="31"/>
          <w:szCs w:val="31"/>
        </w:rPr>
      </w:pPr>
    </w:p>
    <w:p>
      <w:pPr>
        <w:ind w:firstLine="622" w:firstLineChars="200"/>
        <w:rPr>
          <w:rFonts w:ascii="黑体" w:hAnsi="黑体" w:eastAsia="黑体"/>
          <w:b/>
          <w:sz w:val="31"/>
          <w:szCs w:val="31"/>
        </w:rPr>
      </w:pPr>
      <w:r>
        <w:rPr>
          <w:rFonts w:hint="eastAsia" w:ascii="黑体" w:hAnsi="黑体" w:eastAsia="黑体"/>
          <w:b/>
          <w:sz w:val="31"/>
          <w:szCs w:val="31"/>
        </w:rPr>
        <w:t>九、政策依据</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．《财政部 国家税务总局关于非营利组织企业所得税免税收入问题的通知》（财税〔2009〕122号）；</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．《财政部 税务总局关于非营利组织免税资格认定管理有关问题的通知》（财税〔</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3号）；</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．《转发财政部</w:t>
      </w:r>
      <w:r>
        <w:rPr>
          <w:rFonts w:ascii="仿宋_GB2312" w:eastAsia="仿宋_GB2312"/>
          <w:sz w:val="32"/>
          <w:szCs w:val="32"/>
        </w:rPr>
        <w:t xml:space="preserve"> </w:t>
      </w:r>
      <w:r>
        <w:rPr>
          <w:rFonts w:hint="eastAsia" w:ascii="仿宋_GB2312" w:eastAsia="仿宋_GB2312"/>
          <w:sz w:val="32"/>
          <w:szCs w:val="32"/>
        </w:rPr>
        <w:t>税务局关于非营利组织免税资格认定管理有关问题的通知》（粤财法〔</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号）；</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《转发关于非营利组织免税资格认定管理有关问题的通知》（东财〔</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260</w:t>
      </w:r>
      <w:r>
        <w:rPr>
          <w:rFonts w:hint="eastAsia" w:ascii="仿宋_GB2312" w:eastAsia="仿宋_GB2312"/>
          <w:sz w:val="32"/>
          <w:szCs w:val="32"/>
        </w:rPr>
        <w:t>号）。</w:t>
      </w:r>
    </w:p>
    <w:p>
      <w:pPr>
        <w:ind w:firstLine="640" w:firstLineChars="200"/>
        <w:rPr>
          <w:rFonts w:ascii="仿宋_GB2312" w:eastAsia="仿宋_GB2312"/>
          <w:sz w:val="32"/>
          <w:szCs w:val="32"/>
        </w:rPr>
      </w:pPr>
      <w:r>
        <w:rPr>
          <w:rFonts w:hint="eastAsia" w:ascii="仿宋_GB2312" w:eastAsia="仿宋_GB2312"/>
          <w:sz w:val="32"/>
          <w:szCs w:val="32"/>
        </w:rPr>
        <w:t>以上办事指南是根据目前国家、省和市印发的相关文件制定，今后新的政策若有变化，我们将及时修改补充。</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附件：1.《非营利组织申报免税资格资料清单》</w:t>
      </w:r>
    </w:p>
    <w:p>
      <w:pPr>
        <w:ind w:firstLine="640" w:firstLineChars="200"/>
        <w:rPr>
          <w:rFonts w:ascii="仿宋_GB2312" w:eastAsia="仿宋_GB2312"/>
          <w:sz w:val="32"/>
          <w:szCs w:val="32"/>
        </w:rPr>
      </w:pPr>
      <w:r>
        <w:rPr>
          <w:rFonts w:hint="eastAsia" w:ascii="仿宋_GB2312" w:eastAsia="仿宋_GB2312"/>
          <w:sz w:val="32"/>
          <w:szCs w:val="32"/>
        </w:rPr>
        <w:t xml:space="preserve">      2．《东莞市非营利组织年度免税资格申请表》</w:t>
      </w:r>
    </w:p>
    <w:p>
      <w:pPr>
        <w:ind w:firstLine="640" w:firstLineChars="200"/>
        <w:rPr>
          <w:rFonts w:ascii="仿宋_GB2312" w:eastAsia="仿宋_GB2312"/>
          <w:sz w:val="32"/>
          <w:szCs w:val="32"/>
        </w:rPr>
      </w:pPr>
      <w:r>
        <w:rPr>
          <w:rFonts w:hint="eastAsia" w:ascii="仿宋_GB2312" w:eastAsia="仿宋_GB2312"/>
          <w:sz w:val="32"/>
          <w:szCs w:val="32"/>
        </w:rPr>
        <w:t xml:space="preserve">      3．《申请报告》内容及样式</w:t>
      </w:r>
    </w:p>
    <w:p>
      <w:pPr>
        <w:ind w:firstLine="640" w:firstLineChars="200"/>
        <w:rPr>
          <w:rFonts w:ascii="仿宋_GB2312" w:eastAsia="仿宋_GB2312"/>
          <w:sz w:val="32"/>
          <w:szCs w:val="32"/>
        </w:rPr>
      </w:pPr>
      <w:r>
        <w:rPr>
          <w:rFonts w:hint="eastAsia" w:ascii="仿宋_GB2312" w:eastAsia="仿宋_GB2312"/>
          <w:sz w:val="32"/>
          <w:szCs w:val="32"/>
        </w:rPr>
        <w:t xml:space="preserve">      4．《审计报告》内容要求</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                                  2019</w:t>
      </w:r>
      <w:r>
        <w:rPr>
          <w:rFonts w:hint="eastAsia" w:ascii="仿宋_GB2312" w:eastAsia="仿宋_GB2312"/>
          <w:sz w:val="32"/>
          <w:szCs w:val="32"/>
        </w:rPr>
        <w:t>年4月2日</w:t>
      </w:r>
    </w:p>
    <w:p>
      <w:pPr>
        <w:rPr>
          <w:rFonts w:ascii="仿宋_GB2312" w:eastAsia="仿宋_GB2312"/>
          <w:sz w:val="31"/>
          <w:szCs w:val="31"/>
        </w:rPr>
      </w:pPr>
    </w:p>
    <w:p>
      <w:pPr>
        <w:rPr>
          <w:rFonts w:ascii="仿宋_GB2312" w:eastAsia="仿宋_GB2312"/>
          <w:sz w:val="31"/>
          <w:szCs w:val="31"/>
        </w:rPr>
      </w:pPr>
    </w:p>
    <w:p>
      <w:pPr>
        <w:rPr>
          <w:rFonts w:ascii="仿宋_GB2312" w:eastAsia="仿宋_GB2312"/>
          <w:sz w:val="31"/>
          <w:szCs w:val="31"/>
        </w:rPr>
      </w:pPr>
    </w:p>
    <w:p>
      <w:pPr>
        <w:rPr>
          <w:rFonts w:ascii="仿宋_GB2312" w:eastAsia="仿宋_GB2312"/>
          <w:sz w:val="31"/>
          <w:szCs w:val="31"/>
        </w:rPr>
      </w:pPr>
    </w:p>
    <w:p>
      <w:pPr>
        <w:rPr>
          <w:rFonts w:ascii="仿宋_GB2312" w:eastAsia="仿宋_GB2312"/>
          <w:sz w:val="28"/>
          <w:szCs w:val="28"/>
        </w:rPr>
      </w:pPr>
      <w:r>
        <w:rPr>
          <w:rFonts w:hint="eastAsia" w:ascii="仿宋_GB2312" w:eastAsia="仿宋_GB2312"/>
          <w:sz w:val="28"/>
          <w:szCs w:val="28"/>
        </w:rPr>
        <w:t>附件1：</w:t>
      </w:r>
    </w:p>
    <w:p>
      <w:pPr>
        <w:jc w:val="center"/>
        <w:rPr>
          <w:rFonts w:ascii="华康简标题宋" w:hAnsi="宋体" w:eastAsia="华康简标题宋"/>
          <w:sz w:val="32"/>
          <w:szCs w:val="32"/>
        </w:rPr>
      </w:pPr>
      <w:r>
        <w:rPr>
          <w:rFonts w:hint="eastAsia" w:ascii="华康简标题宋" w:hAnsi="宋体" w:eastAsia="华康简标题宋"/>
          <w:sz w:val="32"/>
          <w:szCs w:val="32"/>
        </w:rPr>
        <w:t>非营利组织申报免税资格资料清单</w:t>
      </w:r>
    </w:p>
    <w:p>
      <w:pPr>
        <w:jc w:val="center"/>
        <w:rPr>
          <w:rFonts w:ascii="宋体" w:hAnsi="宋体"/>
          <w:sz w:val="28"/>
          <w:szCs w:val="28"/>
        </w:rPr>
      </w:pPr>
    </w:p>
    <w:p>
      <w:pPr>
        <w:rPr>
          <w:rFonts w:ascii="仿宋_GB2312" w:hAnsi="宋体" w:eastAsia="仿宋_GB2312"/>
          <w:sz w:val="32"/>
          <w:szCs w:val="32"/>
        </w:rPr>
      </w:pPr>
      <w:r>
        <w:rPr>
          <w:rFonts w:hint="eastAsia" w:ascii="仿宋_GB2312" w:hAnsi="宋体" w:eastAsia="仿宋_GB2312"/>
          <w:sz w:val="32"/>
          <w:szCs w:val="32"/>
        </w:rPr>
        <w:t>申报单位（盖章）：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684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b/>
                <w:sz w:val="26"/>
                <w:szCs w:val="26"/>
              </w:rPr>
            </w:pPr>
            <w:r>
              <w:rPr>
                <w:rFonts w:hint="eastAsia" w:ascii="仿宋_GB2312" w:hAnsi="宋体" w:eastAsia="仿宋_GB2312"/>
                <w:b/>
                <w:sz w:val="26"/>
                <w:szCs w:val="26"/>
              </w:rPr>
              <w:t>序号</w:t>
            </w:r>
          </w:p>
        </w:tc>
        <w:tc>
          <w:tcPr>
            <w:tcW w:w="6840" w:type="dxa"/>
          </w:tcPr>
          <w:p>
            <w:pPr>
              <w:jc w:val="center"/>
              <w:rPr>
                <w:rFonts w:ascii="仿宋_GB2312" w:hAnsi="宋体" w:eastAsia="仿宋_GB2312"/>
                <w:b/>
                <w:sz w:val="26"/>
                <w:szCs w:val="26"/>
              </w:rPr>
            </w:pPr>
            <w:r>
              <w:rPr>
                <w:rFonts w:hint="eastAsia" w:ascii="仿宋_GB2312" w:hAnsi="宋体" w:eastAsia="仿宋_GB2312"/>
                <w:b/>
                <w:sz w:val="26"/>
                <w:szCs w:val="26"/>
              </w:rPr>
              <w:t>资料名称</w:t>
            </w:r>
          </w:p>
        </w:tc>
        <w:tc>
          <w:tcPr>
            <w:tcW w:w="854" w:type="dxa"/>
          </w:tcPr>
          <w:p>
            <w:pPr>
              <w:jc w:val="center"/>
              <w:rPr>
                <w:rFonts w:ascii="仿宋_GB2312" w:hAnsi="宋体" w:eastAsia="仿宋_GB2312"/>
                <w:b/>
                <w:sz w:val="26"/>
                <w:szCs w:val="26"/>
              </w:rPr>
            </w:pPr>
            <w:r>
              <w:rPr>
                <w:rFonts w:hint="eastAsia" w:ascii="仿宋_GB2312" w:hAnsi="宋体" w:eastAsia="仿宋_GB2312"/>
                <w:b/>
                <w:sz w:val="26"/>
                <w:szCs w:val="26"/>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1</w:t>
            </w:r>
          </w:p>
        </w:tc>
        <w:tc>
          <w:tcPr>
            <w:tcW w:w="6840" w:type="dxa"/>
          </w:tcPr>
          <w:p>
            <w:pPr>
              <w:rPr>
                <w:rFonts w:ascii="仿宋_GB2312" w:hAnsi="宋体" w:eastAsia="仿宋_GB2312"/>
                <w:sz w:val="26"/>
                <w:szCs w:val="26"/>
              </w:rPr>
            </w:pPr>
            <w:r>
              <w:rPr>
                <w:rFonts w:hint="eastAsia" w:ascii="仿宋_GB2312" w:hAnsi="宋体" w:eastAsia="仿宋_GB2312"/>
                <w:sz w:val="26"/>
                <w:szCs w:val="26"/>
              </w:rPr>
              <w:t>东莞市非营利组织</w:t>
            </w:r>
            <w:r>
              <w:rPr>
                <w:rFonts w:ascii="仿宋_GB2312" w:hAnsi="宋体" w:eastAsia="仿宋_GB2312"/>
                <w:sz w:val="26"/>
                <w:szCs w:val="26"/>
                <w:u w:val="single"/>
              </w:rPr>
              <w:t xml:space="preserve">       </w:t>
            </w:r>
            <w:r>
              <w:rPr>
                <w:rFonts w:hint="eastAsia" w:ascii="仿宋_GB2312" w:hAnsi="宋体" w:eastAsia="仿宋_GB2312"/>
                <w:sz w:val="26"/>
                <w:szCs w:val="26"/>
              </w:rPr>
              <w:t>年度免税资格申请表</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2</w:t>
            </w:r>
          </w:p>
        </w:tc>
        <w:tc>
          <w:tcPr>
            <w:tcW w:w="6840" w:type="dxa"/>
          </w:tcPr>
          <w:p>
            <w:pPr>
              <w:rPr>
                <w:rFonts w:ascii="仿宋_GB2312" w:hAnsi="宋体" w:eastAsia="仿宋_GB2312"/>
                <w:sz w:val="26"/>
                <w:szCs w:val="26"/>
              </w:rPr>
            </w:pPr>
            <w:r>
              <w:rPr>
                <w:rFonts w:hint="eastAsia" w:ascii="仿宋_GB2312" w:hAnsi="宋体" w:eastAsia="仿宋_GB2312"/>
                <w:sz w:val="26"/>
                <w:szCs w:val="26"/>
              </w:rPr>
              <w:t>申请报告</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3</w:t>
            </w:r>
          </w:p>
        </w:tc>
        <w:tc>
          <w:tcPr>
            <w:tcW w:w="6840" w:type="dxa"/>
          </w:tcPr>
          <w:p>
            <w:pPr>
              <w:rPr>
                <w:rFonts w:ascii="仿宋_GB2312" w:hAnsi="宋体" w:eastAsia="仿宋_GB2312"/>
                <w:sz w:val="26"/>
                <w:szCs w:val="26"/>
              </w:rPr>
            </w:pPr>
            <w:r>
              <w:rPr>
                <w:rFonts w:hint="eastAsia" w:ascii="仿宋_GB2312" w:hAnsi="宋体" w:eastAsia="仿宋_GB2312"/>
                <w:sz w:val="26"/>
                <w:szCs w:val="26"/>
              </w:rPr>
              <w:t>经登记管理部门备案核准的章程或管理制度复印件</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4</w:t>
            </w:r>
          </w:p>
        </w:tc>
        <w:tc>
          <w:tcPr>
            <w:tcW w:w="6840" w:type="dxa"/>
          </w:tcPr>
          <w:p>
            <w:pPr>
              <w:rPr>
                <w:rFonts w:ascii="仿宋_GB2312" w:hAnsi="宋体" w:eastAsia="仿宋_GB2312"/>
                <w:sz w:val="26"/>
                <w:szCs w:val="26"/>
              </w:rPr>
            </w:pPr>
            <w:r>
              <w:rPr>
                <w:rFonts w:hint="eastAsia" w:ascii="仿宋_GB2312" w:hAnsi="宋体" w:eastAsia="仿宋_GB2312"/>
                <w:sz w:val="26"/>
                <w:szCs w:val="26"/>
              </w:rPr>
              <w:t>非营利组织注册登记证件的复印件</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5</w:t>
            </w:r>
          </w:p>
        </w:tc>
        <w:tc>
          <w:tcPr>
            <w:tcW w:w="6840" w:type="dxa"/>
          </w:tcPr>
          <w:p>
            <w:pPr>
              <w:rPr>
                <w:rFonts w:ascii="仿宋_GB2312" w:hAnsi="宋体" w:eastAsia="仿宋_GB2312"/>
                <w:sz w:val="26"/>
                <w:szCs w:val="26"/>
              </w:rPr>
            </w:pPr>
            <w:r>
              <w:rPr>
                <w:rFonts w:hint="eastAsia" w:ascii="仿宋_GB2312" w:hAnsi="宋体" w:eastAsia="仿宋_GB2312"/>
                <w:sz w:val="26"/>
                <w:szCs w:val="26"/>
              </w:rPr>
              <w:t>上一年度的资金来源和资金使用及业务活动明细情况说明</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6</w:t>
            </w:r>
          </w:p>
        </w:tc>
        <w:tc>
          <w:tcPr>
            <w:tcW w:w="6840" w:type="dxa"/>
          </w:tcPr>
          <w:p>
            <w:pPr>
              <w:rPr>
                <w:rFonts w:ascii="仿宋_GB2312" w:hAnsi="宋体" w:eastAsia="仿宋_GB2312"/>
                <w:sz w:val="26"/>
                <w:szCs w:val="26"/>
              </w:rPr>
            </w:pPr>
            <w:r>
              <w:rPr>
                <w:rFonts w:hint="eastAsia" w:ascii="仿宋_GB2312" w:eastAsia="仿宋_GB2312"/>
                <w:sz w:val="26"/>
                <w:szCs w:val="26"/>
              </w:rPr>
              <w:t>上一年度的工资薪金情况专项报告</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7</w:t>
            </w:r>
          </w:p>
        </w:tc>
        <w:tc>
          <w:tcPr>
            <w:tcW w:w="6840" w:type="dxa"/>
          </w:tcPr>
          <w:p>
            <w:pPr>
              <w:rPr>
                <w:rFonts w:ascii="仿宋_GB2312" w:hAnsi="宋体" w:eastAsia="仿宋_GB2312"/>
                <w:sz w:val="26"/>
                <w:szCs w:val="26"/>
              </w:rPr>
            </w:pPr>
            <w:r>
              <w:rPr>
                <w:rFonts w:hint="eastAsia" w:ascii="仿宋_GB2312" w:hAnsi="宋体" w:eastAsia="仿宋_GB2312"/>
                <w:sz w:val="26"/>
                <w:szCs w:val="26"/>
              </w:rPr>
              <w:t>具有资质的中介机构鉴证的上一年度财务报表和审计报告</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8</w:t>
            </w:r>
          </w:p>
        </w:tc>
        <w:tc>
          <w:tcPr>
            <w:tcW w:w="6840" w:type="dxa"/>
          </w:tcPr>
          <w:p>
            <w:pPr>
              <w:rPr>
                <w:rFonts w:ascii="仿宋_GB2312" w:hAnsi="宋体" w:eastAsia="仿宋_GB2312"/>
                <w:sz w:val="26"/>
                <w:szCs w:val="26"/>
              </w:rPr>
            </w:pPr>
            <w:r>
              <w:rPr>
                <w:rFonts w:hint="eastAsia" w:ascii="仿宋_GB2312" w:hAnsi="宋体" w:eastAsia="仿宋_GB2312"/>
                <w:sz w:val="26"/>
                <w:szCs w:val="26"/>
              </w:rPr>
              <w:t>登记管理机关出具的上一年度符合相关法律法规和国家政策的事业发展情况或非营利活动的材料</w:t>
            </w:r>
          </w:p>
        </w:tc>
        <w:tc>
          <w:tcPr>
            <w:tcW w:w="854" w:type="dxa"/>
          </w:tcPr>
          <w:p>
            <w:pPr>
              <w:jc w:val="center"/>
              <w:rPr>
                <w:rFonts w:ascii="仿宋_GB2312" w:hAnsi="宋体"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rFonts w:ascii="仿宋_GB2312" w:hAnsi="宋体" w:eastAsia="仿宋_GB2312"/>
                <w:sz w:val="26"/>
                <w:szCs w:val="26"/>
              </w:rPr>
            </w:pPr>
            <w:r>
              <w:rPr>
                <w:rFonts w:ascii="仿宋_GB2312" w:hAnsi="宋体" w:eastAsia="仿宋_GB2312"/>
                <w:sz w:val="26"/>
                <w:szCs w:val="26"/>
              </w:rPr>
              <w:t>9</w:t>
            </w:r>
          </w:p>
        </w:tc>
        <w:tc>
          <w:tcPr>
            <w:tcW w:w="6840" w:type="dxa"/>
          </w:tcPr>
          <w:p>
            <w:pPr>
              <w:rPr>
                <w:rFonts w:ascii="仿宋_GB2312" w:hAnsi="宋体" w:eastAsia="仿宋_GB2312"/>
                <w:sz w:val="26"/>
                <w:szCs w:val="26"/>
              </w:rPr>
            </w:pPr>
            <w:r>
              <w:rPr>
                <w:rFonts w:hint="eastAsia" w:ascii="仿宋_GB2312" w:hAnsi="宋体" w:eastAsia="仿宋_GB2312"/>
                <w:sz w:val="26"/>
                <w:szCs w:val="26"/>
              </w:rPr>
              <w:t>其他材料</w:t>
            </w:r>
          </w:p>
        </w:tc>
        <w:tc>
          <w:tcPr>
            <w:tcW w:w="854" w:type="dxa"/>
          </w:tcPr>
          <w:p>
            <w:pPr>
              <w:jc w:val="center"/>
              <w:rPr>
                <w:rFonts w:ascii="仿宋_GB2312" w:hAnsi="宋体" w:eastAsia="仿宋_GB2312"/>
                <w:sz w:val="26"/>
                <w:szCs w:val="26"/>
              </w:rPr>
            </w:pPr>
          </w:p>
        </w:tc>
      </w:tr>
    </w:tbl>
    <w:p>
      <w:pPr>
        <w:rPr>
          <w:rFonts w:ascii="仿宋_GB2312" w:hAnsi="宋体" w:eastAsia="仿宋_GB2312"/>
          <w:sz w:val="31"/>
          <w:szCs w:val="31"/>
        </w:rPr>
      </w:pPr>
    </w:p>
    <w:p>
      <w:pPr>
        <w:rPr>
          <w:rFonts w:ascii="仿宋_GB2312" w:hAnsi="宋体" w:eastAsia="仿宋_GB2312"/>
          <w:sz w:val="32"/>
          <w:szCs w:val="32"/>
        </w:rPr>
      </w:pPr>
      <w:r>
        <w:rPr>
          <w:rFonts w:hint="eastAsia" w:ascii="仿宋_GB2312" w:hAnsi="宋体" w:eastAsia="仿宋_GB2312"/>
          <w:sz w:val="32"/>
          <w:szCs w:val="32"/>
        </w:rPr>
        <w:t>以下由主管税务部门填写：</w:t>
      </w:r>
    </w:p>
    <w:p>
      <w:pPr>
        <w:rPr>
          <w:rFonts w:ascii="仿宋_GB2312" w:hAnsi="宋体" w:eastAsia="仿宋_GB2312"/>
          <w:sz w:val="32"/>
          <w:szCs w:val="32"/>
        </w:rPr>
      </w:pPr>
      <w:r>
        <w:rPr>
          <w:rFonts w:hint="eastAsia" w:ascii="仿宋_GB2312" w:hAnsi="宋体" w:eastAsia="仿宋_GB2312"/>
          <w:sz w:val="32"/>
          <w:szCs w:val="32"/>
        </w:rPr>
        <w:t>收件人：</w:t>
      </w:r>
    </w:p>
    <w:p>
      <w:pPr>
        <w:rPr>
          <w:rFonts w:ascii="仿宋_GB2312" w:hAnsi="宋体" w:eastAsia="仿宋_GB2312"/>
          <w:sz w:val="32"/>
          <w:szCs w:val="32"/>
        </w:rPr>
      </w:pPr>
      <w:r>
        <w:rPr>
          <w:rFonts w:hint="eastAsia" w:ascii="仿宋_GB2312" w:hAnsi="宋体" w:eastAsia="仿宋_GB2312"/>
          <w:sz w:val="32"/>
          <w:szCs w:val="32"/>
        </w:rPr>
        <w:t>初审人：</w:t>
      </w:r>
    </w:p>
    <w:p>
      <w:pPr>
        <w:rPr>
          <w:rFonts w:ascii="仿宋_GB2312" w:hAnsi="宋体" w:eastAsia="仿宋_GB2312"/>
          <w:sz w:val="32"/>
          <w:szCs w:val="32"/>
        </w:rPr>
      </w:pPr>
      <w:r>
        <w:rPr>
          <w:rFonts w:hint="eastAsia" w:ascii="仿宋_GB2312" w:hAnsi="宋体" w:eastAsia="仿宋_GB2312"/>
          <w:sz w:val="32"/>
          <w:szCs w:val="32"/>
        </w:rPr>
        <w:t>初审意见：</w:t>
      </w:r>
    </w:p>
    <w:p>
      <w:pPr>
        <w:jc w:val="center"/>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主管税务部门（</w:t>
      </w:r>
      <w:r>
        <w:rPr>
          <w:rFonts w:ascii="仿宋_GB2312" w:hAnsi="宋体" w:eastAsia="仿宋_GB2312"/>
          <w:sz w:val="32"/>
          <w:szCs w:val="32"/>
        </w:rPr>
        <w:t>盖章</w:t>
      </w:r>
      <w:r>
        <w:rPr>
          <w:rFonts w:hint="eastAsia" w:ascii="仿宋_GB2312" w:hAnsi="宋体" w:eastAsia="仿宋_GB2312"/>
          <w:sz w:val="32"/>
          <w:szCs w:val="32"/>
        </w:rPr>
        <w:t>）</w:t>
      </w:r>
    </w:p>
    <w:p>
      <w:pPr>
        <w:jc w:val="center"/>
        <w:rPr>
          <w:rFonts w:ascii="仿宋_GB2312" w:hAnsi="宋体" w:eastAsia="仿宋_GB2312"/>
          <w:sz w:val="32"/>
          <w:szCs w:val="32"/>
        </w:rPr>
      </w:pPr>
      <w:r>
        <w:rPr>
          <w:rFonts w:ascii="仿宋_GB2312" w:hAnsi="宋体" w:eastAsia="仿宋_GB2312"/>
          <w:sz w:val="32"/>
          <w:szCs w:val="32"/>
        </w:rPr>
        <w:t xml:space="preserve">                               年  月  日</w:t>
      </w:r>
    </w:p>
    <w:p>
      <w:pPr>
        <w:widowControl/>
        <w:jc w:val="left"/>
        <w:rPr>
          <w:rFonts w:hint="eastAsia" w:ascii="仿宋_GB2312" w:hAnsi="ˎ̥" w:eastAsia="仿宋_GB2312" w:cs="Tahoma"/>
          <w:sz w:val="28"/>
          <w:szCs w:val="28"/>
        </w:rPr>
      </w:pPr>
      <w:r>
        <w:rPr>
          <w:rFonts w:hint="eastAsia" w:ascii="仿宋_GB2312" w:hAnsi="ˎ̥" w:eastAsia="仿宋_GB2312" w:cs="Tahoma"/>
          <w:sz w:val="28"/>
          <w:szCs w:val="28"/>
        </w:rPr>
        <w:br w:type="page"/>
      </w:r>
      <w:r>
        <w:rPr>
          <w:rFonts w:hint="eastAsia" w:ascii="仿宋_GB2312" w:hAnsi="ˎ̥" w:eastAsia="仿宋_GB2312" w:cs="Tahoma"/>
          <w:sz w:val="28"/>
          <w:szCs w:val="28"/>
        </w:rPr>
        <w:t>附件2：</w:t>
      </w:r>
    </w:p>
    <w:p>
      <w:pPr>
        <w:jc w:val="center"/>
        <w:rPr>
          <w:rFonts w:ascii="方正小标宋简体" w:hAnsi="华文中宋" w:eastAsia="方正小标宋简体" w:cs="Arial"/>
          <w:kern w:val="0"/>
          <w:sz w:val="36"/>
          <w:szCs w:val="36"/>
        </w:rPr>
      </w:pPr>
      <w:r>
        <w:rPr>
          <w:rFonts w:hint="eastAsia" w:ascii="方正小标宋简体" w:hAnsi="华文中宋" w:eastAsia="方正小标宋简体" w:cs="Arial"/>
          <w:kern w:val="0"/>
          <w:sz w:val="36"/>
          <w:szCs w:val="36"/>
        </w:rPr>
        <w:t>东莞市非营利组织</w:t>
      </w:r>
      <w:r>
        <w:rPr>
          <w:rFonts w:ascii="方正小标宋简体" w:hAnsi="华文中宋" w:eastAsia="方正小标宋简体" w:cs="Arial"/>
          <w:kern w:val="0"/>
          <w:sz w:val="36"/>
          <w:szCs w:val="36"/>
        </w:rPr>
        <w:t>____年度免税资格申请表</w:t>
      </w:r>
    </w:p>
    <w:tbl>
      <w:tblPr>
        <w:tblStyle w:val="5"/>
        <w:tblW w:w="9720" w:type="dxa"/>
        <w:tblInd w:w="-252"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0"/>
        <w:gridCol w:w="2976"/>
        <w:gridCol w:w="1790"/>
        <w:gridCol w:w="935"/>
        <w:gridCol w:w="209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1920" w:type="dxa"/>
            <w:tcBorders>
              <w:top w:val="thinThickSmallGap" w:color="auto" w:sz="12"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非营利组织名称</w:t>
            </w:r>
          </w:p>
        </w:tc>
        <w:tc>
          <w:tcPr>
            <w:tcW w:w="2976" w:type="dxa"/>
            <w:tcBorders>
              <w:top w:val="thinThickSmallGap" w:color="auto" w:sz="12"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p>
        </w:tc>
        <w:tc>
          <w:tcPr>
            <w:tcW w:w="1790" w:type="dxa"/>
            <w:tcBorders>
              <w:top w:val="thinThickSmallGap" w:color="auto" w:sz="12"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设立登记时间</w:t>
            </w:r>
          </w:p>
        </w:tc>
        <w:tc>
          <w:tcPr>
            <w:tcW w:w="3034" w:type="dxa"/>
            <w:gridSpan w:val="2"/>
            <w:tcBorders>
              <w:top w:val="thinThickSmallGap" w:color="auto" w:sz="12" w:space="0"/>
              <w:left w:val="single" w:color="auto" w:sz="6" w:space="0"/>
              <w:bottom w:val="single" w:color="auto" w:sz="6" w:space="0"/>
              <w:right w:val="thickThinSmallGap" w:color="auto" w:sz="12" w:space="0"/>
            </w:tcBorders>
            <w:vAlign w:val="center"/>
          </w:tcPr>
          <w:p>
            <w:pPr>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20"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登记管理机关</w:t>
            </w:r>
          </w:p>
        </w:tc>
        <w:tc>
          <w:tcPr>
            <w:tcW w:w="297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p>
        </w:tc>
        <w:tc>
          <w:tcPr>
            <w:tcW w:w="1790"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spacing w:val="-10"/>
                <w:kern w:val="0"/>
                <w:sz w:val="24"/>
              </w:rPr>
            </w:pPr>
            <w:r>
              <w:rPr>
                <w:rFonts w:hint="eastAsia" w:cs="Arial" w:asciiTheme="majorEastAsia" w:hAnsiTheme="majorEastAsia" w:eastAsiaTheme="majorEastAsia"/>
                <w:spacing w:val="-10"/>
                <w:kern w:val="0"/>
                <w:sz w:val="24"/>
              </w:rPr>
              <w:t>业务主管单位</w:t>
            </w:r>
          </w:p>
        </w:tc>
        <w:tc>
          <w:tcPr>
            <w:tcW w:w="3034" w:type="dxa"/>
            <w:gridSpan w:val="2"/>
            <w:tcBorders>
              <w:top w:val="single" w:color="auto" w:sz="6" w:space="0"/>
              <w:left w:val="single" w:color="auto" w:sz="6" w:space="0"/>
              <w:bottom w:val="single" w:color="auto" w:sz="6" w:space="0"/>
              <w:right w:val="thickThinSmallGap" w:color="auto" w:sz="12" w:space="0"/>
            </w:tcBorders>
            <w:vAlign w:val="center"/>
          </w:tcPr>
          <w:p>
            <w:pPr>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20"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法定代表人</w:t>
            </w:r>
          </w:p>
        </w:tc>
        <w:tc>
          <w:tcPr>
            <w:tcW w:w="297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p>
        </w:tc>
        <w:tc>
          <w:tcPr>
            <w:tcW w:w="1790"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联系电话</w:t>
            </w:r>
          </w:p>
        </w:tc>
        <w:tc>
          <w:tcPr>
            <w:tcW w:w="3034" w:type="dxa"/>
            <w:gridSpan w:val="2"/>
            <w:tcBorders>
              <w:top w:val="single" w:color="auto" w:sz="6" w:space="0"/>
              <w:left w:val="single" w:color="auto" w:sz="6" w:space="0"/>
              <w:bottom w:val="single" w:color="auto" w:sz="6" w:space="0"/>
              <w:right w:val="thickThinSmallGap" w:color="auto" w:sz="12" w:space="0"/>
            </w:tcBorders>
            <w:vAlign w:val="center"/>
          </w:tcPr>
          <w:p>
            <w:pPr>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20"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联系人</w:t>
            </w:r>
          </w:p>
        </w:tc>
        <w:tc>
          <w:tcPr>
            <w:tcW w:w="297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p>
        </w:tc>
        <w:tc>
          <w:tcPr>
            <w:tcW w:w="1790"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联系人电话</w:t>
            </w:r>
          </w:p>
        </w:tc>
        <w:tc>
          <w:tcPr>
            <w:tcW w:w="3034" w:type="dxa"/>
            <w:gridSpan w:val="2"/>
            <w:tcBorders>
              <w:top w:val="single" w:color="auto" w:sz="6" w:space="0"/>
              <w:left w:val="single" w:color="auto" w:sz="6" w:space="0"/>
              <w:bottom w:val="single" w:color="auto" w:sz="6" w:space="0"/>
              <w:right w:val="thickThinSmallGap" w:color="auto" w:sz="12" w:space="0"/>
            </w:tcBorders>
            <w:vAlign w:val="center"/>
          </w:tcPr>
          <w:p>
            <w:pPr>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20"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住</w:t>
            </w:r>
            <w:r>
              <w:rPr>
                <w:rFonts w:cs="Arial" w:asciiTheme="majorEastAsia" w:hAnsiTheme="majorEastAsia" w:eastAsiaTheme="majorEastAsia"/>
                <w:kern w:val="0"/>
                <w:sz w:val="24"/>
              </w:rPr>
              <w:t xml:space="preserve">    </w:t>
            </w:r>
            <w:r>
              <w:rPr>
                <w:rFonts w:hint="eastAsia" w:cs="Arial" w:asciiTheme="majorEastAsia" w:hAnsiTheme="majorEastAsia" w:eastAsiaTheme="majorEastAsia"/>
                <w:kern w:val="0"/>
                <w:sz w:val="24"/>
              </w:rPr>
              <w:t>所</w:t>
            </w:r>
          </w:p>
        </w:tc>
        <w:tc>
          <w:tcPr>
            <w:tcW w:w="297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p>
        </w:tc>
        <w:tc>
          <w:tcPr>
            <w:tcW w:w="1790"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邮政编码</w:t>
            </w:r>
          </w:p>
        </w:tc>
        <w:tc>
          <w:tcPr>
            <w:tcW w:w="3034" w:type="dxa"/>
            <w:gridSpan w:val="2"/>
            <w:tcBorders>
              <w:top w:val="single" w:color="auto" w:sz="6" w:space="0"/>
              <w:left w:val="single" w:color="auto" w:sz="6" w:space="0"/>
              <w:bottom w:val="single" w:color="auto" w:sz="6" w:space="0"/>
              <w:right w:val="thickThinSmallGap" w:color="auto" w:sz="12" w:space="0"/>
            </w:tcBorders>
            <w:vAlign w:val="center"/>
          </w:tcPr>
          <w:p>
            <w:pPr>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920"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宗　　旨</w:t>
            </w:r>
          </w:p>
        </w:tc>
        <w:tc>
          <w:tcPr>
            <w:tcW w:w="7800" w:type="dxa"/>
            <w:gridSpan w:val="4"/>
            <w:tcBorders>
              <w:top w:val="single" w:color="auto" w:sz="6" w:space="0"/>
              <w:left w:val="single" w:color="auto" w:sz="6" w:space="0"/>
              <w:bottom w:val="single" w:color="auto" w:sz="6" w:space="0"/>
              <w:right w:val="thickThinSmallGap" w:color="auto" w:sz="12" w:space="0"/>
            </w:tcBorders>
          </w:tcPr>
          <w:p>
            <w:pPr>
              <w:snapToGrid w:val="0"/>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1920" w:type="dxa"/>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业务范围</w:t>
            </w:r>
          </w:p>
        </w:tc>
        <w:tc>
          <w:tcPr>
            <w:tcW w:w="7800" w:type="dxa"/>
            <w:gridSpan w:val="4"/>
            <w:tcBorders>
              <w:top w:val="single" w:color="auto" w:sz="6" w:space="0"/>
              <w:left w:val="single" w:color="auto" w:sz="6" w:space="0"/>
              <w:bottom w:val="single" w:color="auto" w:sz="6" w:space="0"/>
              <w:right w:val="thickThinSmallGap" w:color="auto" w:sz="12" w:space="0"/>
            </w:tcBorders>
          </w:tcPr>
          <w:p>
            <w:pPr>
              <w:snapToGrid w:val="0"/>
              <w:spacing w:line="280" w:lineRule="exact"/>
              <w:rPr>
                <w:rFonts w:cs="Arial" w:asciiTheme="majorEastAsia" w:hAnsiTheme="majorEastAsia" w:eastAsiaTheme="majorEastAsia"/>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20" w:type="dxa"/>
            <w:vMerge w:val="restart"/>
            <w:tcBorders>
              <w:top w:val="single" w:color="auto" w:sz="6" w:space="0"/>
              <w:left w:val="thinThickSmallGap" w:color="auto" w:sz="12" w:space="0"/>
              <w:bottom w:val="single" w:color="auto" w:sz="6" w:space="0"/>
              <w:right w:val="single" w:color="auto" w:sz="6" w:space="0"/>
            </w:tcBorders>
            <w:vAlign w:val="center"/>
          </w:tcPr>
          <w:p>
            <w:pPr>
              <w:spacing w:line="280" w:lineRule="exact"/>
              <w:jc w:val="center"/>
              <w:rPr>
                <w:rFonts w:ascii="宋体" w:hAnsi="宋体" w:cs="Arial"/>
                <w:kern w:val="0"/>
                <w:sz w:val="24"/>
              </w:rPr>
            </w:pPr>
            <w:r>
              <w:rPr>
                <w:rFonts w:hint="eastAsia" w:ascii="宋体" w:hAnsi="宋体" w:cs="Arial"/>
                <w:kern w:val="0"/>
                <w:sz w:val="24"/>
              </w:rPr>
              <w:t>是否符合税法</w:t>
            </w:r>
          </w:p>
          <w:p>
            <w:pPr>
              <w:spacing w:line="280" w:lineRule="exact"/>
              <w:jc w:val="center"/>
              <w:rPr>
                <w:rFonts w:ascii="宋体" w:hAnsi="宋体" w:cs="Arial"/>
                <w:kern w:val="0"/>
                <w:sz w:val="24"/>
              </w:rPr>
            </w:pPr>
            <w:r>
              <w:rPr>
                <w:rFonts w:hint="eastAsia" w:ascii="宋体" w:hAnsi="宋体" w:cs="Arial"/>
                <w:kern w:val="0"/>
                <w:sz w:val="24"/>
              </w:rPr>
              <w:t>相关规定</w:t>
            </w: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kern w:val="0"/>
                <w:sz w:val="24"/>
              </w:rPr>
            </w:pPr>
            <w:r>
              <w:rPr>
                <w:rFonts w:hint="eastAsia"/>
                <w:sz w:val="24"/>
              </w:rPr>
              <w:t>依法履行非营利组织登记手续</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从事公益性或者非营利性活动</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取得的收入除用于与该组织有关的、合理的支出外，全部用于登记核定或者章程规定的公益性或者非营利性事业</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财产及其孳息不用于分配，但不包括合理的工资薪金支出</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25"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按照登记核定或者章程规定，该组织注销后的剩余财产用于公益性或者非营利性目的，或者由登记管理机关采取转赠给与该组织性质、宗旨相同的组织等处置方式，并向社会公告</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投入人对投入该组织的财产不保留或者享有任何财产权利，本款所称投入人是指除各级人民政府及其部门外的法人、自然人和其他组织</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46"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1920" w:type="dxa"/>
            <w:vMerge w:val="continue"/>
            <w:tcBorders>
              <w:top w:val="single" w:color="auto" w:sz="6" w:space="0"/>
              <w:left w:val="thinThickSmallGap" w:color="auto" w:sz="12" w:space="0"/>
              <w:bottom w:val="single" w:color="auto" w:sz="6" w:space="0"/>
              <w:right w:val="single" w:color="auto" w:sz="6" w:space="0"/>
            </w:tcBorders>
            <w:vAlign w:val="center"/>
          </w:tcPr>
          <w:p>
            <w:pPr>
              <w:widowControl/>
              <w:jc w:val="left"/>
              <w:rPr>
                <w:rFonts w:ascii="宋体" w:hAnsi="宋体" w:cs="Arial"/>
                <w:kern w:val="0"/>
                <w:sz w:val="24"/>
              </w:rPr>
            </w:pPr>
          </w:p>
        </w:tc>
        <w:tc>
          <w:tcPr>
            <w:tcW w:w="57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rPr>
                <w:sz w:val="24"/>
              </w:rPr>
            </w:pPr>
            <w:r>
              <w:rPr>
                <w:sz w:val="24"/>
              </w:rPr>
              <w:t>对取得的应纳税收入及其有关的成本、费用、损失应与免税收入及其有关的成本、费用、损失分别核算</w:t>
            </w:r>
          </w:p>
        </w:tc>
        <w:tc>
          <w:tcPr>
            <w:tcW w:w="2099" w:type="dxa"/>
            <w:tcBorders>
              <w:top w:val="single" w:color="auto" w:sz="6" w:space="0"/>
              <w:left w:val="single" w:color="auto" w:sz="6" w:space="0"/>
              <w:bottom w:val="single" w:color="auto" w:sz="6" w:space="0"/>
              <w:right w:val="thickThinSmallGap" w:color="auto" w:sz="12" w:space="0"/>
            </w:tcBorders>
            <w:vAlign w:val="center"/>
          </w:tcPr>
          <w:p>
            <w:pPr>
              <w:spacing w:line="280" w:lineRule="exact"/>
              <w:ind w:firstLine="480" w:firstLineChars="200"/>
              <w:rPr>
                <w:rFonts w:ascii="宋体" w:hAnsi="宋体" w:cs="Arial"/>
                <w:kern w:val="0"/>
                <w:sz w:val="24"/>
              </w:rPr>
            </w:pPr>
            <w:r>
              <w:rPr>
                <w:rFonts w:hint="eastAsia" w:ascii="宋体" w:hAnsi="宋体" w:cs="Arial"/>
                <w:kern w:val="0"/>
                <w:sz w:val="24"/>
              </w:rPr>
              <w:t>□是</w:t>
            </w:r>
            <w:r>
              <w:rPr>
                <w:rFonts w:ascii="宋体" w:hAnsi="宋体" w:cs="Arial"/>
                <w:kern w:val="0"/>
                <w:sz w:val="24"/>
              </w:rPr>
              <w:t xml:space="preserve">  </w:t>
            </w:r>
            <w:r>
              <w:rPr>
                <w:rFonts w:hint="eastAsia" w:ascii="宋体" w:hAnsi="宋体" w:cs="Arial"/>
                <w:kern w:val="0"/>
                <w:sz w:val="24"/>
              </w:rPr>
              <w:t>□否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807" w:hRule="atLeast"/>
        </w:trPr>
        <w:tc>
          <w:tcPr>
            <w:tcW w:w="9720" w:type="dxa"/>
            <w:gridSpan w:val="5"/>
            <w:tcBorders>
              <w:top w:val="single" w:color="auto" w:sz="6" w:space="0"/>
              <w:left w:val="thinThickSmallGap" w:color="auto" w:sz="12" w:space="0"/>
              <w:bottom w:val="thickThinSmallGap" w:color="auto" w:sz="12" w:space="0"/>
              <w:right w:val="thickThinSmallGap" w:color="auto" w:sz="12" w:space="0"/>
            </w:tcBorders>
          </w:tcPr>
          <w:p>
            <w:pPr>
              <w:spacing w:line="280" w:lineRule="exact"/>
              <w:rPr>
                <w:kern w:val="0"/>
                <w:sz w:val="24"/>
              </w:rPr>
            </w:pPr>
            <w:r>
              <w:rPr>
                <w:rFonts w:hint="eastAsia"/>
                <w:kern w:val="0"/>
                <w:sz w:val="24"/>
              </w:rPr>
              <w:t>本非营利组织承诺：以上所填信息真实、准确。</w:t>
            </w:r>
          </w:p>
          <w:p>
            <w:pPr>
              <w:spacing w:line="280" w:lineRule="exact"/>
              <w:rPr>
                <w:kern w:val="0"/>
                <w:sz w:val="24"/>
              </w:rPr>
            </w:pPr>
          </w:p>
          <w:p>
            <w:pPr>
              <w:spacing w:line="280" w:lineRule="exact"/>
              <w:rPr>
                <w:kern w:val="0"/>
                <w:sz w:val="24"/>
              </w:rPr>
            </w:pPr>
            <w:r>
              <w:rPr>
                <w:rFonts w:hint="eastAsia"/>
                <w:kern w:val="0"/>
                <w:sz w:val="24"/>
              </w:rPr>
              <w:t>非营利组织盖章：</w:t>
            </w:r>
            <w:r>
              <w:rPr>
                <w:kern w:val="0"/>
                <w:sz w:val="24"/>
              </w:rPr>
              <w:t xml:space="preserve">                                </w:t>
            </w:r>
            <w:r>
              <w:rPr>
                <w:rFonts w:hint="eastAsia"/>
                <w:kern w:val="0"/>
                <w:sz w:val="24"/>
              </w:rPr>
              <w:t>法定代表人：（签名）</w:t>
            </w:r>
          </w:p>
          <w:p>
            <w:pPr>
              <w:spacing w:line="280" w:lineRule="exact"/>
              <w:rPr>
                <w:kern w:val="0"/>
                <w:sz w:val="24"/>
              </w:rPr>
            </w:pPr>
          </w:p>
          <w:p>
            <w:pPr>
              <w:spacing w:line="280" w:lineRule="exact"/>
              <w:rPr>
                <w:kern w:val="0"/>
                <w:sz w:val="24"/>
              </w:rPr>
            </w:pP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pPr>
        <w:widowControl/>
        <w:jc w:val="left"/>
        <w:rPr>
          <w:rFonts w:hint="eastAsia" w:ascii="仿宋_GB2312" w:hAnsi="ˎ̥" w:eastAsia="仿宋_GB2312" w:cs="Tahoma"/>
          <w:sz w:val="28"/>
          <w:szCs w:val="28"/>
        </w:rPr>
      </w:pPr>
      <w:r>
        <w:rPr>
          <w:rFonts w:hint="eastAsia" w:ascii="仿宋_GB2312" w:hAnsi="ˎ̥" w:eastAsia="仿宋_GB2312" w:cs="Tahoma"/>
          <w:sz w:val="28"/>
          <w:szCs w:val="28"/>
        </w:rPr>
        <w:br w:type="page"/>
      </w:r>
      <w:r>
        <w:rPr>
          <w:rFonts w:hint="eastAsia" w:ascii="仿宋_GB2312" w:hAnsi="ˎ̥" w:eastAsia="仿宋_GB2312" w:cs="Tahoma"/>
          <w:sz w:val="28"/>
          <w:szCs w:val="28"/>
        </w:rPr>
        <w:t>附件3：</w:t>
      </w:r>
    </w:p>
    <w:p>
      <w:pPr>
        <w:jc w:val="center"/>
        <w:rPr>
          <w:rFonts w:ascii="宋体" w:hAnsi="宋体"/>
          <w:b/>
          <w:sz w:val="32"/>
          <w:szCs w:val="32"/>
        </w:rPr>
      </w:pPr>
      <w:r>
        <w:rPr>
          <w:rFonts w:hint="eastAsia" w:ascii="宋体" w:hAnsi="宋体"/>
          <w:b/>
          <w:sz w:val="32"/>
          <w:szCs w:val="32"/>
        </w:rPr>
        <w:t>《申请报告》内容及样式</w:t>
      </w:r>
    </w:p>
    <w:p>
      <w:pPr>
        <w:rPr>
          <w:rFonts w:ascii="仿宋_GB2312" w:hAnsi="宋体" w:eastAsia="仿宋_GB2312"/>
          <w:b/>
          <w:sz w:val="31"/>
          <w:szCs w:val="31"/>
        </w:rPr>
      </w:pP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履行非营利组织登记时间、申请享受免税资格的起始年限</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从事公益性或非营利活动内容</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机构设置及专、兼职工作人员情况</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w:t>
      </w:r>
      <w:r>
        <w:rPr>
          <w:rFonts w:ascii="仿宋_GB2312" w:hAnsi="宋体" w:eastAsia="仿宋_GB2312"/>
          <w:sz w:val="32"/>
          <w:szCs w:val="32"/>
        </w:rPr>
        <w:t>取得的收入种类及资金使用范围</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对取得的应税收</w:t>
      </w:r>
      <w:r>
        <w:rPr>
          <w:rFonts w:hint="eastAsia" w:ascii="仿宋_GB2312" w:hAnsi="宋体" w:eastAsia="仿宋_GB2312"/>
          <w:sz w:val="32"/>
          <w:szCs w:val="32"/>
        </w:rPr>
        <w:t>入及其有关成本、费用与免税收入及有关成本、费用是否分别核算；</w:t>
      </w:r>
    </w:p>
    <w:p>
      <w:pPr>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工作人员工资福利开支情况</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w:t>
      </w:r>
      <w:r>
        <w:rPr>
          <w:rFonts w:hint="eastAsia" w:ascii="仿宋_GB2312" w:eastAsia="仿宋_GB2312"/>
          <w:sz w:val="32"/>
          <w:szCs w:val="32"/>
        </w:rPr>
        <w:t>上一年度符合相关法律法规和国家政策的事业发展情况或非营利活动的情况说明</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w:t>
      </w:r>
      <w:r>
        <w:rPr>
          <w:rFonts w:ascii="仿宋_GB2312" w:hAnsi="宋体" w:eastAsia="仿宋_GB2312"/>
          <w:sz w:val="32"/>
          <w:szCs w:val="32"/>
        </w:rPr>
        <w:t>对本组织财产及其</w:t>
      </w:r>
      <w:r>
        <w:rPr>
          <w:rFonts w:hint="eastAsia" w:ascii="仿宋_GB2312" w:hAnsi="宋体" w:eastAsia="仿宋_GB2312"/>
          <w:sz w:val="32"/>
          <w:szCs w:val="32"/>
        </w:rPr>
        <w:t>孳息不侵占、不私分、不挪用和投入人对投入相互促进的财产不保留或者不享有任何财产权利的承诺。</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法定代表人（签名）：</w:t>
      </w:r>
      <w:r>
        <w:rPr>
          <w:rFonts w:ascii="仿宋_GB2312" w:hAnsi="宋体" w:eastAsia="仿宋_GB2312"/>
          <w:sz w:val="32"/>
          <w:szCs w:val="32"/>
        </w:rPr>
        <w:t xml:space="preserve">               </w:t>
      </w:r>
      <w:r>
        <w:rPr>
          <w:rFonts w:hint="eastAsia" w:ascii="仿宋_GB2312" w:hAnsi="宋体" w:eastAsia="仿宋_GB2312"/>
          <w:sz w:val="32"/>
          <w:szCs w:val="32"/>
        </w:rPr>
        <w:t>非营利组织（盖章）</w:t>
      </w:r>
    </w:p>
    <w:p>
      <w:pPr>
        <w:ind w:firstLine="615"/>
        <w:rPr>
          <w:rFonts w:ascii="仿宋_GB2312" w:hAnsi="宋体" w:eastAsia="仿宋_GB2312"/>
          <w:sz w:val="32"/>
          <w:szCs w:val="32"/>
        </w:rPr>
      </w:pP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rPr>
          <w:rFonts w:ascii="仿宋_GB2312" w:hAnsi="宋体" w:eastAsia="仿宋_GB2312"/>
          <w:sz w:val="32"/>
          <w:szCs w:val="32"/>
        </w:rPr>
      </w:pPr>
    </w:p>
    <w:p>
      <w:pPr>
        <w:rPr>
          <w:rFonts w:ascii="仿宋_GB2312" w:hAnsi="宋体" w:eastAsia="仿宋_GB2312"/>
          <w:sz w:val="32"/>
          <w:szCs w:val="32"/>
        </w:rPr>
      </w:pPr>
    </w:p>
    <w:p>
      <w:pPr>
        <w:rPr>
          <w:rFonts w:hint="eastAsia" w:ascii="仿宋_GB2312" w:hAnsi="ˎ̥" w:eastAsia="仿宋_GB2312" w:cs="Tahoma"/>
          <w:sz w:val="32"/>
          <w:szCs w:val="32"/>
        </w:rPr>
      </w:pPr>
    </w:p>
    <w:p>
      <w:pPr>
        <w:rPr>
          <w:rFonts w:hint="eastAsia" w:ascii="仿宋_GB2312" w:hAnsi="ˎ̥" w:eastAsia="仿宋_GB2312" w:cs="Tahoma"/>
          <w:sz w:val="28"/>
          <w:szCs w:val="28"/>
        </w:rPr>
      </w:pPr>
      <w:r>
        <w:rPr>
          <w:rFonts w:hint="eastAsia" w:ascii="仿宋_GB2312" w:hAnsi="ˎ̥" w:eastAsia="仿宋_GB2312" w:cs="Tahoma"/>
          <w:sz w:val="28"/>
          <w:szCs w:val="28"/>
        </w:rPr>
        <w:t>附件4：</w:t>
      </w:r>
    </w:p>
    <w:p>
      <w:pPr>
        <w:jc w:val="center"/>
        <w:rPr>
          <w:rFonts w:ascii="宋体" w:hAnsi="宋体"/>
          <w:b/>
          <w:sz w:val="32"/>
          <w:szCs w:val="32"/>
        </w:rPr>
      </w:pPr>
      <w:r>
        <w:rPr>
          <w:rFonts w:hint="eastAsia" w:ascii="宋体" w:hAnsi="宋体"/>
          <w:b/>
          <w:sz w:val="32"/>
          <w:szCs w:val="32"/>
        </w:rPr>
        <w:t>《审计报告》内容要求</w:t>
      </w:r>
    </w:p>
    <w:p>
      <w:pPr>
        <w:rPr>
          <w:rFonts w:ascii="仿宋_GB2312" w:hAnsi="宋体" w:eastAsia="仿宋_GB2312"/>
          <w:b/>
          <w:sz w:val="32"/>
          <w:szCs w:val="32"/>
        </w:rPr>
      </w:pPr>
      <w:r>
        <w:rPr>
          <w:rFonts w:hint="eastAsia" w:ascii="宋体" w:hAnsi="宋体"/>
          <w:sz w:val="32"/>
          <w:szCs w:val="32"/>
        </w:rPr>
        <w:t xml:space="preserve">    </w:t>
      </w:r>
      <w:r>
        <w:rPr>
          <w:rFonts w:hint="eastAsia" w:ascii="仿宋_GB2312" w:hAnsi="宋体" w:eastAsia="仿宋_GB2312"/>
          <w:b/>
          <w:sz w:val="32"/>
          <w:szCs w:val="32"/>
        </w:rPr>
        <w:t>一、审查结论</w:t>
      </w:r>
    </w:p>
    <w:p>
      <w:pPr>
        <w:ind w:firstLine="640" w:firstLineChars="200"/>
        <w:rPr>
          <w:rFonts w:ascii="仿宋_GB2312" w:hAnsi="宋体" w:eastAsia="仿宋_GB2312"/>
          <w:sz w:val="32"/>
          <w:szCs w:val="32"/>
        </w:rPr>
      </w:pPr>
      <w:r>
        <w:rPr>
          <w:rFonts w:hint="eastAsia" w:ascii="仿宋_GB2312" w:hAnsi="宋体" w:eastAsia="仿宋_GB2312"/>
          <w:sz w:val="32"/>
          <w:szCs w:val="32"/>
        </w:rPr>
        <w:t>（一）设立或登记的审核情况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（二）活动内容的审核情况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（三）收入用途的审核情况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（四）财产及其孳息分配的审核情况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（五）投入人享有财产权利的审核情况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（六）注销后剩余财产用途的审核情况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（七）工作人员工资福利开支的审核情况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上一年度符合相关法律法规和国家政策的事业发展情况或非营利活动</w:t>
      </w:r>
      <w:r>
        <w:rPr>
          <w:rFonts w:hint="eastAsia" w:ascii="仿宋_GB2312" w:hAnsi="宋体" w:eastAsia="仿宋_GB2312"/>
          <w:sz w:val="32"/>
          <w:szCs w:val="32"/>
        </w:rPr>
        <w:t>的审核情况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（九）财务核算的审核情况</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二、财务报表</w:t>
      </w:r>
    </w:p>
    <w:p>
      <w:pPr>
        <w:ind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资产负债表</w:t>
      </w:r>
    </w:p>
    <w:p>
      <w:pPr>
        <w:ind w:firstLine="615"/>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业务活动表[收入、费用分非限定性（应税、免税）和限定性（应税、免税）]</w:t>
      </w:r>
    </w:p>
    <w:p>
      <w:pPr>
        <w:ind w:firstLine="615"/>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现金流量表</w:t>
      </w:r>
    </w:p>
    <w:p>
      <w:pPr>
        <w:ind w:firstLine="615"/>
        <w:rPr>
          <w:rFonts w:ascii="仿宋_GB2312" w:hAnsi="宋体" w:eastAsia="仿宋_GB2312"/>
          <w:b/>
          <w:sz w:val="32"/>
          <w:szCs w:val="32"/>
        </w:rPr>
      </w:pPr>
      <w:r>
        <w:rPr>
          <w:rFonts w:hint="eastAsia" w:ascii="仿宋_GB2312" w:hAnsi="宋体" w:eastAsia="仿宋_GB2312"/>
          <w:b/>
          <w:sz w:val="32"/>
          <w:szCs w:val="32"/>
        </w:rPr>
        <w:t>三、财务报表附注</w:t>
      </w:r>
    </w:p>
    <w:p>
      <w:pPr>
        <w:ind w:firstLine="615"/>
        <w:rPr>
          <w:rFonts w:ascii="仿宋_GB2312" w:hAnsi="宋体" w:eastAsia="仿宋_GB2312"/>
          <w:sz w:val="32"/>
          <w:szCs w:val="32"/>
        </w:rPr>
      </w:pPr>
      <w:r>
        <w:rPr>
          <w:rFonts w:hint="eastAsia" w:ascii="仿宋_GB2312" w:hAnsi="宋体" w:eastAsia="仿宋_GB2312"/>
          <w:sz w:val="32"/>
          <w:szCs w:val="32"/>
        </w:rPr>
        <w:t>必要内容：将收入、成本、费用要分别列出应税、免税。</w:t>
      </w:r>
    </w:p>
    <w:p>
      <w:pPr>
        <w:adjustRightInd w:val="0"/>
        <w:snapToGrid w:val="0"/>
        <w:spacing w:line="360" w:lineRule="auto"/>
        <w:ind w:firstLine="643" w:firstLineChars="200"/>
        <w:rPr>
          <w:rFonts w:ascii="仿宋_GB2312" w:eastAsia="仿宋_GB2312"/>
          <w:b/>
          <w:sz w:val="32"/>
          <w:szCs w:val="32"/>
        </w:rPr>
      </w:pPr>
      <w:r>
        <w:rPr>
          <w:rFonts w:hint="eastAsia" w:ascii="仿宋_GB2312" w:hAnsi="宋体" w:eastAsia="仿宋_GB2312"/>
          <w:b/>
          <w:bCs/>
          <w:sz w:val="32"/>
          <w:szCs w:val="32"/>
        </w:rPr>
        <w:t>四、</w:t>
      </w:r>
      <w:r>
        <w:rPr>
          <w:rFonts w:hint="eastAsia" w:ascii="仿宋_GB2312" w:hAnsi="宋体" w:eastAsia="仿宋_GB2312"/>
          <w:b/>
          <w:sz w:val="32"/>
          <w:szCs w:val="32"/>
        </w:rPr>
        <w:t>其它应披露的事项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（一）披露该组织有否存在因逃避缴纳税款或帮助他人逃避缴纳税款，而被税务机关依法处理的行为；</w:t>
      </w:r>
    </w:p>
    <w:p>
      <w:pPr>
        <w:adjustRightInd w:val="0"/>
        <w:snapToGrid w:val="0"/>
        <w:spacing w:line="360" w:lineRule="auto"/>
        <w:ind w:firstLine="640" w:firstLineChars="200"/>
        <w:rPr>
          <w:rFonts w:hint="eastAsia" w:ascii="仿宋_GB2312" w:hAnsi="ˎ̥" w:eastAsia="仿宋_GB2312" w:cs="Tahoma"/>
          <w:sz w:val="28"/>
          <w:szCs w:val="28"/>
        </w:rPr>
      </w:pPr>
      <w:r>
        <w:rPr>
          <w:rFonts w:hint="eastAsia" w:ascii="仿宋_GB2312" w:eastAsia="仿宋_GB2312"/>
          <w:sz w:val="32"/>
          <w:szCs w:val="32"/>
        </w:rPr>
        <w:t>（二）披露该组织有否通过关联交易或非关联交易和服务活动，变相转移、隐匿、分配该组织财产</w:t>
      </w:r>
      <w:r>
        <w:rPr>
          <w:rFonts w:hint="eastAsia"/>
          <w:sz w:val="32"/>
          <w:szCs w:val="32"/>
        </w:rPr>
        <w:t>的行为。</w:t>
      </w:r>
    </w:p>
    <w:sectPr>
      <w:foot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Arial Unicode MS"/>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24"/>
    <w:rsid w:val="000002DE"/>
    <w:rsid w:val="0000177F"/>
    <w:rsid w:val="00012D8A"/>
    <w:rsid w:val="00015695"/>
    <w:rsid w:val="00025839"/>
    <w:rsid w:val="00026C20"/>
    <w:rsid w:val="00026E94"/>
    <w:rsid w:val="00041F85"/>
    <w:rsid w:val="00050DBE"/>
    <w:rsid w:val="0005605B"/>
    <w:rsid w:val="00063775"/>
    <w:rsid w:val="00081BF4"/>
    <w:rsid w:val="00093494"/>
    <w:rsid w:val="00095CF1"/>
    <w:rsid w:val="00096380"/>
    <w:rsid w:val="000C08E6"/>
    <w:rsid w:val="000C1B65"/>
    <w:rsid w:val="000C1DD2"/>
    <w:rsid w:val="000C3146"/>
    <w:rsid w:val="000C5729"/>
    <w:rsid w:val="000D2ACC"/>
    <w:rsid w:val="000D5495"/>
    <w:rsid w:val="000D5531"/>
    <w:rsid w:val="000F69BF"/>
    <w:rsid w:val="0014683A"/>
    <w:rsid w:val="00155D14"/>
    <w:rsid w:val="00162DB4"/>
    <w:rsid w:val="00166361"/>
    <w:rsid w:val="00175A91"/>
    <w:rsid w:val="00193FB6"/>
    <w:rsid w:val="001A14B7"/>
    <w:rsid w:val="001A3862"/>
    <w:rsid w:val="001F79B8"/>
    <w:rsid w:val="00203CAB"/>
    <w:rsid w:val="00234C93"/>
    <w:rsid w:val="00236C1E"/>
    <w:rsid w:val="00257D06"/>
    <w:rsid w:val="002670C2"/>
    <w:rsid w:val="002753CF"/>
    <w:rsid w:val="002A1019"/>
    <w:rsid w:val="002B1424"/>
    <w:rsid w:val="002B41D6"/>
    <w:rsid w:val="002B5652"/>
    <w:rsid w:val="002F4208"/>
    <w:rsid w:val="0030215B"/>
    <w:rsid w:val="00302C46"/>
    <w:rsid w:val="003121A5"/>
    <w:rsid w:val="00320594"/>
    <w:rsid w:val="00343103"/>
    <w:rsid w:val="0034506C"/>
    <w:rsid w:val="003451E3"/>
    <w:rsid w:val="003510EB"/>
    <w:rsid w:val="00351DB7"/>
    <w:rsid w:val="0035293E"/>
    <w:rsid w:val="00357E9E"/>
    <w:rsid w:val="00367179"/>
    <w:rsid w:val="00372DE9"/>
    <w:rsid w:val="00373529"/>
    <w:rsid w:val="00384339"/>
    <w:rsid w:val="003B3C04"/>
    <w:rsid w:val="003C44DF"/>
    <w:rsid w:val="003D3E34"/>
    <w:rsid w:val="003D61C9"/>
    <w:rsid w:val="003E16E8"/>
    <w:rsid w:val="003E678B"/>
    <w:rsid w:val="003F353D"/>
    <w:rsid w:val="003F3D65"/>
    <w:rsid w:val="0041554B"/>
    <w:rsid w:val="00416BDE"/>
    <w:rsid w:val="004222D9"/>
    <w:rsid w:val="004404EE"/>
    <w:rsid w:val="00442906"/>
    <w:rsid w:val="00472151"/>
    <w:rsid w:val="0047653A"/>
    <w:rsid w:val="004918C9"/>
    <w:rsid w:val="004A1E97"/>
    <w:rsid w:val="004D4B45"/>
    <w:rsid w:val="004E36D6"/>
    <w:rsid w:val="004F4312"/>
    <w:rsid w:val="004F4A4B"/>
    <w:rsid w:val="0051082C"/>
    <w:rsid w:val="00516A78"/>
    <w:rsid w:val="00516D2C"/>
    <w:rsid w:val="00524C8B"/>
    <w:rsid w:val="005260A4"/>
    <w:rsid w:val="00527550"/>
    <w:rsid w:val="00536B28"/>
    <w:rsid w:val="005402FE"/>
    <w:rsid w:val="00545854"/>
    <w:rsid w:val="005559F1"/>
    <w:rsid w:val="005579D8"/>
    <w:rsid w:val="0056502F"/>
    <w:rsid w:val="00571248"/>
    <w:rsid w:val="00577292"/>
    <w:rsid w:val="00586A5B"/>
    <w:rsid w:val="005A3D3D"/>
    <w:rsid w:val="005A5DC9"/>
    <w:rsid w:val="005B20C5"/>
    <w:rsid w:val="005D1DE3"/>
    <w:rsid w:val="005D2379"/>
    <w:rsid w:val="005D72D9"/>
    <w:rsid w:val="005E281C"/>
    <w:rsid w:val="005E369B"/>
    <w:rsid w:val="005F3F1F"/>
    <w:rsid w:val="00600070"/>
    <w:rsid w:val="00603F9D"/>
    <w:rsid w:val="00606E33"/>
    <w:rsid w:val="00610304"/>
    <w:rsid w:val="00612FA1"/>
    <w:rsid w:val="00614715"/>
    <w:rsid w:val="00616221"/>
    <w:rsid w:val="00616817"/>
    <w:rsid w:val="00617B98"/>
    <w:rsid w:val="00635162"/>
    <w:rsid w:val="00643976"/>
    <w:rsid w:val="006648DB"/>
    <w:rsid w:val="00664E88"/>
    <w:rsid w:val="0066700E"/>
    <w:rsid w:val="00676978"/>
    <w:rsid w:val="00687F15"/>
    <w:rsid w:val="006B441D"/>
    <w:rsid w:val="006E4055"/>
    <w:rsid w:val="00707A53"/>
    <w:rsid w:val="007154A1"/>
    <w:rsid w:val="00720E7B"/>
    <w:rsid w:val="007254F0"/>
    <w:rsid w:val="0075307A"/>
    <w:rsid w:val="00764A51"/>
    <w:rsid w:val="007742B2"/>
    <w:rsid w:val="00774F4B"/>
    <w:rsid w:val="00777B60"/>
    <w:rsid w:val="00777E1B"/>
    <w:rsid w:val="00784C10"/>
    <w:rsid w:val="00786064"/>
    <w:rsid w:val="007B2592"/>
    <w:rsid w:val="007C03B5"/>
    <w:rsid w:val="007C5CB9"/>
    <w:rsid w:val="007C71EA"/>
    <w:rsid w:val="007D3230"/>
    <w:rsid w:val="007E4198"/>
    <w:rsid w:val="007E7346"/>
    <w:rsid w:val="007F1E79"/>
    <w:rsid w:val="007F51FB"/>
    <w:rsid w:val="007F716F"/>
    <w:rsid w:val="007F7852"/>
    <w:rsid w:val="008061E9"/>
    <w:rsid w:val="008061F2"/>
    <w:rsid w:val="00816663"/>
    <w:rsid w:val="008326F1"/>
    <w:rsid w:val="00834F84"/>
    <w:rsid w:val="00836739"/>
    <w:rsid w:val="008528DC"/>
    <w:rsid w:val="00853224"/>
    <w:rsid w:val="00855722"/>
    <w:rsid w:val="008660EE"/>
    <w:rsid w:val="00887550"/>
    <w:rsid w:val="00890E44"/>
    <w:rsid w:val="008A1011"/>
    <w:rsid w:val="008A6867"/>
    <w:rsid w:val="008B238D"/>
    <w:rsid w:val="008C13A6"/>
    <w:rsid w:val="008D068B"/>
    <w:rsid w:val="008D0DD4"/>
    <w:rsid w:val="008D39BD"/>
    <w:rsid w:val="008E20EA"/>
    <w:rsid w:val="008E675F"/>
    <w:rsid w:val="00906E75"/>
    <w:rsid w:val="0094150A"/>
    <w:rsid w:val="00961FC7"/>
    <w:rsid w:val="00986CE7"/>
    <w:rsid w:val="00993271"/>
    <w:rsid w:val="009A047F"/>
    <w:rsid w:val="009A1A5F"/>
    <w:rsid w:val="009B0F53"/>
    <w:rsid w:val="009C29B1"/>
    <w:rsid w:val="00A00F27"/>
    <w:rsid w:val="00A010BF"/>
    <w:rsid w:val="00A01741"/>
    <w:rsid w:val="00A14AF5"/>
    <w:rsid w:val="00A1523E"/>
    <w:rsid w:val="00A2011C"/>
    <w:rsid w:val="00A32627"/>
    <w:rsid w:val="00A41A51"/>
    <w:rsid w:val="00A51C96"/>
    <w:rsid w:val="00A87371"/>
    <w:rsid w:val="00AB70C7"/>
    <w:rsid w:val="00AB7CEF"/>
    <w:rsid w:val="00AC4A00"/>
    <w:rsid w:val="00AD67BA"/>
    <w:rsid w:val="00AF07EF"/>
    <w:rsid w:val="00B002C9"/>
    <w:rsid w:val="00B123FA"/>
    <w:rsid w:val="00B2658B"/>
    <w:rsid w:val="00B3217D"/>
    <w:rsid w:val="00B64ADC"/>
    <w:rsid w:val="00B87FAA"/>
    <w:rsid w:val="00BA05A0"/>
    <w:rsid w:val="00BA1A33"/>
    <w:rsid w:val="00BA38C1"/>
    <w:rsid w:val="00BB1056"/>
    <w:rsid w:val="00BB3558"/>
    <w:rsid w:val="00BB5569"/>
    <w:rsid w:val="00BC3D2F"/>
    <w:rsid w:val="00BC6103"/>
    <w:rsid w:val="00BD66A4"/>
    <w:rsid w:val="00BE34F8"/>
    <w:rsid w:val="00BE4F33"/>
    <w:rsid w:val="00BF559A"/>
    <w:rsid w:val="00C010C2"/>
    <w:rsid w:val="00C126FD"/>
    <w:rsid w:val="00C1521E"/>
    <w:rsid w:val="00C32258"/>
    <w:rsid w:val="00C32C54"/>
    <w:rsid w:val="00C40236"/>
    <w:rsid w:val="00C44C87"/>
    <w:rsid w:val="00C462C2"/>
    <w:rsid w:val="00C46E1C"/>
    <w:rsid w:val="00C5026D"/>
    <w:rsid w:val="00C5482C"/>
    <w:rsid w:val="00C56D6B"/>
    <w:rsid w:val="00C570A9"/>
    <w:rsid w:val="00C62171"/>
    <w:rsid w:val="00C64CE9"/>
    <w:rsid w:val="00C7677C"/>
    <w:rsid w:val="00C77FFC"/>
    <w:rsid w:val="00C811D6"/>
    <w:rsid w:val="00CA17F4"/>
    <w:rsid w:val="00CC071F"/>
    <w:rsid w:val="00CD5BC5"/>
    <w:rsid w:val="00CD6518"/>
    <w:rsid w:val="00CE079B"/>
    <w:rsid w:val="00CE5A68"/>
    <w:rsid w:val="00CF497C"/>
    <w:rsid w:val="00D212C3"/>
    <w:rsid w:val="00D51E9A"/>
    <w:rsid w:val="00D521BF"/>
    <w:rsid w:val="00D54A61"/>
    <w:rsid w:val="00D77BC8"/>
    <w:rsid w:val="00D94E96"/>
    <w:rsid w:val="00DB4D60"/>
    <w:rsid w:val="00DB4E6D"/>
    <w:rsid w:val="00DB5C9E"/>
    <w:rsid w:val="00DD5667"/>
    <w:rsid w:val="00DD7CF4"/>
    <w:rsid w:val="00DF4BC0"/>
    <w:rsid w:val="00E001DB"/>
    <w:rsid w:val="00E011A1"/>
    <w:rsid w:val="00E1700D"/>
    <w:rsid w:val="00E2361E"/>
    <w:rsid w:val="00E277DF"/>
    <w:rsid w:val="00E328F1"/>
    <w:rsid w:val="00E459A1"/>
    <w:rsid w:val="00E56F43"/>
    <w:rsid w:val="00E73C10"/>
    <w:rsid w:val="00E7634D"/>
    <w:rsid w:val="00E93838"/>
    <w:rsid w:val="00E96109"/>
    <w:rsid w:val="00EA1D22"/>
    <w:rsid w:val="00EA24BC"/>
    <w:rsid w:val="00EA70C3"/>
    <w:rsid w:val="00EE673F"/>
    <w:rsid w:val="00EF64BE"/>
    <w:rsid w:val="00F0019E"/>
    <w:rsid w:val="00F13AE5"/>
    <w:rsid w:val="00F36497"/>
    <w:rsid w:val="00F44830"/>
    <w:rsid w:val="00F45BDE"/>
    <w:rsid w:val="00F5686B"/>
    <w:rsid w:val="00F578D3"/>
    <w:rsid w:val="00F6342A"/>
    <w:rsid w:val="00F7116D"/>
    <w:rsid w:val="00F7503A"/>
    <w:rsid w:val="00F7511C"/>
    <w:rsid w:val="00F93EE4"/>
    <w:rsid w:val="00FB0E32"/>
    <w:rsid w:val="00FB360A"/>
    <w:rsid w:val="00FD1521"/>
    <w:rsid w:val="00FD4E49"/>
    <w:rsid w:val="00FD5553"/>
    <w:rsid w:val="00FD708C"/>
    <w:rsid w:val="1E824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4"/>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1F10F-F748-47B6-B34A-ED7C0C848F9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666</Words>
  <Characters>3802</Characters>
  <Lines>31</Lines>
  <Paragraphs>8</Paragraphs>
  <TotalTime>256</TotalTime>
  <ScaleCrop>false</ScaleCrop>
  <LinksUpToDate>false</LinksUpToDate>
  <CharactersWithSpaces>4460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2019-04-02T06:38:00Z</dcterms:created>
  <dc:creator>Lenovo User</dc:creator>
  <cp:lastModifiedBy>叶瑞丰</cp:lastModifiedBy>
  <cp:lastPrinted>2019-03-30T07:39:00Z</cp:lastPrinted>
  <dcterms:modified xsi:type="dcterms:W3CDTF">2023-12-22T09:46:46Z</dcterms:modified>
  <dc:title>东莞市非营利组织免税资格认定办事指南</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