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5F5" w:rsidRDefault="00F955F5">
      <w:pPr>
        <w:rPr>
          <w:rFonts w:hint="eastAsia"/>
          <w:b/>
          <w:bCs/>
          <w:sz w:val="32"/>
          <w:szCs w:val="32"/>
        </w:rPr>
      </w:pPr>
    </w:p>
    <w:p w:rsidR="00F955F5" w:rsidRDefault="00F955F5"/>
    <w:p w:rsidR="00F955F5" w:rsidRDefault="00F955F5">
      <w:pPr>
        <w:jc w:val="center"/>
        <w:rPr>
          <w:rFonts w:ascii="黑体" w:eastAsia="黑体" w:hAnsi="楷体" w:hint="eastAsia"/>
          <w:sz w:val="100"/>
          <w:szCs w:val="100"/>
        </w:rPr>
      </w:pPr>
      <w:r>
        <w:rPr>
          <w:rFonts w:ascii="黑体" w:eastAsia="黑体" w:hAnsi="楷体" w:hint="eastAsia"/>
          <w:sz w:val="100"/>
          <w:szCs w:val="100"/>
        </w:rPr>
        <w:t>政 策 解 读</w:t>
      </w:r>
    </w:p>
    <w:p w:rsidR="00F955F5" w:rsidRDefault="00F955F5">
      <w:pPr>
        <w:jc w:val="center"/>
        <w:rPr>
          <w:sz w:val="32"/>
          <w:szCs w:val="32"/>
        </w:rPr>
      </w:pPr>
      <w:r>
        <w:rPr>
          <w:rFonts w:ascii="宋体" w:hAnsi="宋体"/>
          <w:sz w:val="32"/>
          <w:szCs w:val="32"/>
        </w:rPr>
        <w:pict>
          <v:shapetype id="_x0000_t32" coordsize="21600,21600" o:spt="32" o:oned="t" path="m,l21600,21600e" filled="f">
            <v:path arrowok="t" fillok="f" o:connecttype="none"/>
            <o:lock v:ext="edit" shapetype="t"/>
          </v:shapetype>
          <v:shape id="自选图形 2" o:spid="_x0000_s1026" type="#_x0000_t32" style="position:absolute;left:0;text-align:left;margin-left:-10.5pt;margin-top:28.3pt;width:485.25pt;height:0;z-index:251657728" o:connectortype="straight" strokeweight="2.25pt"/>
        </w:pict>
      </w:r>
      <w:r>
        <w:rPr>
          <w:rFonts w:ascii="宋体" w:hAnsi="宋体" w:hint="eastAsia"/>
          <w:sz w:val="32"/>
          <w:szCs w:val="32"/>
        </w:rPr>
        <w:t>所得税科                               2020</w:t>
      </w:r>
      <w:r>
        <w:rPr>
          <w:rFonts w:hint="eastAsia"/>
          <w:sz w:val="32"/>
          <w:szCs w:val="32"/>
        </w:rPr>
        <w:t>年</w:t>
      </w:r>
      <w:r>
        <w:rPr>
          <w:rFonts w:hint="eastAsia"/>
          <w:sz w:val="32"/>
          <w:szCs w:val="32"/>
        </w:rPr>
        <w:t>2</w:t>
      </w:r>
      <w:r>
        <w:rPr>
          <w:rFonts w:hint="eastAsia"/>
          <w:sz w:val="32"/>
          <w:szCs w:val="32"/>
        </w:rPr>
        <w:t>月</w:t>
      </w:r>
      <w:r>
        <w:rPr>
          <w:rFonts w:hint="eastAsia"/>
          <w:sz w:val="32"/>
          <w:szCs w:val="32"/>
        </w:rPr>
        <w:t xml:space="preserve">19 </w:t>
      </w:r>
      <w:r>
        <w:rPr>
          <w:rFonts w:hint="eastAsia"/>
          <w:sz w:val="32"/>
          <w:szCs w:val="32"/>
        </w:rPr>
        <w:t>日</w:t>
      </w:r>
    </w:p>
    <w:p w:rsidR="00F955F5" w:rsidRDefault="00F955F5">
      <w:pPr>
        <w:jc w:val="center"/>
        <w:rPr>
          <w:rFonts w:ascii="宋体" w:hAnsi="宋体"/>
          <w:sz w:val="32"/>
          <w:szCs w:val="32"/>
        </w:rPr>
      </w:pPr>
    </w:p>
    <w:p w:rsidR="00F955F5" w:rsidRDefault="00F955F5">
      <w:pPr>
        <w:jc w:val="center"/>
        <w:rPr>
          <w:rFonts w:ascii="宋体" w:hAnsi="宋体" w:hint="eastAsia"/>
          <w:b/>
          <w:sz w:val="32"/>
          <w:szCs w:val="32"/>
        </w:rPr>
      </w:pPr>
      <w:r>
        <w:rPr>
          <w:rFonts w:ascii="宋体" w:hAnsi="宋体" w:hint="eastAsia"/>
          <w:b/>
          <w:sz w:val="32"/>
          <w:szCs w:val="32"/>
        </w:rPr>
        <w:t>关于《国家税务总局广州市南沙区税务局关于经营所得个人所得税行业所得率和核定征收率有关问题的公告》的解读</w:t>
      </w:r>
    </w:p>
    <w:p w:rsidR="00F955F5" w:rsidRDefault="00F955F5">
      <w:pPr>
        <w:ind w:firstLineChars="210" w:firstLine="630"/>
        <w:jc w:val="left"/>
        <w:rPr>
          <w:rFonts w:ascii="宋体" w:hAnsi="宋体" w:hint="eastAsia"/>
          <w:sz w:val="30"/>
          <w:szCs w:val="30"/>
        </w:rPr>
      </w:pPr>
    </w:p>
    <w:p w:rsidR="00F955F5" w:rsidRDefault="00F955F5">
      <w:pPr>
        <w:ind w:firstLineChars="200" w:firstLine="640"/>
        <w:jc w:val="left"/>
        <w:rPr>
          <w:rFonts w:ascii="仿宋_GB2312" w:eastAsia="仿宋_GB2312"/>
          <w:sz w:val="32"/>
          <w:szCs w:val="32"/>
        </w:rPr>
      </w:pPr>
      <w:r>
        <w:rPr>
          <w:rFonts w:ascii="仿宋_GB2312" w:eastAsia="仿宋_GB2312" w:hint="eastAsia"/>
          <w:sz w:val="32"/>
          <w:szCs w:val="32"/>
        </w:rPr>
        <w:t>根据国家减税降费精神，为贯彻实施新个人所得税法，促进南沙区个体和私营经营发展，确保广大取得经营所得的纳税人享受个人所得税改革红利，国家税务总局广州市南沙区税务局发布了《国家税务总局广州市南沙区税务局关于经营所得行业所得率和核定征收率有关问题的公告》（以下简称《公告》）。为方便纳税人理解，现对《公告》中主要问题解读如下：</w:t>
      </w:r>
      <w:r>
        <w:rPr>
          <w:rFonts w:ascii="仿宋_GB2312" w:eastAsia="仿宋_GB2312"/>
          <w:sz w:val="32"/>
          <w:szCs w:val="32"/>
        </w:rPr>
        <w:t xml:space="preserve"> </w:t>
      </w:r>
    </w:p>
    <w:p w:rsidR="00F955F5" w:rsidRDefault="00F955F5">
      <w:pPr>
        <w:ind w:firstLineChars="200" w:firstLine="643"/>
        <w:jc w:val="left"/>
        <w:rPr>
          <w:rFonts w:ascii="仿宋_GB2312" w:eastAsia="仿宋_GB2312"/>
          <w:b/>
          <w:bCs/>
          <w:sz w:val="32"/>
          <w:szCs w:val="32"/>
        </w:rPr>
      </w:pPr>
      <w:r>
        <w:rPr>
          <w:rFonts w:ascii="仿宋_GB2312" w:eastAsia="仿宋_GB2312"/>
          <w:b/>
          <w:bCs/>
          <w:sz w:val="32"/>
          <w:szCs w:val="32"/>
        </w:rPr>
        <w:t>一、《公告》出台背景</w:t>
      </w:r>
    </w:p>
    <w:p w:rsidR="00F955F5" w:rsidRDefault="00F955F5">
      <w:pPr>
        <w:ind w:firstLineChars="200" w:firstLine="640"/>
        <w:jc w:val="left"/>
        <w:rPr>
          <w:rFonts w:ascii="仿宋_GB2312" w:eastAsia="仿宋_GB2312"/>
          <w:sz w:val="32"/>
          <w:szCs w:val="32"/>
        </w:rPr>
      </w:pPr>
      <w:r>
        <w:rPr>
          <w:rFonts w:ascii="仿宋_GB2312" w:eastAsia="仿宋_GB2312" w:hint="eastAsia"/>
          <w:sz w:val="32"/>
          <w:szCs w:val="32"/>
        </w:rPr>
        <w:t>最新修订的《个人所得税法》及其实施条例自2019年1月1日起施行。这是党中央国务院在中国特色社会主义进入新时代背景下，释放改革红利，增进民生福祉做出的重大决策</w:t>
      </w:r>
      <w:r>
        <w:rPr>
          <w:rFonts w:ascii="仿宋_GB2312" w:eastAsia="仿宋_GB2312"/>
          <w:sz w:val="32"/>
          <w:szCs w:val="32"/>
        </w:rPr>
        <w:t>。为减轻纳税人办税负担，确保</w:t>
      </w:r>
      <w:r>
        <w:rPr>
          <w:rFonts w:ascii="仿宋_GB2312" w:eastAsia="仿宋_GB2312" w:hint="eastAsia"/>
          <w:sz w:val="32"/>
          <w:szCs w:val="32"/>
        </w:rPr>
        <w:t>核定</w:t>
      </w:r>
      <w:r>
        <w:rPr>
          <w:rFonts w:ascii="仿宋_GB2312" w:eastAsia="仿宋_GB2312"/>
          <w:sz w:val="32"/>
          <w:szCs w:val="32"/>
        </w:rPr>
        <w:t>征收经营所得的纳税人享受减税红利，结合实际情况，</w:t>
      </w:r>
      <w:r>
        <w:rPr>
          <w:rFonts w:ascii="仿宋_GB2312" w:eastAsia="仿宋_GB2312" w:hint="eastAsia"/>
          <w:sz w:val="32"/>
          <w:szCs w:val="32"/>
        </w:rPr>
        <w:t>我区</w:t>
      </w:r>
      <w:r>
        <w:rPr>
          <w:rFonts w:ascii="仿宋_GB2312" w:eastAsia="仿宋_GB2312"/>
          <w:sz w:val="32"/>
          <w:szCs w:val="32"/>
        </w:rPr>
        <w:t>发布了《公告》，依法</w:t>
      </w:r>
      <w:r>
        <w:rPr>
          <w:rFonts w:ascii="仿宋_GB2312" w:eastAsia="仿宋_GB2312" w:hint="eastAsia"/>
          <w:sz w:val="32"/>
          <w:szCs w:val="32"/>
        </w:rPr>
        <w:t>确定我区</w:t>
      </w:r>
      <w:r>
        <w:rPr>
          <w:rFonts w:ascii="仿宋_GB2312" w:eastAsia="仿宋_GB2312"/>
          <w:sz w:val="32"/>
          <w:szCs w:val="32"/>
        </w:rPr>
        <w:t>经营所得</w:t>
      </w:r>
      <w:r>
        <w:rPr>
          <w:rFonts w:ascii="仿宋_GB2312" w:eastAsia="仿宋_GB2312" w:hint="eastAsia"/>
          <w:sz w:val="32"/>
          <w:szCs w:val="32"/>
        </w:rPr>
        <w:t>行业所得率及</w:t>
      </w:r>
      <w:r>
        <w:rPr>
          <w:rFonts w:ascii="仿宋_GB2312" w:eastAsia="仿宋_GB2312"/>
          <w:sz w:val="32"/>
          <w:szCs w:val="32"/>
        </w:rPr>
        <w:t>核定征收率标准。</w:t>
      </w:r>
    </w:p>
    <w:p w:rsidR="00F955F5" w:rsidRDefault="00F955F5">
      <w:pPr>
        <w:ind w:firstLineChars="200" w:firstLine="640"/>
        <w:jc w:val="left"/>
        <w:rPr>
          <w:rFonts w:ascii="仿宋_GB2312" w:eastAsia="仿宋_GB2312"/>
          <w:sz w:val="32"/>
          <w:szCs w:val="32"/>
        </w:rPr>
      </w:pPr>
    </w:p>
    <w:p w:rsidR="00F955F5" w:rsidRDefault="00F955F5">
      <w:pPr>
        <w:ind w:firstLineChars="200" w:firstLine="643"/>
        <w:jc w:val="left"/>
        <w:rPr>
          <w:rFonts w:ascii="仿宋_GB2312" w:eastAsia="仿宋_GB2312"/>
          <w:b/>
          <w:bCs/>
          <w:sz w:val="32"/>
          <w:szCs w:val="32"/>
        </w:rPr>
      </w:pPr>
      <w:r>
        <w:rPr>
          <w:rFonts w:ascii="仿宋_GB2312" w:eastAsia="仿宋_GB2312" w:hint="eastAsia"/>
          <w:b/>
          <w:bCs/>
          <w:sz w:val="32"/>
          <w:szCs w:val="32"/>
        </w:rPr>
        <w:t>二、</w:t>
      </w:r>
      <w:r>
        <w:rPr>
          <w:rFonts w:ascii="仿宋_GB2312" w:eastAsia="仿宋_GB2312"/>
          <w:b/>
          <w:bCs/>
          <w:sz w:val="32"/>
          <w:szCs w:val="32"/>
        </w:rPr>
        <w:t>《公告》的</w:t>
      </w:r>
      <w:r>
        <w:rPr>
          <w:rFonts w:ascii="仿宋_GB2312" w:eastAsia="仿宋_GB2312" w:hint="eastAsia"/>
          <w:b/>
          <w:bCs/>
          <w:sz w:val="32"/>
          <w:szCs w:val="32"/>
        </w:rPr>
        <w:t>制定依据</w:t>
      </w:r>
    </w:p>
    <w:p w:rsidR="00F955F5" w:rsidRDefault="00F955F5">
      <w:pPr>
        <w:ind w:firstLineChars="200" w:firstLine="640"/>
        <w:jc w:val="left"/>
        <w:rPr>
          <w:rFonts w:ascii="仿宋_GB2312" w:eastAsia="仿宋_GB2312"/>
          <w:sz w:val="32"/>
          <w:szCs w:val="32"/>
        </w:rPr>
      </w:pPr>
      <w:r>
        <w:rPr>
          <w:rFonts w:ascii="仿宋_GB2312" w:eastAsia="仿宋_GB2312" w:hint="eastAsia"/>
          <w:sz w:val="32"/>
          <w:szCs w:val="32"/>
        </w:rPr>
        <w:t>《税收征收管理法》第三十五条规定，纳税人有下列情形之一的，税务机关有权核定其应纳税额：</w:t>
      </w:r>
    </w:p>
    <w:p w:rsidR="00F955F5" w:rsidRDefault="00F955F5">
      <w:pPr>
        <w:ind w:firstLineChars="200" w:firstLine="640"/>
        <w:jc w:val="left"/>
        <w:rPr>
          <w:rFonts w:ascii="仿宋_GB2312" w:eastAsia="仿宋_GB2312"/>
          <w:sz w:val="32"/>
          <w:szCs w:val="32"/>
        </w:rPr>
      </w:pPr>
      <w:r>
        <w:rPr>
          <w:rFonts w:ascii="仿宋_GB2312" w:eastAsia="仿宋_GB2312" w:hint="eastAsia"/>
          <w:sz w:val="32"/>
          <w:szCs w:val="32"/>
        </w:rPr>
        <w:t>（一）依照法律、行政法规的规定可以不设置账簿的；</w:t>
      </w:r>
    </w:p>
    <w:p w:rsidR="00F955F5" w:rsidRDefault="00F955F5">
      <w:pPr>
        <w:ind w:firstLineChars="200" w:firstLine="640"/>
        <w:jc w:val="left"/>
        <w:rPr>
          <w:rFonts w:ascii="仿宋_GB2312" w:eastAsia="仿宋_GB2312"/>
          <w:sz w:val="32"/>
          <w:szCs w:val="32"/>
        </w:rPr>
      </w:pPr>
      <w:r>
        <w:rPr>
          <w:rFonts w:ascii="仿宋_GB2312" w:eastAsia="仿宋_GB2312" w:hint="eastAsia"/>
          <w:sz w:val="32"/>
          <w:szCs w:val="32"/>
        </w:rPr>
        <w:t>（二）依照法律、行政法规的规定应当设置但未设置账簿的；</w:t>
      </w:r>
    </w:p>
    <w:p w:rsidR="00F955F5" w:rsidRDefault="00F955F5">
      <w:pPr>
        <w:ind w:firstLineChars="200" w:firstLine="640"/>
        <w:jc w:val="left"/>
        <w:rPr>
          <w:rFonts w:ascii="仿宋_GB2312" w:eastAsia="仿宋_GB2312"/>
          <w:sz w:val="32"/>
          <w:szCs w:val="32"/>
        </w:rPr>
      </w:pPr>
      <w:r>
        <w:rPr>
          <w:rFonts w:ascii="仿宋_GB2312" w:eastAsia="仿宋_GB2312" w:hint="eastAsia"/>
          <w:sz w:val="32"/>
          <w:szCs w:val="32"/>
        </w:rPr>
        <w:t>（三）擅自销毁账簿或者拒不提供纳税资料的；</w:t>
      </w:r>
    </w:p>
    <w:p w:rsidR="00F955F5" w:rsidRDefault="00F955F5">
      <w:pPr>
        <w:ind w:firstLineChars="200" w:firstLine="640"/>
        <w:jc w:val="left"/>
        <w:rPr>
          <w:rFonts w:ascii="仿宋_GB2312" w:eastAsia="仿宋_GB2312"/>
          <w:sz w:val="32"/>
          <w:szCs w:val="32"/>
        </w:rPr>
      </w:pPr>
      <w:r>
        <w:rPr>
          <w:rFonts w:ascii="仿宋_GB2312" w:eastAsia="仿宋_GB2312" w:hint="eastAsia"/>
          <w:sz w:val="32"/>
          <w:szCs w:val="32"/>
        </w:rPr>
        <w:t>（四）虽设置账簿，但账目混乱或者成本资料、收入凭证、费用凭证残缺不全，难以查账的；</w:t>
      </w:r>
    </w:p>
    <w:p w:rsidR="00F955F5" w:rsidRDefault="00F955F5">
      <w:pPr>
        <w:ind w:firstLineChars="200" w:firstLine="640"/>
        <w:jc w:val="left"/>
        <w:rPr>
          <w:rFonts w:ascii="仿宋_GB2312" w:eastAsia="仿宋_GB2312"/>
          <w:sz w:val="32"/>
          <w:szCs w:val="32"/>
        </w:rPr>
      </w:pPr>
      <w:r>
        <w:rPr>
          <w:rFonts w:ascii="仿宋_GB2312" w:eastAsia="仿宋_GB2312" w:hint="eastAsia"/>
          <w:sz w:val="32"/>
          <w:szCs w:val="32"/>
        </w:rPr>
        <w:t>（五）发生纳税义务，未按照规定的期限办理纳税申报，经税务机关责令限期申报，逾期仍不申报的；</w:t>
      </w:r>
    </w:p>
    <w:p w:rsidR="00F955F5" w:rsidRDefault="00F955F5">
      <w:pPr>
        <w:ind w:firstLineChars="200" w:firstLine="640"/>
        <w:jc w:val="left"/>
        <w:rPr>
          <w:rFonts w:ascii="仿宋_GB2312" w:eastAsia="仿宋_GB2312"/>
          <w:sz w:val="32"/>
          <w:szCs w:val="32"/>
        </w:rPr>
      </w:pPr>
      <w:r>
        <w:rPr>
          <w:rFonts w:ascii="仿宋_GB2312" w:eastAsia="仿宋_GB2312" w:hint="eastAsia"/>
          <w:sz w:val="32"/>
          <w:szCs w:val="32"/>
        </w:rPr>
        <w:t>（六）纳税人申报的计税依据明显偏低，又无正当理由的。</w:t>
      </w:r>
    </w:p>
    <w:p w:rsidR="00F955F5" w:rsidRDefault="00F955F5">
      <w:pPr>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个人所得税法实施条例》第十五条第三款</w:t>
      </w:r>
      <w:r>
        <w:rPr>
          <w:rFonts w:ascii="仿宋_GB2312" w:eastAsia="仿宋_GB2312" w:hint="eastAsia"/>
          <w:sz w:val="32"/>
          <w:szCs w:val="32"/>
        </w:rPr>
        <w:t>规定，从事生产、经营活动，未提供完整、准确的纳税资料，不能正确计算应纳税所得额的，由主管税务机关核定应纳税所得额或者应纳税额。</w:t>
      </w:r>
    </w:p>
    <w:p w:rsidR="00F955F5" w:rsidRDefault="00F955F5">
      <w:pPr>
        <w:ind w:firstLineChars="200" w:firstLine="643"/>
        <w:jc w:val="left"/>
        <w:rPr>
          <w:rFonts w:ascii="仿宋_GB2312" w:eastAsia="仿宋_GB2312"/>
          <w:sz w:val="32"/>
          <w:szCs w:val="32"/>
        </w:rPr>
      </w:pPr>
      <w:r>
        <w:rPr>
          <w:rFonts w:ascii="仿宋_GB2312" w:eastAsia="仿宋_GB2312" w:hint="eastAsia"/>
          <w:b/>
          <w:bCs/>
          <w:sz w:val="32"/>
          <w:szCs w:val="32"/>
        </w:rPr>
        <w:t>三</w:t>
      </w:r>
      <w:r>
        <w:rPr>
          <w:rFonts w:ascii="仿宋_GB2312" w:eastAsia="仿宋_GB2312"/>
          <w:b/>
          <w:bCs/>
          <w:sz w:val="32"/>
          <w:szCs w:val="32"/>
        </w:rPr>
        <w:t>、《公告》的主要内容</w:t>
      </w:r>
    </w:p>
    <w:p w:rsidR="00F955F5" w:rsidRDefault="00F955F5">
      <w:pPr>
        <w:ind w:firstLineChars="200" w:firstLine="640"/>
        <w:jc w:val="left"/>
        <w:rPr>
          <w:rFonts w:ascii="仿宋_GB2312" w:eastAsia="仿宋_GB2312"/>
          <w:sz w:val="32"/>
          <w:szCs w:val="32"/>
        </w:rPr>
      </w:pPr>
      <w:r>
        <w:rPr>
          <w:rFonts w:ascii="仿宋_GB2312" w:eastAsia="仿宋_GB2312"/>
          <w:sz w:val="32"/>
          <w:szCs w:val="32"/>
        </w:rPr>
        <w:t>（一）适用对象</w:t>
      </w:r>
    </w:p>
    <w:p w:rsidR="00F955F5" w:rsidRDefault="00F955F5">
      <w:pPr>
        <w:ind w:firstLineChars="200" w:firstLine="640"/>
        <w:rPr>
          <w:rFonts w:ascii="仿宋_GB2312" w:eastAsia="仿宋_GB2312" w:cs="Tahoma"/>
          <w:sz w:val="32"/>
          <w:szCs w:val="32"/>
        </w:rPr>
      </w:pPr>
      <w:r>
        <w:rPr>
          <w:rFonts w:ascii="仿宋_GB2312" w:eastAsia="仿宋_GB2312" w:hint="eastAsia"/>
          <w:sz w:val="32"/>
          <w:szCs w:val="32"/>
        </w:rPr>
        <w:t>1.在南沙区取得经营所得且</w:t>
      </w:r>
      <w:r>
        <w:rPr>
          <w:rFonts w:ascii="仿宋_GB2312" w:eastAsia="仿宋_GB2312"/>
          <w:sz w:val="32"/>
          <w:szCs w:val="32"/>
        </w:rPr>
        <w:t>核定征收</w:t>
      </w:r>
      <w:r>
        <w:rPr>
          <w:rFonts w:ascii="仿宋_GB2312" w:eastAsia="仿宋_GB2312" w:hint="eastAsia"/>
          <w:sz w:val="32"/>
          <w:szCs w:val="32"/>
        </w:rPr>
        <w:t>个人所得税的个体工商户业主、个人独资企业投资人、合伙企业个人合伙人适用</w:t>
      </w:r>
      <w:r>
        <w:rPr>
          <w:rFonts w:ascii="仿宋_GB2312" w:eastAsia="仿宋_GB2312" w:cs="Tahoma" w:hint="eastAsia"/>
          <w:sz w:val="32"/>
          <w:szCs w:val="32"/>
        </w:rPr>
        <w:t>《</w:t>
      </w:r>
      <w:r>
        <w:rPr>
          <w:rFonts w:ascii="仿宋_GB2312" w:eastAsia="仿宋_GB2312" w:cs="Tahoma"/>
          <w:sz w:val="32"/>
          <w:szCs w:val="32"/>
        </w:rPr>
        <w:t>广州市南沙区</w:t>
      </w:r>
      <w:r>
        <w:rPr>
          <w:rFonts w:ascii="仿宋_GB2312" w:eastAsia="仿宋_GB2312" w:cs="Tahoma" w:hint="eastAsia"/>
          <w:sz w:val="32"/>
          <w:szCs w:val="32"/>
        </w:rPr>
        <w:t>个人所得税行业所得率表》。</w:t>
      </w:r>
    </w:p>
    <w:p w:rsidR="00F955F5" w:rsidRDefault="00F955F5">
      <w:pPr>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未办理税务登记证，临时从事生产、经营的自然人纳税人适用</w:t>
      </w:r>
      <w:r>
        <w:rPr>
          <w:rFonts w:ascii="仿宋_GB2312" w:eastAsia="仿宋_GB2312"/>
          <w:sz w:val="32"/>
          <w:szCs w:val="32"/>
        </w:rPr>
        <w:t>核定征收率</w:t>
      </w:r>
      <w:r>
        <w:rPr>
          <w:rFonts w:ascii="仿宋_GB2312" w:eastAsia="仿宋_GB2312" w:hint="eastAsia"/>
          <w:sz w:val="32"/>
          <w:szCs w:val="32"/>
        </w:rPr>
        <w:t>。</w:t>
      </w:r>
    </w:p>
    <w:p w:rsidR="00F955F5" w:rsidRDefault="00F955F5">
      <w:pPr>
        <w:ind w:firstLineChars="200" w:firstLine="640"/>
        <w:jc w:val="left"/>
        <w:rPr>
          <w:rFonts w:ascii="仿宋_GB2312" w:eastAsia="仿宋_GB2312"/>
          <w:sz w:val="32"/>
          <w:szCs w:val="32"/>
        </w:rPr>
      </w:pPr>
      <w:r>
        <w:rPr>
          <w:rFonts w:ascii="仿宋_GB2312" w:eastAsia="仿宋_GB2312"/>
          <w:sz w:val="32"/>
          <w:szCs w:val="32"/>
        </w:rPr>
        <w:t>（二）</w:t>
      </w:r>
      <w:r>
        <w:rPr>
          <w:rFonts w:ascii="仿宋_GB2312" w:eastAsia="仿宋_GB2312" w:hint="eastAsia"/>
          <w:sz w:val="32"/>
          <w:szCs w:val="32"/>
        </w:rPr>
        <w:t>下调行业</w:t>
      </w:r>
      <w:r>
        <w:rPr>
          <w:rFonts w:ascii="仿宋_GB2312" w:eastAsia="仿宋_GB2312"/>
          <w:sz w:val="32"/>
          <w:szCs w:val="32"/>
        </w:rPr>
        <w:t>所得率</w:t>
      </w:r>
    </w:p>
    <w:p w:rsidR="00F955F5" w:rsidRDefault="00F955F5">
      <w:pPr>
        <w:ind w:firstLineChars="200" w:firstLine="640"/>
        <w:jc w:val="left"/>
        <w:rPr>
          <w:rFonts w:ascii="仿宋_GB2312" w:eastAsia="仿宋_GB2312"/>
          <w:sz w:val="32"/>
          <w:szCs w:val="32"/>
        </w:rPr>
      </w:pPr>
      <w:r>
        <w:rPr>
          <w:rFonts w:ascii="仿宋_GB2312" w:eastAsia="仿宋_GB2312" w:hint="eastAsia"/>
          <w:sz w:val="32"/>
          <w:szCs w:val="32"/>
        </w:rPr>
        <w:t>综合考虑当前的经济发展状况，行业的竞争成本负担状况等因素，将除娱乐业外的其他行业的所得率统一调整为6</w:t>
      </w:r>
      <w:r>
        <w:rPr>
          <w:rFonts w:ascii="仿宋_GB2312" w:eastAsia="仿宋_GB2312"/>
          <w:sz w:val="32"/>
          <w:szCs w:val="32"/>
        </w:rPr>
        <w:t>%</w:t>
      </w:r>
      <w:r>
        <w:rPr>
          <w:rFonts w:ascii="仿宋_GB2312" w:eastAsia="仿宋_GB2312" w:hint="eastAsia"/>
          <w:sz w:val="32"/>
          <w:szCs w:val="32"/>
        </w:rPr>
        <w:t>。</w:t>
      </w:r>
    </w:p>
    <w:p w:rsidR="00F955F5" w:rsidRDefault="00F955F5">
      <w:pPr>
        <w:ind w:firstLineChars="200" w:firstLine="640"/>
        <w:jc w:val="left"/>
        <w:rPr>
          <w:rFonts w:ascii="仿宋_GB2312" w:eastAsia="仿宋_GB2312"/>
          <w:sz w:val="32"/>
          <w:szCs w:val="32"/>
        </w:rPr>
      </w:pPr>
      <w:r>
        <w:rPr>
          <w:rFonts w:ascii="仿宋_GB2312" w:eastAsia="仿宋_GB2312" w:hint="eastAsia"/>
          <w:sz w:val="32"/>
          <w:szCs w:val="32"/>
        </w:rPr>
        <w:t>（三）统一</w:t>
      </w:r>
      <w:r>
        <w:rPr>
          <w:rFonts w:ascii="仿宋_GB2312" w:eastAsia="仿宋_GB2312"/>
          <w:sz w:val="32"/>
          <w:szCs w:val="32"/>
        </w:rPr>
        <w:t>各行业核定征收率</w:t>
      </w:r>
    </w:p>
    <w:p w:rsidR="00F955F5" w:rsidRDefault="00F955F5">
      <w:pPr>
        <w:ind w:firstLineChars="200" w:firstLine="640"/>
        <w:jc w:val="left"/>
        <w:rPr>
          <w:rFonts w:ascii="仿宋_GB2312" w:eastAsia="仿宋_GB2312" w:cs="Tahoma"/>
          <w:sz w:val="32"/>
          <w:szCs w:val="32"/>
        </w:rPr>
      </w:pPr>
      <w:r>
        <w:rPr>
          <w:rFonts w:ascii="仿宋_GB2312" w:eastAsia="仿宋_GB2312"/>
          <w:sz w:val="32"/>
          <w:szCs w:val="32"/>
        </w:rPr>
        <w:t>自然人</w:t>
      </w:r>
      <w:r>
        <w:rPr>
          <w:rFonts w:ascii="仿宋_GB2312" w:eastAsia="仿宋_GB2312" w:cs="Tahoma" w:hint="eastAsia"/>
          <w:sz w:val="32"/>
          <w:szCs w:val="32"/>
        </w:rPr>
        <w:t>核定征收经营所得个人所得税的，核定征收率</w:t>
      </w:r>
      <w:r>
        <w:rPr>
          <w:rFonts w:ascii="仿宋_GB2312" w:eastAsia="仿宋_GB2312" w:cs="Tahoma"/>
          <w:sz w:val="32"/>
          <w:szCs w:val="32"/>
        </w:rPr>
        <w:t>为</w:t>
      </w:r>
      <w:r>
        <w:rPr>
          <w:rFonts w:ascii="仿宋_GB2312" w:eastAsia="仿宋_GB2312" w:cs="Tahoma" w:hint="eastAsia"/>
          <w:sz w:val="32"/>
          <w:szCs w:val="32"/>
        </w:rPr>
        <w:t>0.8</w:t>
      </w:r>
      <w:r>
        <w:rPr>
          <w:rFonts w:ascii="仿宋_GB2312" w:eastAsia="仿宋_GB2312" w:cs="Tahoma"/>
          <w:sz w:val="32"/>
          <w:szCs w:val="32"/>
        </w:rPr>
        <w:t>%</w:t>
      </w:r>
      <w:r>
        <w:rPr>
          <w:rFonts w:ascii="仿宋_GB2312" w:eastAsia="仿宋_GB2312" w:cs="Tahoma" w:hint="eastAsia"/>
          <w:sz w:val="32"/>
          <w:szCs w:val="32"/>
        </w:rPr>
        <w:t>。</w:t>
      </w:r>
    </w:p>
    <w:p w:rsidR="00F955F5" w:rsidRDefault="00F955F5">
      <w:pPr>
        <w:numPr>
          <w:ilvl w:val="0"/>
          <w:numId w:val="1"/>
        </w:numPr>
        <w:ind w:firstLineChars="200" w:firstLine="640"/>
        <w:rPr>
          <w:rFonts w:ascii="仿宋_GB2312" w:eastAsia="仿宋_GB2312" w:cs="Tahoma" w:hint="eastAsia"/>
          <w:sz w:val="32"/>
          <w:szCs w:val="32"/>
        </w:rPr>
      </w:pPr>
      <w:r>
        <w:rPr>
          <w:rFonts w:ascii="仿宋_GB2312" w:eastAsia="仿宋_GB2312" w:hint="eastAsia"/>
          <w:sz w:val="32"/>
          <w:szCs w:val="32"/>
        </w:rPr>
        <w:t>代开货运</w:t>
      </w:r>
      <w:r>
        <w:rPr>
          <w:rFonts w:ascii="仿宋_GB2312" w:eastAsia="仿宋_GB2312"/>
          <w:sz w:val="32"/>
          <w:szCs w:val="32"/>
        </w:rPr>
        <w:t>发票预征个人所得税问题</w:t>
      </w:r>
      <w:r>
        <w:rPr>
          <w:rFonts w:ascii="仿宋_GB2312" w:eastAsia="仿宋_GB2312" w:cs="Tahoma" w:hint="eastAsia"/>
          <w:sz w:val="32"/>
          <w:szCs w:val="32"/>
        </w:rPr>
        <w:t>仍按《国家税务总局关于代开货物运输业发票个人所得税预征率问题的公告》</w:t>
      </w:r>
      <w:r>
        <w:rPr>
          <w:rFonts w:ascii="仿宋_GB2312" w:eastAsia="仿宋_GB2312" w:cs="Tahoma"/>
          <w:sz w:val="32"/>
          <w:szCs w:val="32"/>
        </w:rPr>
        <w:t>（</w:t>
      </w:r>
      <w:r>
        <w:rPr>
          <w:rFonts w:ascii="仿宋_GB2312" w:eastAsia="仿宋_GB2312" w:cs="Tahoma" w:hint="eastAsia"/>
          <w:sz w:val="32"/>
          <w:szCs w:val="32"/>
        </w:rPr>
        <w:t>国家税务总局公告2011年第44号）</w:t>
      </w:r>
      <w:r>
        <w:rPr>
          <w:rFonts w:ascii="仿宋_GB2312" w:eastAsia="仿宋_GB2312" w:cs="Tahoma"/>
          <w:sz w:val="32"/>
          <w:szCs w:val="32"/>
        </w:rPr>
        <w:t>执行</w:t>
      </w:r>
      <w:r>
        <w:rPr>
          <w:rFonts w:ascii="仿宋_GB2312" w:eastAsia="仿宋_GB2312" w:cs="Tahoma" w:hint="eastAsia"/>
          <w:sz w:val="32"/>
          <w:szCs w:val="32"/>
        </w:rPr>
        <w:t>。</w:t>
      </w:r>
    </w:p>
    <w:p w:rsidR="00F955F5" w:rsidRDefault="00F955F5">
      <w:pPr>
        <w:ind w:firstLineChars="200" w:firstLine="640"/>
        <w:rPr>
          <w:rFonts w:ascii="仿宋_GB2312" w:eastAsia="仿宋_GB2312" w:cs="Tahoma" w:hint="eastAsia"/>
          <w:sz w:val="32"/>
          <w:szCs w:val="32"/>
        </w:rPr>
      </w:pPr>
    </w:p>
    <w:p w:rsidR="00F955F5" w:rsidRDefault="00F955F5">
      <w:pPr>
        <w:ind w:firstLineChars="200" w:firstLine="640"/>
        <w:rPr>
          <w:rFonts w:ascii="仿宋_GB2312" w:eastAsia="仿宋_GB2312" w:cs="Tahoma" w:hint="eastAsia"/>
          <w:sz w:val="32"/>
          <w:szCs w:val="32"/>
        </w:rPr>
      </w:pPr>
    </w:p>
    <w:p w:rsidR="00F955F5" w:rsidRDefault="00F955F5">
      <w:pPr>
        <w:rPr>
          <w:sz w:val="30"/>
          <w:szCs w:val="30"/>
        </w:rPr>
      </w:pPr>
    </w:p>
    <w:sectPr w:rsidR="00F955F5">
      <w:headerReference w:type="default" r:id="rId7"/>
      <w:footerReference w:type="even" r:id="rId8"/>
      <w:footerReference w:type="default" r:id="rId9"/>
      <w:pgSz w:w="11906" w:h="16838"/>
      <w:pgMar w:top="936" w:right="1286" w:bottom="1440" w:left="126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167" w:rsidRDefault="00AF6167">
      <w:r>
        <w:separator/>
      </w:r>
    </w:p>
  </w:endnote>
  <w:endnote w:type="continuationSeparator" w:id="1">
    <w:p w:rsidR="00AF6167" w:rsidRDefault="00AF6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charset w:val="86"/>
    <w:family w:val="modern"/>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F5" w:rsidRDefault="00F955F5">
    <w:pPr>
      <w:pStyle w:val="a4"/>
      <w:framePr w:wrap="around" w:vAnchor="text" w:hAnchor="margin" w:xAlign="center" w:y="1"/>
      <w:rPr>
        <w:rStyle w:val="a3"/>
      </w:rPr>
    </w:pPr>
    <w:r>
      <w:fldChar w:fldCharType="begin"/>
    </w:r>
    <w:r>
      <w:rPr>
        <w:rStyle w:val="a3"/>
      </w:rPr>
      <w:instrText xml:space="preserve">PAGE  </w:instrText>
    </w:r>
    <w:r>
      <w:fldChar w:fldCharType="end"/>
    </w:r>
  </w:p>
  <w:p w:rsidR="00F955F5" w:rsidRDefault="00F955F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F5" w:rsidRDefault="00F955F5">
    <w:pPr>
      <w:pStyle w:val="a4"/>
      <w:framePr w:wrap="around" w:vAnchor="text" w:hAnchor="margin" w:xAlign="center" w:y="1"/>
      <w:rPr>
        <w:rStyle w:val="a3"/>
      </w:rPr>
    </w:pPr>
    <w:r>
      <w:fldChar w:fldCharType="begin"/>
    </w:r>
    <w:r>
      <w:rPr>
        <w:rStyle w:val="a3"/>
      </w:rPr>
      <w:instrText xml:space="preserve">PAGE  </w:instrText>
    </w:r>
    <w:r>
      <w:fldChar w:fldCharType="separate"/>
    </w:r>
    <w:r w:rsidR="0066483D">
      <w:rPr>
        <w:rStyle w:val="a3"/>
        <w:noProof/>
      </w:rPr>
      <w:t>- 1 -</w:t>
    </w:r>
    <w:r>
      <w:fldChar w:fldCharType="end"/>
    </w:r>
  </w:p>
  <w:p w:rsidR="00F955F5" w:rsidRDefault="00F955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167" w:rsidRDefault="00AF6167">
      <w:r>
        <w:separator/>
      </w:r>
    </w:p>
  </w:footnote>
  <w:footnote w:type="continuationSeparator" w:id="1">
    <w:p w:rsidR="00AF6167" w:rsidRDefault="00AF61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F5" w:rsidRDefault="00F955F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EF70A0"/>
    <w:multiLevelType w:val="singleLevel"/>
    <w:tmpl w:val="DDEF70A0"/>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6034"/>
    <w:rsid w:val="0004036F"/>
    <w:rsid w:val="00086C0F"/>
    <w:rsid w:val="000C3815"/>
    <w:rsid w:val="003108ED"/>
    <w:rsid w:val="003373D2"/>
    <w:rsid w:val="004243AD"/>
    <w:rsid w:val="00510992"/>
    <w:rsid w:val="00520767"/>
    <w:rsid w:val="00553B51"/>
    <w:rsid w:val="005B6034"/>
    <w:rsid w:val="006328FD"/>
    <w:rsid w:val="0066483D"/>
    <w:rsid w:val="00736793"/>
    <w:rsid w:val="00784419"/>
    <w:rsid w:val="00846EF7"/>
    <w:rsid w:val="00895458"/>
    <w:rsid w:val="008B0842"/>
    <w:rsid w:val="00984ED8"/>
    <w:rsid w:val="00AF6167"/>
    <w:rsid w:val="00B002FB"/>
    <w:rsid w:val="00D24505"/>
    <w:rsid w:val="00D52F8B"/>
    <w:rsid w:val="00D92291"/>
    <w:rsid w:val="00DD4BAD"/>
    <w:rsid w:val="00E774F3"/>
    <w:rsid w:val="00F955F5"/>
    <w:rsid w:val="54D670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3">
    <w:name w:val="heading 3"/>
    <w:basedOn w:val="a"/>
    <w:next w:val="a"/>
    <w:link w:val="3Char"/>
    <w:qFormat/>
    <w:pPr>
      <w:keepNext/>
      <w:keepLines/>
      <w:spacing w:before="260" w:after="260" w:line="413" w:lineRule="auto"/>
      <w:outlineLvl w:val="2"/>
    </w:pPr>
    <w:rPr>
      <w:b/>
      <w:bCs/>
      <w:kern w:val="0"/>
      <w:sz w:val="32"/>
      <w:szCs w:val="32"/>
      <w:lang/>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脚 Char"/>
    <w:link w:val="a4"/>
    <w:uiPriority w:val="99"/>
    <w:semiHidden/>
    <w:rPr>
      <w:sz w:val="18"/>
      <w:szCs w:val="18"/>
    </w:rPr>
  </w:style>
  <w:style w:type="character" w:customStyle="1" w:styleId="Char0">
    <w:name w:val="页眉 Char"/>
    <w:link w:val="a5"/>
    <w:uiPriority w:val="99"/>
    <w:semiHidden/>
    <w:rPr>
      <w:sz w:val="18"/>
      <w:szCs w:val="18"/>
    </w:rPr>
  </w:style>
  <w:style w:type="character" w:customStyle="1" w:styleId="3Char">
    <w:name w:val="标题 3 Char"/>
    <w:link w:val="3"/>
    <w:rPr>
      <w:rFonts w:ascii="Times New Roman" w:eastAsia="宋体" w:hAnsi="Times New Roman" w:cs="Times New Roman"/>
      <w:b/>
      <w:bCs/>
      <w:sz w:val="32"/>
      <w:szCs w:val="32"/>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rFonts w:ascii="Calibri" w:hAnsi="Calibri"/>
      <w:kern w:val="0"/>
      <w:sz w:val="18"/>
      <w:szCs w:val="18"/>
      <w:lang/>
    </w:rPr>
  </w:style>
  <w:style w:type="paragraph" w:styleId="a4">
    <w:name w:val="footer"/>
    <w:basedOn w:val="a"/>
    <w:link w:val="Char"/>
    <w:uiPriority w:val="99"/>
    <w:unhideWhenUsed/>
    <w:pPr>
      <w:tabs>
        <w:tab w:val="center" w:pos="4153"/>
        <w:tab w:val="right" w:pos="8306"/>
      </w:tabs>
      <w:snapToGrid w:val="0"/>
      <w:jc w:val="left"/>
    </w:pPr>
    <w:rPr>
      <w:rFonts w:ascii="Calibri" w:hAnsi="Calibri"/>
      <w:kern w:val="0"/>
      <w:sz w:val="18"/>
      <w:szCs w:val="18"/>
      <w:lang/>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张寒霜</dc:creator>
  <cp:keywords/>
  <cp:lastModifiedBy>庞梅君</cp:lastModifiedBy>
  <cp:revision>1</cp:revision>
  <dcterms:created xsi:type="dcterms:W3CDTF">2020-02-20T08:30:00Z</dcterms:created>
  <dcterms:modified xsi:type="dcterms:W3CDTF">2020-02-20T08:30:00Z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