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center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Style w:val="6"/>
          <w:rFonts w:ascii="宋体" w:hAnsi="宋体" w:eastAsia="宋体" w:cs="宋体"/>
          <w:b/>
          <w:bCs/>
          <w:i w:val="0"/>
          <w:iCs w:val="0"/>
          <w:caps w:val="0"/>
          <w:color w:val="070707"/>
          <w:spacing w:val="0"/>
          <w:sz w:val="27"/>
          <w:szCs w:val="27"/>
        </w:rPr>
        <w:t>不再享受先进制造业企业增值税加计抵减政策名单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填报单位（公章）：                      填报时间：    年    月    日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1250"/>
        <w:gridCol w:w="1222"/>
        <w:gridCol w:w="1306"/>
        <w:gridCol w:w="1306"/>
        <w:gridCol w:w="1033"/>
        <w:gridCol w:w="1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企业名称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统一社会信用代码</w:t>
            </w:r>
          </w:p>
        </w:tc>
        <w:tc>
          <w:tcPr>
            <w:tcW w:w="2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不再享受政策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原因①</w:t>
            </w:r>
          </w:p>
        </w:tc>
        <w:tc>
          <w:tcPr>
            <w:tcW w:w="2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不再享受政策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时间②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是否设立非法人分支机构</w:t>
            </w:r>
          </w:p>
        </w:tc>
        <w:tc>
          <w:tcPr>
            <w:tcW w:w="2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如是，各分支机构的名称及统一社会信用代码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……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注：①不再享受政策的原因包括：A.取消高新技术企业资格；B.其他情况（须注明具体原因）。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②不再享受政策时间为企业不符合政策支持条件之月。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ZGIwMTMwMzhhYzgzYTQ4NjdiNDc1NmVlMWNhNGEifQ=="/>
  </w:docVars>
  <w:rsids>
    <w:rsidRoot w:val="00000000"/>
    <w:rsid w:val="1CB55025"/>
    <w:rsid w:val="42D1585C"/>
    <w:rsid w:val="47B670F0"/>
    <w:rsid w:val="4E20493D"/>
    <w:rsid w:val="6A9F7948"/>
    <w:rsid w:val="7014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2023-10-09T08:16:00Z</dcterms:created>
  <dc:creator>Administrator</dc:creator>
  <cp:lastModifiedBy>邱丽琼</cp:lastModifiedBy>
  <dcterms:modified xsi:type="dcterms:W3CDTF">2023-10-10T01:27:44Z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939B85789A1548BDA4F2458F7CBFA146_13</vt:lpwstr>
  </property>
</Properties>
</file>