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jc w:val="center"/>
        <w:rPr>
          <w:rFonts w:hint="eastAsia" w:ascii="方正小标宋简体" w:hAnsi="方正小标宋简体" w:eastAsia="方正小标宋简体" w:cs="方正小标宋简体"/>
          <w:b w:val="0"/>
          <w:bCs w:val="0"/>
          <w:color w:val="333333"/>
          <w:sz w:val="44"/>
          <w:szCs w:val="44"/>
          <w:shd w:val="clear" w:fill="FFFFFF"/>
        </w:rPr>
      </w:pPr>
      <w:r>
        <w:rPr>
          <w:rFonts w:hint="eastAsia" w:ascii="方正小标宋简体" w:hAnsi="方正小标宋简体" w:eastAsia="方正小标宋简体" w:cs="方正小标宋简体"/>
          <w:b w:val="0"/>
          <w:bCs w:val="0"/>
          <w:color w:val="333333"/>
          <w:sz w:val="44"/>
          <w:szCs w:val="44"/>
          <w:shd w:val="clear" w:fill="FFFFFF"/>
        </w:rPr>
        <w:t>财政部 税务总局关于进一步实施小微企业“六税两费”减免政策的公告</w:t>
      </w:r>
    </w:p>
    <w:p>
      <w:pPr>
        <w:jc w:val="center"/>
        <w:rPr>
          <w:rFonts w:hint="eastAsia" w:ascii="楷体_GB2312" w:hAnsi="楷体_GB2312" w:eastAsia="楷体_GB2312" w:cs="楷体_GB2312"/>
          <w:color w:val="auto"/>
          <w:sz w:val="28"/>
          <w:szCs w:val="28"/>
        </w:rPr>
      </w:pPr>
      <w:bookmarkStart w:id="0" w:name="_GoBack"/>
      <w:r>
        <w:rPr>
          <w:rFonts w:hint="eastAsia" w:ascii="楷体_GB2312" w:hAnsi="楷体_GB2312" w:eastAsia="楷体_GB2312" w:cs="楷体_GB2312"/>
          <w:color w:val="auto"/>
          <w:kern w:val="0"/>
          <w:sz w:val="28"/>
          <w:szCs w:val="28"/>
          <w:shd w:val="clear" w:fill="FFFFFF"/>
          <w:lang w:val="en-US" w:eastAsia="zh-CN" w:bidi="ar"/>
        </w:rPr>
        <w:t>财政部 税务总局公告2022年第10号</w:t>
      </w:r>
    </w:p>
    <w:p>
      <w:pPr>
        <w:pStyle w:val="3"/>
        <w:keepNext w:val="0"/>
        <w:keepLines w:val="0"/>
        <w:widowControl/>
        <w:suppressLineNumbers w:val="0"/>
        <w:spacing w:before="0" w:beforeAutospacing="0" w:after="0" w:afterAutospacing="0" w:line="18" w:lineRule="atLeast"/>
        <w:ind w:left="0" w:right="0" w:firstLine="420"/>
        <w:jc w:val="both"/>
        <w:rPr>
          <w:rFonts w:hint="eastAsia" w:ascii="仿宋_GB2312" w:hAnsi="仿宋_GB2312" w:eastAsia="仿宋_GB2312" w:cs="仿宋_GB2312"/>
          <w:color w:val="333333"/>
          <w:sz w:val="32"/>
          <w:szCs w:val="32"/>
          <w:shd w:val="clear" w:fill="FFFFFF"/>
        </w:rPr>
      </w:pPr>
    </w:p>
    <w:p>
      <w:pPr>
        <w:pStyle w:val="3"/>
        <w:keepNext w:val="0"/>
        <w:keepLines w:val="0"/>
        <w:widowControl/>
        <w:suppressLineNumbers w:val="0"/>
        <w:spacing w:before="0" w:beforeAutospacing="0" w:after="0" w:afterAutospacing="0" w:line="18" w:lineRule="atLeast"/>
        <w:ind w:right="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为进一步支持小微企业发展，现将有关税费政策公告如下：</w:t>
      </w:r>
    </w:p>
    <w:p>
      <w:pPr>
        <w:pStyle w:val="3"/>
        <w:keepNext w:val="0"/>
        <w:keepLines w:val="0"/>
        <w:widowControl/>
        <w:numPr>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eastAsia="zh-CN"/>
        </w:rPr>
        <w:t>一、</w:t>
      </w:r>
      <w:r>
        <w:rPr>
          <w:rFonts w:hint="eastAsia" w:ascii="仿宋_GB2312" w:hAnsi="仿宋_GB2312" w:eastAsia="仿宋_GB2312" w:cs="仿宋_GB2312"/>
          <w:color w:val="333333"/>
          <w:sz w:val="32"/>
          <w:szCs w:val="32"/>
          <w:shd w:val="clear" w:fill="FFFFFF"/>
        </w:rPr>
        <w:t>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firstLine="640" w:firstLineChars="200"/>
        <w:jc w:val="both"/>
        <w:textAlignment w:val="auto"/>
        <w:rPr>
          <w:rFonts w:hint="eastAsia" w:ascii="仿宋_GB2312" w:hAnsi="仿宋_GB2312" w:eastAsia="仿宋_GB2312" w:cs="仿宋_GB2312"/>
          <w:color w:val="333333"/>
          <w:sz w:val="32"/>
          <w:szCs w:val="32"/>
          <w:shd w:val="clear" w:fill="FFFFFF"/>
          <w:lang w:eastAsia="zh-CN"/>
        </w:rPr>
      </w:pPr>
      <w:r>
        <w:rPr>
          <w:rFonts w:hint="eastAsia" w:ascii="仿宋_GB2312" w:hAnsi="仿宋_GB2312" w:eastAsia="仿宋_GB2312" w:cs="仿宋_GB2312"/>
          <w:color w:val="333333"/>
          <w:sz w:val="32"/>
          <w:szCs w:val="32"/>
          <w:shd w:val="clear" w:fill="FFFFFF"/>
          <w:lang w:eastAsia="zh-CN"/>
        </w:rPr>
        <w:t>二、</w:t>
      </w:r>
      <w:r>
        <w:rPr>
          <w:rFonts w:hint="eastAsia" w:ascii="仿宋_GB2312" w:hAnsi="仿宋_GB2312" w:eastAsia="仿宋_GB2312" w:cs="仿宋_GB2312"/>
          <w:color w:val="333333"/>
          <w:sz w:val="32"/>
          <w:szCs w:val="32"/>
          <w:shd w:val="clear" w:fill="FFFFFF"/>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r>
        <w:rPr>
          <w:rFonts w:hint="eastAsia" w:ascii="仿宋_GB2312" w:hAnsi="仿宋_GB2312" w:eastAsia="仿宋_GB2312" w:cs="仿宋_GB2312"/>
          <w:color w:val="333333"/>
          <w:sz w:val="32"/>
          <w:szCs w:val="32"/>
          <w:shd w:val="clear" w:fill="FFFFFF"/>
          <w:lang w:eastAsia="zh-CN"/>
        </w:rPr>
        <w:t>。</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val="en-US" w:eastAsia="zh-CN"/>
        </w:rPr>
        <w:t>三、</w:t>
      </w:r>
      <w:r>
        <w:rPr>
          <w:rFonts w:hint="eastAsia" w:ascii="仿宋_GB2312" w:hAnsi="仿宋_GB2312" w:eastAsia="仿宋_GB2312" w:cs="仿宋_GB2312"/>
          <w:color w:val="333333"/>
          <w:sz w:val="32"/>
          <w:szCs w:val="32"/>
          <w:shd w:val="clear" w:fill="FFFFFF"/>
        </w:rPr>
        <w:t>本公告所称小型微利企业，是指从事国家非限制和禁止行业，且同时符合年度应纳税所得额不超过300万元、从业人数不超过300人、资产总额不超过5000万元等三个条件的企业。</w:t>
      </w:r>
    </w:p>
    <w:p>
      <w:pPr>
        <w:pStyle w:val="3"/>
        <w:keepNext w:val="0"/>
        <w:keepLines w:val="0"/>
        <w:widowControl/>
        <w:numPr>
          <w:ilvl w:val="0"/>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从业人数，包括与企业建立劳动关系的职工人数和企业接受的劳务派遣用工人数。所称从业人数和资产总额指标，应按企业全年的季度平均值确定。具体计算公式如下：</w:t>
      </w:r>
    </w:p>
    <w:p>
      <w:pPr>
        <w:pStyle w:val="3"/>
        <w:keepNext w:val="0"/>
        <w:keepLines w:val="0"/>
        <w:widowControl/>
        <w:numPr>
          <w:ilvl w:val="0"/>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季度平均值＝（季初值＋季末值）÷2</w:t>
      </w:r>
    </w:p>
    <w:p>
      <w:pPr>
        <w:pStyle w:val="3"/>
        <w:keepNext w:val="0"/>
        <w:keepLines w:val="0"/>
        <w:widowControl/>
        <w:numPr>
          <w:ilvl w:val="0"/>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全年季度平均值＝全年各季度平均值之和÷4</w:t>
      </w:r>
    </w:p>
    <w:p>
      <w:pPr>
        <w:pStyle w:val="3"/>
        <w:keepNext w:val="0"/>
        <w:keepLines w:val="0"/>
        <w:widowControl/>
        <w:numPr>
          <w:ilvl w:val="0"/>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年度中间开业或者终止经营活动的，以其实际经营期作为一个纳税年度确定上述相关指标。</w:t>
      </w:r>
    </w:p>
    <w:p>
      <w:pPr>
        <w:pStyle w:val="3"/>
        <w:keepNext w:val="0"/>
        <w:keepLines w:val="0"/>
        <w:widowControl/>
        <w:numPr>
          <w:ilvl w:val="0"/>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一条规定的优惠政策。</w:t>
      </w:r>
    </w:p>
    <w:p>
      <w:pPr>
        <w:pStyle w:val="3"/>
        <w:keepNext w:val="0"/>
        <w:keepLines w:val="0"/>
        <w:widowControl/>
        <w:numPr>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eastAsia="zh-CN"/>
        </w:rPr>
        <w:t>四、</w:t>
      </w:r>
      <w:r>
        <w:rPr>
          <w:rFonts w:hint="eastAsia" w:ascii="仿宋_GB2312" w:hAnsi="仿宋_GB2312" w:eastAsia="仿宋_GB2312" w:cs="仿宋_GB2312"/>
          <w:color w:val="333333"/>
          <w:sz w:val="32"/>
          <w:szCs w:val="32"/>
          <w:shd w:val="clear" w:fill="FFFFFF"/>
        </w:rPr>
        <w:t>本公告执行期限为2022年1月1日至2024年12月31日。</w:t>
      </w:r>
    </w:p>
    <w:p>
      <w:pPr>
        <w:pStyle w:val="3"/>
        <w:keepNext w:val="0"/>
        <w:keepLines w:val="0"/>
        <w:widowControl/>
        <w:numPr>
          <w:ilvl w:val="0"/>
          <w:numId w:val="0"/>
        </w:numPr>
        <w:suppressLineNumbers w:val="0"/>
        <w:spacing w:before="0" w:beforeAutospacing="0" w:after="0" w:afterAutospacing="0" w:line="18" w:lineRule="atLeast"/>
        <w:ind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特此公告。</w:t>
      </w:r>
    </w:p>
    <w:p>
      <w:pPr>
        <w:pStyle w:val="3"/>
        <w:keepNext w:val="0"/>
        <w:keepLines w:val="0"/>
        <w:widowControl/>
        <w:suppressLineNumbers w:val="0"/>
        <w:spacing w:before="0" w:beforeAutospacing="0" w:after="0" w:afterAutospacing="0" w:line="18" w:lineRule="atLeast"/>
        <w:ind w:left="0" w:right="0" w:firstLine="420"/>
        <w:jc w:val="both"/>
        <w:rPr>
          <w:rFonts w:hint="eastAsia" w:ascii="仿宋_GB2312" w:hAnsi="仿宋_GB2312" w:eastAsia="仿宋_GB2312" w:cs="仿宋_GB2312"/>
          <w:sz w:val="32"/>
          <w:szCs w:val="32"/>
        </w:rPr>
      </w:pPr>
    </w:p>
    <w:p>
      <w:pPr>
        <w:pStyle w:val="3"/>
        <w:keepNext w:val="0"/>
        <w:keepLines w:val="0"/>
        <w:widowControl/>
        <w:suppressLineNumbers w:val="0"/>
        <w:spacing w:before="0" w:beforeAutospacing="0" w:after="0" w:afterAutospacing="0" w:line="18"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财政部 税务总局</w:t>
      </w:r>
    </w:p>
    <w:p>
      <w:pPr>
        <w:pStyle w:val="3"/>
        <w:keepNext w:val="0"/>
        <w:keepLines w:val="0"/>
        <w:widowControl/>
        <w:suppressLineNumbers w:val="0"/>
        <w:spacing w:before="0" w:beforeAutospacing="0" w:after="0" w:afterAutospacing="0" w:line="18"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2022年3月1日</w:t>
      </w:r>
      <w:bookmarkEnd w:id="0"/>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26CD2"/>
    <w:rsid w:val="32F64CB0"/>
    <w:rsid w:val="507B6DC9"/>
    <w:rsid w:val="55DC0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TML Definition"/>
    <w:basedOn w:val="5"/>
    <w:qFormat/>
    <w:uiPriority w:val="0"/>
  </w:style>
  <w:style w:type="character" w:styleId="8">
    <w:name w:val="HTML Variable"/>
    <w:basedOn w:val="5"/>
    <w:qFormat/>
    <w:uiPriority w:val="0"/>
  </w:style>
  <w:style w:type="character" w:styleId="9">
    <w:name w:val="Hyperlink"/>
    <w:basedOn w:val="5"/>
    <w:qFormat/>
    <w:uiPriority w:val="0"/>
    <w:rPr>
      <w:color w:val="0000FF"/>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character" w:customStyle="1" w:styleId="12">
    <w:name w:val="lastest"/>
    <w:basedOn w:val="5"/>
    <w:qFormat/>
    <w:uiPriority w:val="0"/>
  </w:style>
  <w:style w:type="character" w:customStyle="1" w:styleId="13">
    <w:name w:val="first-child"/>
    <w:basedOn w:val="5"/>
    <w:uiPriority w:val="0"/>
  </w:style>
  <w:style w:type="character" w:customStyle="1" w:styleId="14">
    <w:name w:val="to"/>
    <w:basedOn w:val="5"/>
    <w:uiPriority w:val="0"/>
  </w:style>
  <w:style w:type="character" w:customStyle="1" w:styleId="15">
    <w:name w:val="time"/>
    <w:basedOn w:val="5"/>
    <w:uiPriority w:val="0"/>
    <w:rPr>
      <w:color w:val="999999"/>
      <w:sz w:val="16"/>
      <w:szCs w:val="16"/>
    </w:rPr>
  </w:style>
  <w:style w:type="character" w:customStyle="1" w:styleId="16">
    <w:name w:val="time1"/>
    <w:basedOn w:val="5"/>
    <w:qFormat/>
    <w:uiPriority w:val="0"/>
    <w:rPr>
      <w:color w:val="999999"/>
      <w:sz w:val="16"/>
      <w:szCs w:val="16"/>
    </w:rPr>
  </w:style>
  <w:style w:type="character" w:customStyle="1" w:styleId="17">
    <w:name w:val="bq"/>
    <w:basedOn w:val="5"/>
    <w:qFormat/>
    <w:uiPriority w:val="0"/>
  </w:style>
  <w:style w:type="character" w:customStyle="1" w:styleId="18">
    <w:name w:val="kind"/>
    <w:basedOn w:val="5"/>
    <w:qFormat/>
    <w:uiPriority w:val="0"/>
    <w:rPr>
      <w:color w:val="336699"/>
      <w:bdr w:val="single" w:color="336699" w:sz="4" w:space="0"/>
    </w:rPr>
  </w:style>
  <w:style w:type="character" w:customStyle="1" w:styleId="19">
    <w:name w:val="sort"/>
    <w:basedOn w:val="5"/>
    <w:uiPriority w:val="0"/>
    <w:rPr>
      <w:rFonts w:ascii="华文楷体" w:hAnsi="华文楷体" w:eastAsia="华文楷体" w:cs="华文楷体"/>
      <w:color w:val="666666"/>
    </w:rPr>
  </w:style>
  <w:style w:type="character" w:customStyle="1" w:styleId="20">
    <w:name w:val="layui-layer-tabnow"/>
    <w:basedOn w:val="5"/>
    <w:uiPriority w:val="0"/>
    <w:rPr>
      <w:bdr w:val="single" w:color="CCCCCC" w:sz="4"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2022-09-19T01:17:00Z</dcterms:created>
  <dc:creator>Administrator</dc:creator>
  <cp:lastModifiedBy>陈均山</cp:lastModifiedBy>
  <dcterms:modified xsi:type="dcterms:W3CDTF">2022-09-19T02:50:03Z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