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75" w:lineRule="atLeast"/>
        <w:jc w:val="center"/>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rPr>
        <w:t>国家税务总局 财政部关于制造业中小微企业继续延缓缴纳部分税费有关事项的公告</w:t>
      </w:r>
    </w:p>
    <w:p>
      <w:pPr>
        <w:widowControl/>
        <w:spacing w:before="150" w:line="600" w:lineRule="atLeast"/>
        <w:jc w:val="center"/>
        <w:outlineLvl w:val="2"/>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国家税务总局 财政部公告2022年第17号</w:t>
      </w:r>
    </w:p>
    <w:p>
      <w:pPr>
        <w:widowControl/>
        <w:spacing w:before="150" w:line="600" w:lineRule="atLeast"/>
        <w:jc w:val="center"/>
        <w:outlineLvl w:val="2"/>
        <w:rPr>
          <w:rFonts w:hint="eastAsia" w:ascii="楷体_GB2312" w:hAnsi="楷体_GB2312" w:eastAsia="楷体_GB2312" w:cs="楷体_GB2312"/>
          <w:color w:val="auto"/>
          <w:kern w:val="0"/>
          <w:sz w:val="28"/>
          <w:szCs w:val="28"/>
        </w:rPr>
      </w:pPr>
    </w:p>
    <w:p>
      <w:pPr>
        <w:pStyle w:val="5"/>
        <w:shd w:val="clear" w:color="auto" w:fill="FFFFFF"/>
        <w:spacing w:before="0" w:beforeAutospacing="0" w:after="150" w:afterAutospacing="0" w:line="450" w:lineRule="atLeas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为深入贯彻落实党中央、国务院决策部署，进一步支持制造业中小微企业发展，现将制造业中小微企业（含个人独资企业、合伙企业、个体工商户，下同）继续延缓缴纳部分税费政策有关事项公告如下：</w:t>
      </w:r>
    </w:p>
    <w:p>
      <w:pPr>
        <w:pStyle w:val="5"/>
        <w:numPr>
          <w:ilvl w:val="0"/>
          <w:numId w:val="1"/>
        </w:numPr>
        <w:shd w:val="clear" w:color="auto" w:fill="FFFFFF"/>
        <w:spacing w:before="0" w:beforeAutospacing="0" w:after="150" w:afterAutospacing="0" w:line="450" w:lineRule="atLeas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自2022年9月1日起，按照《国家税务总局 财政部关于延续实施制造业中小微企业延缓缴纳部分税费有关事项的公告》（2022年第2号）已享受延缓缴纳税费50%的制造业中型企业和延缓缴纳税费100%的制造业小微企业，其已缓缴税费的缓缴期限届满后继续延长4个月。</w:t>
      </w:r>
    </w:p>
    <w:p>
      <w:pPr>
        <w:pStyle w:val="5"/>
        <w:numPr>
          <w:ilvl w:val="0"/>
          <w:numId w:val="1"/>
        </w:numPr>
        <w:shd w:val="clear" w:color="auto" w:fill="FFFFFF"/>
        <w:spacing w:before="0" w:beforeAutospacing="0" w:after="150" w:afterAutospacing="0" w:line="450" w:lineRule="atLeast"/>
        <w:ind w:left="0" w:leftChars="0"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延缓缴纳的税费包括所属期为2021年11月、12月，2022年2月、3月、4月、5月、6月（按月缴纳）或者2021年第四季度，2022年第一季度、第二季度（按季缴纳）已按规定缓缴的企业所得税、个人所得税、国内增值税、国内消费税及附征的城市维护建设税、教育费附加、地方教育附加，不包括代扣代缴、代收代缴以及向税务机关申请代开发票时缴纳的税费。</w:t>
      </w:r>
    </w:p>
    <w:p>
      <w:pPr>
        <w:pStyle w:val="5"/>
        <w:numPr>
          <w:ilvl w:val="0"/>
          <w:numId w:val="1"/>
        </w:numPr>
        <w:shd w:val="clear" w:color="auto" w:fill="FFFFFF"/>
        <w:spacing w:before="0" w:beforeAutospacing="0" w:after="150" w:afterAutospacing="0" w:line="450" w:lineRule="atLeast"/>
        <w:ind w:left="0" w:leftChars="0"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上述企业2021年11月和2022年2月延缓缴纳的税费在2022年9月1日后至本公告发布前已缴纳入库的，可自愿选择申请办理退税（费）并享受延续缓缴政策。</w:t>
      </w:r>
    </w:p>
    <w:p>
      <w:pPr>
        <w:pStyle w:val="5"/>
        <w:numPr>
          <w:ilvl w:val="0"/>
          <w:numId w:val="1"/>
        </w:numPr>
        <w:shd w:val="clear" w:color="auto" w:fill="FFFFFF"/>
        <w:spacing w:before="0" w:beforeAutospacing="0" w:after="150" w:afterAutospacing="0" w:line="450" w:lineRule="atLeast"/>
        <w:ind w:left="0" w:leftChars="0"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本公告规定的缓缴期限届满后，纳税人应依法缴纳相应月份或者季度的税费，符合《中华人民共和国税收征收管理法》及其实施细则规定可以申请延期缴纳税款的，可依法申请办理延期缴纳税款。</w:t>
      </w:r>
    </w:p>
    <w:p>
      <w:pPr>
        <w:pStyle w:val="5"/>
        <w:numPr>
          <w:ilvl w:val="0"/>
          <w:numId w:val="1"/>
        </w:numPr>
        <w:shd w:val="clear" w:color="auto" w:fill="FFFFFF"/>
        <w:spacing w:before="0" w:beforeAutospacing="0" w:after="150" w:afterAutospacing="0" w:line="450" w:lineRule="atLeast"/>
        <w:ind w:left="0" w:leftChars="0"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纳税人不符合本公告规定条件，骗取享受缓缴税费政策的，税务机关将依照《中华人民共和国税收征收管理法》及其实施细则等有关规定严肃处理。</w:t>
      </w:r>
    </w:p>
    <w:p>
      <w:pPr>
        <w:pStyle w:val="5"/>
        <w:numPr>
          <w:ilvl w:val="0"/>
          <w:numId w:val="1"/>
        </w:numPr>
        <w:shd w:val="clear" w:color="auto" w:fill="FFFFFF"/>
        <w:spacing w:before="0" w:beforeAutospacing="0" w:after="150" w:afterAutospacing="0" w:line="450" w:lineRule="atLeast"/>
        <w:ind w:left="0" w:leftChars="0"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本公告自发布之日起施行。</w:t>
      </w:r>
    </w:p>
    <w:p>
      <w:pPr>
        <w:pStyle w:val="5"/>
        <w:numPr>
          <w:numId w:val="0"/>
        </w:numPr>
        <w:shd w:val="clear" w:color="auto" w:fill="FFFFFF"/>
        <w:spacing w:before="0" w:beforeAutospacing="0" w:after="150" w:afterAutospacing="0" w:line="450" w:lineRule="atLeast"/>
        <w:ind w:firstLine="640" w:firstLineChars="200"/>
        <w:rPr>
          <w:rFonts w:hint="eastAsia" w:ascii="仿宋_GB2312" w:hAnsi="仿宋_GB2312" w:eastAsia="仿宋_GB2312" w:cs="仿宋_GB2312"/>
          <w:color w:val="333333"/>
          <w:sz w:val="32"/>
          <w:szCs w:val="32"/>
        </w:rPr>
      </w:pPr>
      <w:bookmarkStart w:id="0" w:name="_GoBack"/>
      <w:bookmarkEnd w:id="0"/>
      <w:r>
        <w:rPr>
          <w:rFonts w:hint="eastAsia" w:ascii="仿宋_GB2312" w:hAnsi="仿宋_GB2312" w:eastAsia="仿宋_GB2312" w:cs="仿宋_GB2312"/>
          <w:color w:val="333333"/>
          <w:sz w:val="32"/>
          <w:szCs w:val="32"/>
        </w:rPr>
        <w:t>特此公告。</w:t>
      </w:r>
    </w:p>
    <w:p>
      <w:pPr>
        <w:pStyle w:val="5"/>
        <w:shd w:val="clear" w:color="auto" w:fill="FFFFFF"/>
        <w:spacing w:before="0" w:beforeAutospacing="0" w:after="150" w:afterAutospacing="0" w:line="450" w:lineRule="atLeast"/>
        <w:ind w:firstLine="48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                                                              </w:t>
      </w:r>
    </w:p>
    <w:p>
      <w:pPr>
        <w:pStyle w:val="5"/>
        <w:shd w:val="clear" w:color="auto" w:fill="FFFFFF"/>
        <w:spacing w:before="0" w:beforeAutospacing="0" w:after="150" w:afterAutospacing="0" w:line="450" w:lineRule="atLeast"/>
        <w:ind w:firstLine="480"/>
        <w:jc w:val="righ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国家税务总局 财政部</w:t>
      </w:r>
    </w:p>
    <w:p>
      <w:pPr>
        <w:pStyle w:val="5"/>
        <w:shd w:val="clear" w:color="auto" w:fill="FFFFFF"/>
        <w:spacing w:before="0" w:beforeAutospacing="0" w:after="150" w:afterAutospacing="0" w:line="450" w:lineRule="atLeast"/>
        <w:ind w:firstLine="480"/>
        <w:jc w:val="righ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2022年9月14日</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D75B02"/>
    <w:multiLevelType w:val="singleLevel"/>
    <w:tmpl w:val="38D75B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52A2"/>
    <w:rsid w:val="00911BE9"/>
    <w:rsid w:val="00DC52A2"/>
    <w:rsid w:val="5BC0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标题 3 Char"/>
    <w:basedOn w:val="7"/>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134</Words>
  <Characters>769</Characters>
  <Lines>6</Lines>
  <Paragraphs>1</Paragraphs>
  <TotalTime>2</TotalTime>
  <ScaleCrop>false</ScaleCrop>
  <LinksUpToDate>false</LinksUpToDate>
  <CharactersWithSpaces>902</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2022-09-19T01:28:00Z</dcterms:created>
  <dc:creator>cloud</dc:creator>
  <cp:lastModifiedBy>陈均山</cp:lastModifiedBy>
  <dcterms:modified xsi:type="dcterms:W3CDTF">2022-09-19T01:35:36Z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