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  <w:t>附件</w:t>
      </w: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广东省电子税务局</w:t>
      </w: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数电发票代开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Hans"/>
        </w:rPr>
        <w:t>功能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操作手册</w:t>
      </w:r>
    </w:p>
    <w:p>
      <w:pPr>
        <w:jc w:val="both"/>
      </w:pPr>
      <w:bookmarkStart w:id="0" w:name="_GoBack"/>
      <w:bookmarkEnd w:id="0"/>
    </w:p>
    <w:p>
      <w:pPr>
        <w:pStyle w:val="3"/>
        <w:numPr>
          <w:ilvl w:val="0"/>
          <w:numId w:val="1"/>
        </w:numPr>
        <w:spacing w:line="240" w:lineRule="auto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适用范围</w:t>
      </w:r>
    </w:p>
    <w:tbl>
      <w:tblPr>
        <w:tblStyle w:val="8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5"/>
        <w:gridCol w:w="54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822" w:type="pct"/>
            <w:vAlign w:val="center"/>
          </w:tcPr>
          <w:p>
            <w:pPr>
              <w:widowControl w:val="0"/>
              <w:jc w:val="center"/>
              <w:rPr>
                <w:rFonts w:hint="default" w:eastAsia="宋体"/>
                <w:b/>
                <w:bCs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4"/>
                <w:vertAlign w:val="baseline"/>
                <w:lang w:val="en-US" w:eastAsia="zh-CN"/>
              </w:rPr>
              <w:t>适用主体</w:t>
            </w:r>
          </w:p>
        </w:tc>
        <w:tc>
          <w:tcPr>
            <w:tcW w:w="3177" w:type="pct"/>
            <w:vAlign w:val="center"/>
          </w:tcPr>
          <w:p>
            <w:pPr>
              <w:widowControl w:val="0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自然人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822" w:type="pct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/>
                <w:b/>
                <w:bCs/>
                <w:sz w:val="22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4"/>
                <w:lang w:val="en-US" w:eastAsia="zh-CN"/>
              </w:rPr>
              <w:t>适用业务类型</w:t>
            </w:r>
          </w:p>
          <w:p>
            <w:pPr>
              <w:widowControl w:val="0"/>
              <w:jc w:val="center"/>
              <w:rPr>
                <w:rFonts w:hint="default"/>
                <w:b/>
                <w:bCs/>
                <w:sz w:val="22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4"/>
                <w:lang w:val="en-US" w:eastAsia="zh-CN"/>
              </w:rPr>
              <w:t>（暂不包含出租不动产）</w:t>
            </w:r>
          </w:p>
        </w:tc>
        <w:tc>
          <w:tcPr>
            <w:tcW w:w="3177" w:type="pct"/>
            <w:vAlign w:val="center"/>
          </w:tcPr>
          <w:p>
            <w:pPr>
              <w:widowControl w:val="0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货物、服务等一般代开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822" w:type="pct"/>
            <w:vMerge w:val="continue"/>
            <w:vAlign w:val="center"/>
          </w:tcPr>
          <w:p>
            <w:pPr>
              <w:widowControl w:val="0"/>
              <w:jc w:val="both"/>
              <w:rPr>
                <w:rFonts w:hint="eastAsia"/>
                <w:vertAlign w:val="baseline"/>
              </w:rPr>
            </w:pPr>
          </w:p>
        </w:tc>
        <w:tc>
          <w:tcPr>
            <w:tcW w:w="3177" w:type="pct"/>
            <w:vAlign w:val="center"/>
          </w:tcPr>
          <w:p>
            <w:pPr>
              <w:widowControl w:val="0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建筑服务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822" w:type="pct"/>
            <w:vMerge w:val="continue"/>
            <w:vAlign w:val="center"/>
          </w:tcPr>
          <w:p>
            <w:pPr>
              <w:widowControl w:val="0"/>
              <w:jc w:val="both"/>
              <w:rPr>
                <w:rFonts w:hint="eastAsia"/>
                <w:vertAlign w:val="baseline"/>
              </w:rPr>
            </w:pPr>
          </w:p>
        </w:tc>
        <w:tc>
          <w:tcPr>
            <w:tcW w:w="3177" w:type="pct"/>
            <w:vAlign w:val="center"/>
          </w:tcPr>
          <w:p>
            <w:pPr>
              <w:widowControl w:val="0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货物运输服务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822" w:type="pct"/>
            <w:vMerge w:val="continue"/>
            <w:vAlign w:val="center"/>
          </w:tcPr>
          <w:p>
            <w:pPr>
              <w:widowControl w:val="0"/>
              <w:jc w:val="both"/>
              <w:rPr>
                <w:rFonts w:hint="eastAsia"/>
                <w:vertAlign w:val="baseline"/>
              </w:rPr>
            </w:pPr>
          </w:p>
        </w:tc>
        <w:tc>
          <w:tcPr>
            <w:tcW w:w="3177" w:type="pct"/>
            <w:vAlign w:val="center"/>
          </w:tcPr>
          <w:p>
            <w:pPr>
              <w:widowControl w:val="0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旅客运输服务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822" w:type="pct"/>
            <w:vMerge w:val="continue"/>
            <w:vAlign w:val="center"/>
          </w:tcPr>
          <w:p>
            <w:pPr>
              <w:widowControl w:val="0"/>
              <w:jc w:val="both"/>
              <w:rPr>
                <w:rFonts w:hint="eastAsia"/>
                <w:vertAlign w:val="baseline"/>
              </w:rPr>
            </w:pPr>
          </w:p>
        </w:tc>
        <w:tc>
          <w:tcPr>
            <w:tcW w:w="3177" w:type="pct"/>
            <w:vAlign w:val="center"/>
          </w:tcPr>
          <w:p>
            <w:pPr>
              <w:widowControl w:val="0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自产农产品销售</w:t>
            </w:r>
          </w:p>
        </w:tc>
      </w:tr>
    </w:tbl>
    <w:p>
      <w:pPr>
        <w:rPr>
          <w:rFonts w:hint="eastAsia"/>
        </w:rPr>
      </w:pPr>
    </w:p>
    <w:p>
      <w:pPr>
        <w:pStyle w:val="3"/>
        <w:numPr>
          <w:ilvl w:val="0"/>
          <w:numId w:val="1"/>
        </w:numPr>
        <w:spacing w:line="240" w:lineRule="auto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操作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Hans"/>
        </w:rPr>
        <w:t>指引</w:t>
      </w:r>
    </w:p>
    <w:p>
      <w:pPr>
        <w:pStyle w:val="4"/>
        <w:numPr>
          <w:ilvl w:val="0"/>
          <w:numId w:val="2"/>
        </w:numPr>
        <w:spacing w:line="240" w:lineRule="auto"/>
        <w:outlineLvl w:val="1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数电发票代开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申请</w:t>
      </w:r>
    </w:p>
    <w:p>
      <w:pPr>
        <w:outlineLvl w:val="2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1.</w:t>
      </w:r>
      <w:r>
        <w:rPr>
          <w:rFonts w:hint="eastAsia" w:ascii="楷体_GB2312" w:hAnsi="楷体_GB2312" w:eastAsia="楷体_GB2312" w:cs="楷体_GB2312"/>
          <w:sz w:val="28"/>
          <w:szCs w:val="28"/>
          <w:lang w:eastAsia="zh-Hans"/>
        </w:rPr>
        <w:t>通过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数电发票代开菜单进入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Hans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以自然人身份登录广东省电子税务局，</w:t>
      </w:r>
      <w:r>
        <w:rPr>
          <w:rFonts w:hint="eastAsia" w:ascii="仿宋_GB2312" w:hAnsi="仿宋_GB2312" w:eastAsia="仿宋_GB2312" w:cs="仿宋_GB2312"/>
          <w:sz w:val="22"/>
          <w:szCs w:val="22"/>
          <w:lang w:eastAsia="zh-Hans"/>
        </w:rPr>
        <w:t>选择菜单【我要办税-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事项办理</w:t>
      </w:r>
      <w:r>
        <w:rPr>
          <w:rFonts w:hint="eastAsia" w:ascii="仿宋_GB2312" w:hAnsi="仿宋_GB2312" w:eastAsia="仿宋_GB2312" w:cs="仿宋_GB2312"/>
          <w:sz w:val="22"/>
          <w:szCs w:val="22"/>
          <w:lang w:eastAsia="zh-Hans"/>
        </w:rPr>
        <w:t>-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数电发票代开】进入数电发票代开申请功能。</w:t>
      </w:r>
    </w:p>
    <w:p>
      <w:pPr>
        <w:pStyle w:val="2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233045</wp:posOffset>
            </wp:positionV>
            <wp:extent cx="5266690" cy="2375535"/>
            <wp:effectExtent l="0" t="0" r="10160" b="571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0" w:firstLineChars="0"/>
        <w:outlineLvl w:val="2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default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147955</wp:posOffset>
            </wp:positionV>
            <wp:extent cx="5266690" cy="2375535"/>
            <wp:effectExtent l="0" t="0" r="10160" b="571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2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.</w:t>
      </w:r>
      <w:r>
        <w:rPr>
          <w:rFonts w:hint="eastAsia" w:ascii="楷体_GB2312" w:hAnsi="楷体_GB2312" w:cs="楷体_GB2312"/>
          <w:sz w:val="28"/>
          <w:szCs w:val="28"/>
          <w:lang w:val="en-US" w:eastAsia="zh-CN"/>
        </w:rPr>
        <w:t>新增代开申请单并填写信息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（1）点击[申请代开]按钮，或根据自身业务需求选择适用的服务类型按钮进入代开申请单页面。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①建筑、安装、修缮等服务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选择[建筑服务]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②陆路、水路、航空等货物运输服务选择[货物运输服务]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instrText xml:space="preserve"> = 3 \* GB3 \* MERGEFORMAT </w:instrTex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③</w: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陆路、水路、航空等旅客运输服务选择[旅客运输服务]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instrText xml:space="preserve"> = 4 \* GB3 \* MERGEFORMAT </w:instrTex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④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适用“自产农产品免征增值税”优惠政策的选择[自产农产品销售]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instrText xml:space="preserve"> = 5 \* GB3 \* MERGEFORMAT </w:instrTex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⑤</w: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除建筑服务、货物运输服务、旅客运输服务、自产农产品销售、出租出售不动产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等特务业务</w: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外的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选择[</w: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一般货物、服务、劳务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]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143510</wp:posOffset>
            </wp:positionV>
            <wp:extent cx="5266690" cy="2375535"/>
            <wp:effectExtent l="0" t="0" r="10160" b="571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（2）进入“数电发票代开新增”申请单界面，根据实际信息填写申请表。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①填写“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基础信息</w: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”和“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付款方</w: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”中带“*”号的必录项；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其中业务发生地和代开税务机关仅支持选择试点地区和税务机关。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②系统自动带出“收款方”栏次信息；其中减免税税类型默认为“无”（即默认享受“3%减按1%征收率征收增值税”），可根据实际需求更改减免税类型。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instrText xml:space="preserve"> = 3 \* GB3 \* MERGEFORMAT </w:instrTex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③</w: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在“</w: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货物或应税劳务、服务明细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”栏次点击[新增行]，填写带</w: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“*”号的必录项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color w:val="FF0000"/>
          <w:sz w:val="22"/>
          <w:szCs w:val="2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instrText xml:space="preserve"> = 4 \* GB3 \* MERGEFORMAT </w:instrTex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④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核对税费明细信息并按要求上传附件资料。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3067050</wp:posOffset>
            </wp:positionV>
            <wp:extent cx="5265420" cy="2352040"/>
            <wp:effectExtent l="0" t="0" r="11430" b="10160"/>
            <wp:wrapSquare wrapText="bothSides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4445</wp:posOffset>
            </wp:positionV>
            <wp:extent cx="5272405" cy="2848610"/>
            <wp:effectExtent l="0" t="0" r="4445" b="8890"/>
            <wp:wrapSquare wrapText="bothSides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52390" cy="2337435"/>
            <wp:effectExtent l="0" t="0" r="10160" b="5715"/>
            <wp:docPr id="5" name="图片 5" descr="618e8fcc99e59ba638b44d189c9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8e8fcc99e59ba638b44d189c933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ind w:firstLine="0" w:firstLineChars="0"/>
        <w:outlineLvl w:val="2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.</w:t>
      </w:r>
      <w:r>
        <w:rPr>
          <w:rFonts w:hint="eastAsia" w:ascii="楷体_GB2312" w:hAnsi="楷体_GB2312" w:cs="楷体_GB2312"/>
          <w:sz w:val="28"/>
          <w:szCs w:val="28"/>
          <w:lang w:val="en-US" w:eastAsia="zh-CN"/>
        </w:rPr>
        <w:t>保存代开申请单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（1）信息核对无误后点击[保存]按钮；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（2）保存成功则点击[前往增值税普票发票查询功能]按钮查看申请单进行提交；保存不成功则根据相应提示修改完善申请单信息后，再进行保存。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130810</wp:posOffset>
            </wp:positionV>
            <wp:extent cx="5273040" cy="3263900"/>
            <wp:effectExtent l="0" t="0" r="3810" b="12700"/>
            <wp:wrapSquare wrapText="bothSides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（3）保存时弹出“线下辅导代开”风险提示单的，请纳税人根据提示内容携带相关资料到线下办理；弹出“提供资料后代开”风险提示单的，请纳税人根据提示内容上传相关附件资料；弹出“提示后代开”风险提示单的，请纳税人谨慎核对相关风险信息后保存提交申请单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188595</wp:posOffset>
            </wp:positionV>
            <wp:extent cx="5034280" cy="2747010"/>
            <wp:effectExtent l="0" t="0" r="13970" b="1524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.</w:t>
      </w:r>
      <w:r>
        <w:rPr>
          <w:rFonts w:hint="eastAsia" w:ascii="楷体_GB2312" w:hAnsi="楷体_GB2312" w:cs="楷体_GB2312"/>
          <w:sz w:val="28"/>
          <w:szCs w:val="28"/>
          <w:lang w:val="en-US" w:eastAsia="zh-CN"/>
        </w:rPr>
        <w:t>提交代开申请单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  <w:t>（1）进入“申请单管理”页面，勾选状态为“未提交”的申请单，支持多笔勾选。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可在新增代开申请单保存成功页面点击[前往增值税普票发票查询功能]按钮进入</w:t>
      </w:r>
      <w:r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  <w:t>“申请单管理”页面。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②也可在“数电发票代开”功能首页点击[增值税普票发票查询]按钮进入</w:t>
      </w:r>
      <w:r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  <w:t>“申请单管理”页面。</w:t>
      </w:r>
    </w:p>
    <w:p>
      <w:pPr>
        <w:pStyle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170180</wp:posOffset>
            </wp:positionV>
            <wp:extent cx="5302885" cy="2392045"/>
            <wp:effectExtent l="0" t="0" r="12065" b="8255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  <w:t>点击[提交]按钮提交申请单，提交成功的且需等待税务人员审核的，可通过广东税务 APP、粤税通、广东税务微信公众号、微信“扫一扫”扫描二维码随时关注事项办理进度，也可通过申办流水号，到广东税务APP、广东税务微信公众号、粤税通上的【事项进度查询】功能查询。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145415</wp:posOffset>
            </wp:positionV>
            <wp:extent cx="5009515" cy="2649220"/>
            <wp:effectExtent l="0" t="0" r="635" b="17780"/>
            <wp:wrapSquare wrapText="bothSides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0" w:firstLine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171450</wp:posOffset>
            </wp:positionV>
            <wp:extent cx="5215255" cy="2652395"/>
            <wp:effectExtent l="0" t="0" r="4445" b="14605"/>
            <wp:wrapSquare wrapText="bothSides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0" w:firstLineChars="0"/>
        <w:outlineLvl w:val="2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.</w:t>
      </w:r>
      <w:r>
        <w:rPr>
          <w:rFonts w:hint="eastAsia" w:ascii="楷体_GB2312" w:hAnsi="楷体_GB2312" w:cs="楷体_GB2312"/>
          <w:sz w:val="28"/>
          <w:szCs w:val="28"/>
          <w:lang w:val="en-US" w:eastAsia="zh-CN"/>
        </w:rPr>
        <w:t>缴款开票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  <w:t>（1）针对状态为“审核通过”的申请单，点击[缴款]按钮进行税款缴纳，支持聚合支付、银联缴款、微信/支付宝/云闪付缴款。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164465</wp:posOffset>
            </wp:positionV>
            <wp:extent cx="4707890" cy="2194560"/>
            <wp:effectExtent l="0" t="0" r="16510" b="15240"/>
            <wp:wrapSquare wrapText="bothSides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-4826000</wp:posOffset>
            </wp:positionH>
            <wp:positionV relativeFrom="paragraph">
              <wp:posOffset>207010</wp:posOffset>
            </wp:positionV>
            <wp:extent cx="4802505" cy="2550795"/>
            <wp:effectExtent l="0" t="0" r="17145" b="1905"/>
            <wp:wrapSquare wrapText="bothSides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  <w:t>针对状态为“已扣税款”的申请单，点击[完税证明打印]进行完税证明打印，点击[开具发票]进行发票开具，发票开具成功后可点击[查看发票]按钮，支持二维码、PFD、OFD、XML等多种格式下载发票。</w:t>
      </w:r>
    </w:p>
    <w:p>
      <w:pPr>
        <w:pStyle w:val="2"/>
        <w:widowControl w:val="0"/>
        <w:numPr>
          <w:ilvl w:val="0"/>
          <w:numId w:val="0"/>
        </w:numPr>
        <w:spacing w:line="660" w:lineRule="exact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243840</wp:posOffset>
            </wp:positionV>
            <wp:extent cx="4689475" cy="2183130"/>
            <wp:effectExtent l="0" t="0" r="15875" b="7620"/>
            <wp:wrapSquare wrapText="bothSides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 w:val="0"/>
        <w:numPr>
          <w:ilvl w:val="0"/>
          <w:numId w:val="0"/>
        </w:numPr>
        <w:spacing w:line="660" w:lineRule="exact"/>
        <w:jc w:val="both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660" w:lineRule="exact"/>
        <w:jc w:val="both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660" w:lineRule="exact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161290</wp:posOffset>
            </wp:positionV>
            <wp:extent cx="5028565" cy="3790315"/>
            <wp:effectExtent l="0" t="0" r="635" b="635"/>
            <wp:wrapSquare wrapText="bothSides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2"/>
        </w:numPr>
        <w:spacing w:line="240" w:lineRule="auto"/>
        <w:outlineLvl w:val="1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数电发票代开</w:t>
      </w:r>
      <w:r>
        <w:rPr>
          <w:rFonts w:hint="eastAsia" w:ascii="黑体" w:hAnsi="黑体" w:cs="黑体"/>
          <w:b w:val="0"/>
          <w:bCs/>
          <w:sz w:val="28"/>
          <w:szCs w:val="28"/>
          <w:lang w:val="en-US" w:eastAsia="zh-CN"/>
        </w:rPr>
        <w:t>管理</w:t>
      </w:r>
    </w:p>
    <w:p>
      <w:pPr>
        <w:outlineLvl w:val="2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1.查询申请单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jc w:val="left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在“数电发票代开”功能首页点击[增值税普票发票查询]按钮进入</w:t>
      </w:r>
      <w:r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  <w:t>“申请单管理”页面，录入查询条件，点击[查询]按钮可以查询当前登录人在广东电子税务局保存提交的代开申请单。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105410</wp:posOffset>
            </wp:positionV>
            <wp:extent cx="4899660" cy="2210435"/>
            <wp:effectExtent l="0" t="0" r="15240" b="18415"/>
            <wp:wrapSquare wrapText="bothSides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outlineLvl w:val="2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163830</wp:posOffset>
            </wp:positionV>
            <wp:extent cx="5268595" cy="1858645"/>
            <wp:effectExtent l="0" t="0" r="8255" b="8255"/>
            <wp:wrapSquare wrapText="bothSides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2.查看修改申请单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jc w:val="left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点击红字申请单单号可以查看申请单详情，操作栏支持预览发票、查看pdf版的申报单、修改申请单、查看发票等操作；其中仅“未提交”状态的申请单支持修改和删除。</w:t>
      </w:r>
    </w:p>
    <w:p>
      <w:pPr>
        <w:outlineLvl w:val="2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207010</wp:posOffset>
            </wp:positionV>
            <wp:extent cx="5268595" cy="1858645"/>
            <wp:effectExtent l="0" t="0" r="8255" b="8255"/>
            <wp:wrapSquare wrapText="bothSides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3.确认/放弃退回的申请单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1110615</wp:posOffset>
            </wp:positionV>
            <wp:extent cx="5265420" cy="1739265"/>
            <wp:effectExtent l="0" t="0" r="11430" b="13335"/>
            <wp:wrapSquare wrapText="bothSides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税务人员审核过程中修改申请单信息并退回给纳税人确认的，申请单状态为“退回申请单”，点击[确认申请单]按钮进入查看申请单页面，申请单底部“待确认信息”栏次展示税务人员修改的申请单信息内容，纳税人可根据实际情况确认或者放弃该申请单。</w:t>
      </w:r>
    </w:p>
    <w:p>
      <w:pPr>
        <w:pStyle w:val="4"/>
        <w:numPr>
          <w:ilvl w:val="0"/>
          <w:numId w:val="2"/>
        </w:numPr>
        <w:spacing w:line="240" w:lineRule="auto"/>
        <w:outlineLvl w:val="1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89535</wp:posOffset>
            </wp:positionH>
            <wp:positionV relativeFrom="page">
              <wp:posOffset>1218565</wp:posOffset>
            </wp:positionV>
            <wp:extent cx="5268595" cy="2284095"/>
            <wp:effectExtent l="0" t="0" r="8255" b="1905"/>
            <wp:wrapTopAndBottom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数电发票代开作废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jc w:val="left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  <w:t>勾选需要作废申请的申请单，点击[作废申请]按钮进行申请单作废，未提交和已开具发票的申请单不支持作废。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67945</wp:posOffset>
            </wp:positionV>
            <wp:extent cx="5114925" cy="2779395"/>
            <wp:effectExtent l="0" t="0" r="9525" b="1905"/>
            <wp:wrapSquare wrapText="bothSides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针对状态为“未提交”的，未提交的不支持作废，可进行修改或删除操作。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②针对状态为“审核已通过”的，点击</w:t>
      </w:r>
      <w:r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  <w:t>[作废申请]按钮并确认无误后作废成功。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instrText xml:space="preserve"> = 3 \* GB3 \* MERGEFORMAT </w:instrTex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③</w:t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针对状态为“已扣税款”的，需录入作废原因后方可提交作废申请。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63500</wp:posOffset>
            </wp:positionV>
            <wp:extent cx="4982845" cy="2497455"/>
            <wp:effectExtent l="0" t="0" r="8255" b="17145"/>
            <wp:wrapSquare wrapText="bothSides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331470</wp:posOffset>
            </wp:positionV>
            <wp:extent cx="5038725" cy="2475230"/>
            <wp:effectExtent l="0" t="0" r="9525" b="1270"/>
            <wp:wrapSquare wrapText="bothSides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instrText xml:space="preserve"> = 4 \* GB3 \* MERGEFORMAT </w:instrTex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  <w:t>④</w:t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  <w:t>针对状态为“打印成功”的，已开具发票的申请单不支持作废，可进行红冲申请。</w:t>
      </w:r>
    </w:p>
    <w:p>
      <w:pPr>
        <w:pStyle w:val="4"/>
        <w:numPr>
          <w:ilvl w:val="0"/>
          <w:numId w:val="2"/>
        </w:numPr>
        <w:spacing w:line="240" w:lineRule="auto"/>
        <w:outlineLvl w:val="1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数电发票代开</w:t>
      </w:r>
      <w:r>
        <w:rPr>
          <w:rFonts w:hint="eastAsia" w:ascii="黑体" w:hAnsi="黑体" w:cs="黑体"/>
          <w:b w:val="0"/>
          <w:bCs/>
          <w:sz w:val="28"/>
          <w:szCs w:val="28"/>
          <w:lang w:val="en-US" w:eastAsia="zh-CN"/>
        </w:rPr>
        <w:t>红冲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0" w:firstLineChars="200"/>
        <w:jc w:val="left"/>
        <w:textAlignment w:val="auto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2"/>
          <w:szCs w:val="22"/>
          <w:lang w:val="en-US" w:eastAsia="zh-CN" w:bidi="ar-SA"/>
        </w:rPr>
        <w:t>针对代开发票已开具成功但需要进行红冲的，点击申请单管理页面下方温馨提示[发票代开红冲]按钮，跳转电票平台进行代开发票红冲操作。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2988945"/>
            <wp:effectExtent l="0" t="0" r="6985" b="190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line="660" w:lineRule="exact"/>
        <w:jc w:val="both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660" w:lineRule="exact"/>
        <w:jc w:val="both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660" w:lineRule="exact"/>
        <w:jc w:val="both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660" w:lineRule="exact"/>
        <w:jc w:val="both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660" w:lineRule="exact"/>
        <w:jc w:val="both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仿宋_GB2312" w:hAnsi="仿宋_GB2312" w:eastAsia="仿宋_GB2312" w:cs="仿宋_GB2312"/>
          <w:sz w:val="22"/>
          <w:szCs w:val="2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仿宋_GB2312" w:hAnsi="仿宋_GB2312" w:eastAsia="仿宋_GB2312" w:cs="仿宋_GB2312"/>
          <w:b/>
          <w:bCs/>
          <w:sz w:val="22"/>
          <w:szCs w:val="2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9113E6"/>
    <w:multiLevelType w:val="singleLevel"/>
    <w:tmpl w:val="C09113E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AF47123"/>
    <w:multiLevelType w:val="singleLevel"/>
    <w:tmpl w:val="3AF47123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6246B672"/>
    <w:multiLevelType w:val="singleLevel"/>
    <w:tmpl w:val="6246B672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485758"/>
    <w:rsid w:val="28683D37"/>
    <w:rsid w:val="294365D4"/>
    <w:rsid w:val="484C1B8A"/>
    <w:rsid w:val="5148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Calibri" w:hAnsi="Calibri" w:eastAsia="宋体" w:cs="Times New Roman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 Indent1"/>
    <w:basedOn w:val="1"/>
    <w:qFormat/>
    <w:uiPriority w:val="0"/>
    <w:pPr>
      <w:spacing w:line="660" w:lineRule="exact"/>
      <w:ind w:firstLine="720" w:firstLineChars="200"/>
    </w:pPr>
    <w:rPr>
      <w:rFonts w:eastAsia="楷体_GB2312"/>
      <w:sz w:val="36"/>
      <w:szCs w:val="36"/>
    </w:rPr>
  </w:style>
  <w:style w:type="paragraph" w:styleId="5">
    <w:name w:val="Body Text"/>
    <w:basedOn w:val="1"/>
    <w:next w:val="1"/>
    <w:qFormat/>
    <w:uiPriority w:val="0"/>
    <w:pPr>
      <w:widowControl w:val="0"/>
      <w:spacing w:after="240"/>
      <w:jc w:val="left"/>
    </w:pPr>
    <w:rPr>
      <w:rFonts w:ascii="Arial" w:hAnsi="Arial" w:eastAsia="等线" w:cs="宋体"/>
      <w:kern w:val="2"/>
      <w:sz w:val="20"/>
      <w:szCs w:val="22"/>
      <w:lang w:val="en-US" w:eastAsia="zh-CN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4844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2023-09-07T07:32:00Z</dcterms:created>
  <dc:creator>朱星亮</dc:creator>
  <cp:lastModifiedBy>梁思欣L</cp:lastModifiedBy>
  <dcterms:modified xsi:type="dcterms:W3CDTF">2023-09-22T08:09:10Z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