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Fonts w:hint="eastAsia"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国家税务总局韶关市税务局</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Fonts w:hint="eastAsia"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列名大企业名册管理办法（试行）</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简体" w:hAnsi="宋体" w:eastAsia="方正小标宋简体" w:cs="宋体"/>
          <w:b/>
          <w:bCs/>
          <w:kern w:val="0"/>
          <w:sz w:val="44"/>
          <w:szCs w:val="44"/>
        </w:rPr>
        <w:t>（征求意见稿）</w:t>
      </w:r>
    </w:p>
    <w:p>
      <w:pPr>
        <w:pStyle w:val="6"/>
        <w:widowControl/>
        <w:spacing w:before="0" w:beforeAutospacing="0" w:after="0" w:afterAutospacing="0"/>
        <w:rPr>
          <w:rFonts w:ascii="仿宋_GB2312" w:hAnsi="仿宋_GB2312" w:eastAsia="仿宋_GB2312" w:cs="仿宋_GB2312"/>
          <w:sz w:val="44"/>
          <w:szCs w:val="44"/>
        </w:rPr>
      </w:pPr>
    </w:p>
    <w:p>
      <w:pPr>
        <w:pStyle w:val="6"/>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w:t>
      </w:r>
      <w:r>
        <w:rPr>
          <w:rFonts w:hint="eastAsia" w:ascii="仿宋_GB2312" w:hAnsi="仿宋_GB2312" w:eastAsia="仿宋_GB2312" w:cs="仿宋_GB2312"/>
          <w:sz w:val="32"/>
          <w:szCs w:val="32"/>
          <w:lang w:eastAsia="zh-CN"/>
        </w:rPr>
        <w:t>进一步健全</w:t>
      </w:r>
      <w:r>
        <w:rPr>
          <w:rFonts w:hint="eastAsia" w:ascii="仿宋_GB2312" w:hAnsi="仿宋_GB2312" w:eastAsia="仿宋_GB2312" w:cs="仿宋_GB2312"/>
          <w:sz w:val="32"/>
          <w:szCs w:val="32"/>
        </w:rPr>
        <w:t>韶关市大企业税收服务和管理</w:t>
      </w:r>
      <w:r>
        <w:rPr>
          <w:rFonts w:hint="eastAsia" w:ascii="仿宋_GB2312" w:hAnsi="仿宋_GB2312" w:eastAsia="仿宋_GB2312" w:cs="仿宋_GB2312"/>
          <w:sz w:val="32"/>
          <w:szCs w:val="32"/>
          <w:lang w:eastAsia="zh-CN"/>
        </w:rPr>
        <w:t>新格局</w:t>
      </w:r>
      <w:r>
        <w:rPr>
          <w:rFonts w:hint="eastAsia" w:ascii="仿宋_GB2312" w:hAnsi="仿宋_GB2312" w:eastAsia="仿宋_GB2312" w:cs="仿宋_GB2312"/>
          <w:sz w:val="32"/>
          <w:szCs w:val="32"/>
        </w:rPr>
        <w:t>，根据有关</w:t>
      </w:r>
      <w:r>
        <w:rPr>
          <w:rFonts w:hint="eastAsia" w:ascii="仿宋_GB2312" w:hAnsi="仿宋_GB2312" w:eastAsia="仿宋_GB2312" w:cs="仿宋_GB2312"/>
          <w:sz w:val="32"/>
          <w:szCs w:val="32"/>
          <w:lang w:eastAsia="zh-CN"/>
        </w:rPr>
        <w:t>法律法规和上级有关文件精神，推动精确执法、精细服务、精准监管、精诚共治在大企业税收管理中合成落地，不断提升全市列名</w:t>
      </w:r>
      <w:r>
        <w:rPr>
          <w:rFonts w:hint="eastAsia" w:ascii="仿宋_GB2312" w:hAnsi="仿宋_GB2312" w:eastAsia="仿宋_GB2312" w:cs="仿宋_GB2312"/>
          <w:sz w:val="32"/>
          <w:szCs w:val="32"/>
        </w:rPr>
        <w:t>大企业税收服务和管理</w:t>
      </w:r>
      <w:r>
        <w:rPr>
          <w:rFonts w:hint="eastAsia" w:ascii="仿宋_GB2312" w:hAnsi="仿宋_GB2312" w:eastAsia="仿宋_GB2312" w:cs="仿宋_GB2312"/>
          <w:sz w:val="32"/>
          <w:szCs w:val="32"/>
          <w:lang w:eastAsia="zh-CN"/>
        </w:rPr>
        <w:t>的针对性、整合性、系统性</w:t>
      </w:r>
      <w:r>
        <w:rPr>
          <w:rFonts w:hint="eastAsia" w:ascii="仿宋_GB2312" w:hAnsi="仿宋_GB2312" w:eastAsia="仿宋_GB2312" w:cs="仿宋_GB2312"/>
          <w:sz w:val="32"/>
          <w:szCs w:val="32"/>
        </w:rPr>
        <w:t>，制定本办法。</w:t>
      </w:r>
    </w:p>
    <w:p>
      <w:pPr>
        <w:pStyle w:val="6"/>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市列名大企业是指总局千户集团及其成员企业和省列名大企业以外的年度缴纳税额达到国家税务总局韶关市税务局（以下简称“韶关市税务局”）服务管理标准的企业集团和单户企业、韶关市税务局管理范围内的所有境内主板上市公司、行业龙头企业以及其他重点税源企业，但不包括政府事务管理机构。其中，年度缴纳税额指企业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日至当年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日缴纳的税款金额合计，不包括关税、船舶吨税以及企业代扣代缴的个人所得税，不扣减出口退税和财政部门办理的减免税。缴纳的税款金额为当年度缴纳入库的税款金额。</w:t>
      </w:r>
    </w:p>
    <w:p>
      <w:pPr>
        <w:pStyle w:val="6"/>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本办法所称企业集团，指在韶关市税务局管理范围内的集团总部及其在韶关市税务局管理范围内的成员企业。企业集团年度缴纳税额为企业集团在韶关市税务局管理范围内缴纳的年度纳税额合计。</w:t>
      </w:r>
    </w:p>
    <w:p>
      <w:pPr>
        <w:pStyle w:val="6"/>
        <w:widowControl/>
        <w:numPr>
          <w:ilvl w:val="0"/>
          <w:numId w:val="1"/>
        </w:numPr>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列名大企业名册信息包括企业名称、纳税人识别号、统一社会信用代码、集团名称、上一级企业名称及其他涉税信息等项目，详见《韶关市列名大企业名册信息表》（附件）。韶关市税务局根据工作需要，适时修订列名大企业名册信息项目内容。</w:t>
      </w:r>
    </w:p>
    <w:p>
      <w:pPr>
        <w:pStyle w:val="6"/>
        <w:widowControl/>
        <w:numPr>
          <w:ilvl w:val="0"/>
          <w:numId w:val="1"/>
        </w:numPr>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市列名大企业名册由韶关市税务局确定，定期发布，动态管理，市列名大企业名册调整由韶关市税务局大企业税收工作领导小组办公室提出，经韶关市税务局大企业税收工作领导小组确定后发布。</w:t>
      </w:r>
    </w:p>
    <w:p>
      <w:pPr>
        <w:pStyle w:val="6"/>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破产、注销或年度缴纳税额</w:t>
      </w:r>
      <w:r>
        <w:rPr>
          <w:rFonts w:hint="eastAsia" w:ascii="仿宋_GB2312" w:hAnsi="仿宋_GB2312" w:eastAsia="仿宋_GB2312" w:cs="仿宋_GB2312"/>
          <w:sz w:val="32"/>
          <w:szCs w:val="32"/>
          <w:lang w:eastAsia="zh-CN"/>
        </w:rPr>
        <w:t>连续两年</w:t>
      </w:r>
      <w:r>
        <w:rPr>
          <w:rFonts w:hint="eastAsia" w:ascii="仿宋_GB2312" w:hAnsi="仿宋_GB2312" w:eastAsia="仿宋_GB2312" w:cs="仿宋_GB2312"/>
          <w:sz w:val="32"/>
          <w:szCs w:val="32"/>
        </w:rPr>
        <w:t>未达到韶关市税务局服务管理标准的企业，应从名册管理范围内调出。</w:t>
      </w:r>
    </w:p>
    <w:p>
      <w:pPr>
        <w:pStyle w:val="6"/>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列入市列名大企业名册的企业在名册管理工作中的主要职责：</w:t>
      </w:r>
    </w:p>
    <w:p>
      <w:pPr>
        <w:pStyle w:val="6"/>
        <w:widowControl/>
        <w:spacing w:before="0" w:beforeAutospacing="0" w:after="0" w:afterAutospacing="0"/>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（一）按照税务机关要求，设置大企业联络员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名，负责市列名大企业个性化纳税服务对接、企业财务及涉税信息的报送及核实反馈等大企业服务和管理相关工作；</w:t>
      </w:r>
    </w:p>
    <w:p>
      <w:pPr>
        <w:pStyle w:val="6"/>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（二）集团企业开展内部名册管理工作培训，对成员企业提供指导；</w:t>
      </w:r>
    </w:p>
    <w:p>
      <w:pPr>
        <w:pStyle w:val="6"/>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（三）按照税务机关要求，报送财务数据。</w:t>
      </w:r>
    </w:p>
    <w:p>
      <w:pPr>
        <w:pStyle w:val="6"/>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（四）按照税务机关要求的其他名册管理工作。</w:t>
      </w:r>
    </w:p>
    <w:p>
      <w:pPr>
        <w:pStyle w:val="6"/>
        <w:widowControl/>
        <w:spacing w:before="0" w:beforeAutospacing="0" w:after="0" w:afterAutospacing="0"/>
        <w:ind w:firstLine="640" w:firstLineChars="200"/>
        <w:jc w:val="both"/>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第七条　对应报未报、提供虚假名册信息或拒绝报送名册信息的企业，主管税务机关依法进行催报，督促企业及时按要求报送相关资料。情节严重的，按照《中华人民共和国税收征收管理法》及其实施细则等有关规定对企业进行处理。对存在上述情形的列名大企业，税务机关记录相关纳税信用信息，相关信息用于纳税信用评价。</w:t>
      </w:r>
    </w:p>
    <w:bookmarkEnd w:id="0"/>
    <w:p>
      <w:pPr>
        <w:pStyle w:val="6"/>
        <w:widowControl/>
        <w:spacing w:before="0" w:beforeAutospacing="0" w:after="0" w:afterAutospacing="0"/>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日起施行。本办法解释权归韶关市税务局。</w:t>
      </w:r>
      <w:r>
        <w:rPr>
          <w:rFonts w:hint="eastAsia" w:ascii="仿宋_GB2312" w:hAnsi="仿宋_GB2312" w:eastAsia="仿宋_GB2312" w:cs="仿宋_GB2312"/>
          <w:sz w:val="32"/>
          <w:szCs w:val="32"/>
        </w:rPr>
        <w:br w:type="page"/>
      </w:r>
      <w:r>
        <w:rPr>
          <w:rFonts w:hint="eastAsia" w:ascii="黑体" w:hAnsi="仿宋" w:eastAsia="黑体"/>
          <w:sz w:val="32"/>
          <w:szCs w:val="32"/>
        </w:rPr>
        <w:t>附件</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韶关市</w:t>
      </w:r>
      <w:r>
        <w:rPr>
          <w:rFonts w:hint="eastAsia" w:ascii="方正小标宋简体" w:hAnsi="仿宋" w:eastAsia="方正小标宋简体"/>
          <w:sz w:val="44"/>
          <w:szCs w:val="44"/>
        </w:rPr>
        <w:t>列名大企业名册信息表</w:t>
      </w:r>
    </w:p>
    <w:tbl>
      <w:tblPr>
        <w:tblStyle w:val="7"/>
        <w:tblW w:w="8640" w:type="dxa"/>
        <w:tblCellSpacing w:w="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5" w:type="dxa"/>
          <w:left w:w="45" w:type="dxa"/>
          <w:bottom w:w="45" w:type="dxa"/>
          <w:right w:w="45" w:type="dxa"/>
        </w:tblCellMar>
      </w:tblPr>
      <w:tblGrid>
        <w:gridCol w:w="822"/>
        <w:gridCol w:w="3886"/>
        <w:gridCol w:w="686"/>
        <w:gridCol w:w="32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612" w:type="dxa"/>
            <w:gridSpan w:val="4"/>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一、基本信息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ascii="仿宋_GB2312" w:hAnsi="仿宋" w:eastAsia="仿宋_GB2312"/>
                <w:sz w:val="32"/>
                <w:szCs w:val="32"/>
              </w:rPr>
            </w:pPr>
            <w:r>
              <w:rPr>
                <w:rFonts w:hint="eastAsia" w:ascii="仿宋_GB2312" w:hAnsi="仿宋" w:eastAsia="仿宋_GB2312"/>
                <w:sz w:val="32"/>
                <w:szCs w:val="32"/>
              </w:rPr>
              <w:t>序号</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ascii="仿宋_GB2312" w:hAnsi="仿宋" w:eastAsia="仿宋_GB2312"/>
                <w:sz w:val="32"/>
                <w:szCs w:val="32"/>
              </w:rPr>
            </w:pPr>
            <w:r>
              <w:rPr>
                <w:rFonts w:hint="eastAsia" w:ascii="仿宋_GB2312" w:hAnsi="仿宋" w:eastAsia="仿宋_GB2312"/>
                <w:sz w:val="32"/>
                <w:szCs w:val="32"/>
              </w:rPr>
              <w:t>名称</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pStyle w:val="6"/>
              <w:jc w:val="center"/>
              <w:rPr>
                <w:rFonts w:ascii="仿宋_GB2312" w:hAnsi="仿宋" w:eastAsia="仿宋_GB2312"/>
                <w:sz w:val="32"/>
                <w:szCs w:val="32"/>
              </w:rPr>
            </w:pPr>
            <w:r>
              <w:rPr>
                <w:rFonts w:hint="eastAsia" w:ascii="仿宋_GB2312" w:hAnsi="仿宋" w:eastAsia="仿宋_GB2312"/>
                <w:sz w:val="32"/>
                <w:szCs w:val="32"/>
              </w:rPr>
              <w:t>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纳税人名称</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纳税人识别号</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统一社会信用代码</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4</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登记注册类型</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5</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核算方式</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6</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国标行业（主行业）</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7</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主管税务机关</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8</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所在国家/地区</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612" w:type="dxa"/>
            <w:gridSpan w:val="4"/>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二、组织架构信息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9</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lang w:eastAsia="zh-CN"/>
              </w:rPr>
            </w:pPr>
            <w:r>
              <w:rPr>
                <w:rFonts w:hint="eastAsia" w:ascii="仿宋_GB2312" w:hAnsi="仿宋" w:eastAsia="仿宋_GB2312"/>
                <w:sz w:val="32"/>
                <w:szCs w:val="32"/>
              </w:rPr>
              <w:t>集团名称</w:t>
            </w:r>
            <w:r>
              <w:rPr>
                <w:rFonts w:hint="eastAsia" w:ascii="仿宋_GB2312" w:hAnsi="仿宋" w:eastAsia="仿宋_GB2312"/>
                <w:sz w:val="32"/>
                <w:szCs w:val="32"/>
                <w:lang w:eastAsia="zh-CN"/>
              </w:rPr>
              <w:t>（如有）</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lang w:eastAsia="zh-CN"/>
              </w:rPr>
            </w:pPr>
            <w:r>
              <w:rPr>
                <w:rFonts w:hint="eastAsia" w:ascii="仿宋_GB2312" w:hAnsi="仿宋" w:eastAsia="仿宋_GB2312"/>
                <w:sz w:val="32"/>
                <w:szCs w:val="32"/>
              </w:rPr>
              <w:t>上级企业名称</w:t>
            </w:r>
            <w:r>
              <w:rPr>
                <w:rFonts w:hint="eastAsia" w:ascii="仿宋_GB2312" w:hAnsi="仿宋" w:eastAsia="仿宋_GB2312"/>
                <w:sz w:val="32"/>
                <w:szCs w:val="32"/>
                <w:lang w:eastAsia="zh-CN"/>
              </w:rPr>
              <w:t>（如有）</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11</w:t>
            </w:r>
          </w:p>
        </w:tc>
        <w:tc>
          <w:tcPr>
            <w:tcW w:w="3872" w:type="dxa"/>
            <w:tcBorders>
              <w:top w:val="outset" w:color="auto" w:sz="6" w:space="0"/>
              <w:left w:val="outset" w:color="auto" w:sz="6" w:space="0"/>
              <w:bottom w:val="outset" w:color="auto" w:sz="6" w:space="0"/>
              <w:right w:val="outset" w:color="auto" w:sz="6" w:space="0"/>
            </w:tcBorders>
            <w:noWrap w:val="0"/>
            <w:vAlign w:val="center"/>
          </w:tcPr>
          <w:p>
            <w:pPr>
              <w:pStyle w:val="6"/>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投资人信息</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含纳税人识别号、纳税人名称、投资比例、投资金额，多个投资人之间用分号隔开</w:t>
            </w:r>
            <w:r>
              <w:rPr>
                <w:rFonts w:hint="eastAsia" w:ascii="仿宋_GB2312" w:hAnsi="仿宋" w:eastAsia="仿宋_GB2312"/>
                <w:sz w:val="32"/>
                <w:szCs w:val="32"/>
                <w:lang w:val="en-US" w:eastAsia="zh-CN"/>
              </w:rPr>
              <w:t>)</w:t>
            </w:r>
          </w:p>
        </w:tc>
        <w:tc>
          <w:tcPr>
            <w:tcW w:w="3911" w:type="dxa"/>
            <w:gridSpan w:val="2"/>
            <w:tcBorders>
              <w:top w:val="outset" w:color="auto" w:sz="6" w:space="0"/>
              <w:left w:val="outset" w:color="auto" w:sz="6" w:space="0"/>
              <w:bottom w:val="outset" w:color="auto" w:sz="6" w:space="0"/>
              <w:right w:val="outset" w:color="auto" w:sz="6" w:space="0"/>
            </w:tcBorders>
            <w:noWrap w:val="0"/>
            <w:vAlign w:val="center"/>
          </w:tcPr>
          <w:p>
            <w:pPr>
              <w:rPr>
                <w:rFonts w:hint="eastAsia" w:ascii="仿宋_GB2312" w:hAnsi="仿宋" w:eastAsia="仿宋_GB2312"/>
                <w:sz w:val="32"/>
                <w:szCs w:val="32"/>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612" w:type="dxa"/>
            <w:gridSpan w:val="4"/>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三、企业规模信息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2</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上一年度缴纳税额（单位：万元）</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3</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ascii="仿宋_GB2312" w:hAnsi="仿宋" w:eastAsia="仿宋_GB2312"/>
                <w:sz w:val="32"/>
                <w:szCs w:val="32"/>
              </w:rPr>
            </w:pPr>
            <w:r>
              <w:rPr>
                <w:rFonts w:hint="eastAsia" w:ascii="仿宋_GB2312" w:hAnsi="仿宋" w:eastAsia="仿宋_GB2312"/>
                <w:sz w:val="32"/>
                <w:szCs w:val="32"/>
              </w:rPr>
              <w:t>上一年度营业收入（单位：万元）</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eastAsia" w:ascii="仿宋_GB2312" w:hAnsi="仿宋" w:eastAsia="仿宋_GB2312"/>
                <w:sz w:val="32"/>
                <w:szCs w:val="32"/>
                <w:lang w:val="en-US" w:eastAsia="zh-CN"/>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4</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rPr>
            </w:pPr>
            <w:r>
              <w:rPr>
                <w:rFonts w:hint="eastAsia" w:ascii="仿宋_GB2312" w:hAnsi="仿宋" w:eastAsia="仿宋_GB2312"/>
                <w:sz w:val="32"/>
                <w:szCs w:val="32"/>
              </w:rPr>
              <w:t>上一年度营业</w:t>
            </w:r>
            <w:r>
              <w:rPr>
                <w:rFonts w:hint="eastAsia" w:ascii="仿宋_GB2312" w:hAnsi="仿宋" w:eastAsia="仿宋_GB2312"/>
                <w:sz w:val="32"/>
                <w:szCs w:val="32"/>
                <w:lang w:eastAsia="zh-CN"/>
              </w:rPr>
              <w:t>成本</w:t>
            </w:r>
            <w:r>
              <w:rPr>
                <w:rFonts w:hint="eastAsia" w:ascii="仿宋_GB2312" w:hAnsi="仿宋" w:eastAsia="仿宋_GB2312"/>
                <w:sz w:val="32"/>
                <w:szCs w:val="32"/>
              </w:rPr>
              <w:t>（单位：万元）</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_GB2312" w:hAnsi="仿宋" w:eastAsia="仿宋_GB2312"/>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15</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rPr>
            </w:pPr>
            <w:r>
              <w:rPr>
                <w:rFonts w:hint="eastAsia" w:ascii="仿宋_GB2312" w:hAnsi="仿宋" w:eastAsia="仿宋_GB2312"/>
                <w:sz w:val="32"/>
                <w:szCs w:val="32"/>
              </w:rPr>
              <w:t>上一年度</w:t>
            </w:r>
            <w:r>
              <w:rPr>
                <w:rFonts w:hint="eastAsia" w:ascii="仿宋_GB2312" w:hAnsi="仿宋" w:eastAsia="仿宋_GB2312"/>
                <w:sz w:val="32"/>
                <w:szCs w:val="32"/>
                <w:lang w:eastAsia="zh-CN"/>
              </w:rPr>
              <w:t>净利润</w:t>
            </w:r>
            <w:r>
              <w:rPr>
                <w:rFonts w:hint="eastAsia" w:ascii="仿宋_GB2312" w:hAnsi="仿宋" w:eastAsia="仿宋_GB2312"/>
                <w:sz w:val="32"/>
                <w:szCs w:val="32"/>
              </w:rPr>
              <w:t>（单位：万元）</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_GB2312" w:hAnsi="仿宋" w:eastAsia="仿宋_GB2312"/>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16</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rPr>
            </w:pPr>
            <w:r>
              <w:rPr>
                <w:rFonts w:hint="eastAsia" w:ascii="仿宋_GB2312" w:hAnsi="仿宋" w:eastAsia="仿宋_GB2312"/>
                <w:sz w:val="32"/>
                <w:szCs w:val="32"/>
              </w:rPr>
              <w:t>上一年度</w:t>
            </w:r>
            <w:r>
              <w:rPr>
                <w:rFonts w:hint="eastAsia" w:ascii="仿宋_GB2312" w:hAnsi="仿宋" w:eastAsia="仿宋_GB2312"/>
                <w:sz w:val="32"/>
                <w:szCs w:val="32"/>
                <w:lang w:eastAsia="zh-CN"/>
              </w:rPr>
              <w:t>研发支出</w:t>
            </w:r>
            <w:r>
              <w:rPr>
                <w:rFonts w:hint="eastAsia" w:ascii="仿宋_GB2312" w:hAnsi="仿宋" w:eastAsia="仿宋_GB2312"/>
                <w:sz w:val="32"/>
                <w:szCs w:val="32"/>
              </w:rPr>
              <w:t>（单位：万元）</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_GB2312" w:hAnsi="仿宋" w:eastAsia="仿宋_GB2312"/>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17</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lang w:eastAsia="zh-CN"/>
              </w:rPr>
            </w:pPr>
            <w:r>
              <w:rPr>
                <w:rFonts w:hint="eastAsia" w:ascii="仿宋_GB2312" w:hAnsi="仿宋" w:eastAsia="仿宋_GB2312"/>
                <w:sz w:val="32"/>
                <w:szCs w:val="32"/>
                <w:lang w:eastAsia="zh-CN"/>
              </w:rPr>
              <w:t>职工人数</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r>
              <w:rPr>
                <w:rFonts w:hint="eastAsia" w:ascii="仿宋_GB2312" w:hAnsi="仿宋" w:eastAsia="仿宋_GB2312"/>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blCellSpacing w:w="7" w:type="dxa"/>
        </w:trPr>
        <w:tc>
          <w:tcPr>
            <w:tcW w:w="801" w:type="dxa"/>
            <w:tcBorders>
              <w:top w:val="outset" w:color="auto" w:sz="6" w:space="0"/>
              <w:left w:val="outset" w:color="auto" w:sz="6" w:space="0"/>
              <w:bottom w:val="outset" w:color="auto" w:sz="6" w:space="0"/>
              <w:right w:val="outset" w:color="auto" w:sz="6" w:space="0"/>
            </w:tcBorders>
            <w:noWrap w:val="0"/>
            <w:vAlign w:val="center"/>
          </w:tcPr>
          <w:p>
            <w:pPr>
              <w:pStyle w:val="6"/>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18</w:t>
            </w:r>
          </w:p>
        </w:tc>
        <w:tc>
          <w:tcPr>
            <w:tcW w:w="4558" w:type="dxa"/>
            <w:gridSpan w:val="2"/>
            <w:tcBorders>
              <w:top w:val="outset" w:color="auto" w:sz="6" w:space="0"/>
              <w:left w:val="outset" w:color="auto" w:sz="6" w:space="0"/>
              <w:bottom w:val="outset" w:color="auto" w:sz="6" w:space="0"/>
              <w:right w:val="outset" w:color="auto" w:sz="6" w:space="0"/>
            </w:tcBorders>
            <w:noWrap w:val="0"/>
            <w:vAlign w:val="center"/>
          </w:tcPr>
          <w:p>
            <w:pPr>
              <w:pStyle w:val="6"/>
              <w:rPr>
                <w:rFonts w:hint="eastAsia" w:ascii="仿宋_GB2312" w:hAnsi="仿宋" w:eastAsia="仿宋_GB2312"/>
                <w:sz w:val="32"/>
                <w:szCs w:val="32"/>
                <w:lang w:eastAsia="zh-CN"/>
              </w:rPr>
            </w:pPr>
            <w:r>
              <w:rPr>
                <w:rFonts w:hint="eastAsia" w:ascii="仿宋_GB2312" w:hAnsi="仿宋" w:eastAsia="仿宋_GB2312"/>
                <w:sz w:val="32"/>
                <w:szCs w:val="32"/>
                <w:lang w:eastAsia="zh-CN"/>
              </w:rPr>
              <w:t>企业用地面积（平方米）</w:t>
            </w:r>
          </w:p>
        </w:tc>
        <w:tc>
          <w:tcPr>
            <w:tcW w:w="3225"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仿宋" w:eastAsia="仿宋_GB2312"/>
                <w:sz w:val="32"/>
                <w:szCs w:val="32"/>
              </w:rPr>
            </w:pPr>
          </w:p>
        </w:tc>
      </w:tr>
    </w:tbl>
    <w:p>
      <w:pPr>
        <w:ind w:firstLine="640"/>
        <w:rPr>
          <w:rFonts w:ascii="仿宋_GB2312" w:hAnsi="仿宋" w:eastAsia="仿宋_GB2312"/>
          <w:sz w:val="32"/>
          <w:szCs w:val="32"/>
        </w:rPr>
      </w:pPr>
    </w:p>
    <w:p>
      <w:pPr>
        <w:ind w:firstLine="640"/>
      </w:pPr>
    </w:p>
    <w:p>
      <w:pPr>
        <w:ind w:firstLine="640"/>
      </w:pPr>
    </w:p>
    <w:p>
      <w:pPr>
        <w:ind w:firstLine="640"/>
      </w:pPr>
    </w:p>
    <w:p>
      <w:pPr>
        <w:ind w:firstLine="640"/>
      </w:pPr>
    </w:p>
    <w:p>
      <w:pPr>
        <w:ind w:firstLine="640"/>
      </w:pPr>
    </w:p>
    <w:p>
      <w:pPr>
        <w:pStyle w:val="6"/>
        <w:widowControl/>
        <w:spacing w:before="0" w:beforeAutospacing="0" w:after="0" w:afterAutospacing="0"/>
        <w:ind w:firstLine="640" w:firstLineChars="200"/>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41FC9"/>
    <w:multiLevelType w:val="singleLevel"/>
    <w:tmpl w:val="41041FC9"/>
    <w:lvl w:ilvl="0" w:tentative="0">
      <w:start w:val="3"/>
      <w:numFmt w:val="chineseCounting"/>
      <w:suff w:val="nothing"/>
      <w:lvlText w:val="第%1条　"/>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0F929AF"/>
    <w:rsid w:val="001C4FAD"/>
    <w:rsid w:val="0033601E"/>
    <w:rsid w:val="003D6E07"/>
    <w:rsid w:val="004B2328"/>
    <w:rsid w:val="00792920"/>
    <w:rsid w:val="008554BF"/>
    <w:rsid w:val="00883786"/>
    <w:rsid w:val="00A96F95"/>
    <w:rsid w:val="00B255C1"/>
    <w:rsid w:val="00C56B9C"/>
    <w:rsid w:val="00D36FAB"/>
    <w:rsid w:val="00F21FF0"/>
    <w:rsid w:val="01B60C22"/>
    <w:rsid w:val="02BD3531"/>
    <w:rsid w:val="036F3476"/>
    <w:rsid w:val="04272B7A"/>
    <w:rsid w:val="04D656CF"/>
    <w:rsid w:val="076C2876"/>
    <w:rsid w:val="08DC1688"/>
    <w:rsid w:val="0E6368F3"/>
    <w:rsid w:val="0F9027F3"/>
    <w:rsid w:val="107B25CF"/>
    <w:rsid w:val="10F929AF"/>
    <w:rsid w:val="11C74988"/>
    <w:rsid w:val="12073E90"/>
    <w:rsid w:val="122B7CA9"/>
    <w:rsid w:val="12CD524E"/>
    <w:rsid w:val="148008FF"/>
    <w:rsid w:val="15193182"/>
    <w:rsid w:val="154A45E4"/>
    <w:rsid w:val="159A0746"/>
    <w:rsid w:val="16255C13"/>
    <w:rsid w:val="17A14B3C"/>
    <w:rsid w:val="18271B57"/>
    <w:rsid w:val="188C34B6"/>
    <w:rsid w:val="1A93241E"/>
    <w:rsid w:val="1B7F77FE"/>
    <w:rsid w:val="1C86015B"/>
    <w:rsid w:val="1C8D5EB1"/>
    <w:rsid w:val="1E351CC4"/>
    <w:rsid w:val="20322B22"/>
    <w:rsid w:val="21065C57"/>
    <w:rsid w:val="2257564F"/>
    <w:rsid w:val="22AA12EC"/>
    <w:rsid w:val="243258BA"/>
    <w:rsid w:val="25A55FC6"/>
    <w:rsid w:val="25B00AF0"/>
    <w:rsid w:val="25B116F1"/>
    <w:rsid w:val="26D54A73"/>
    <w:rsid w:val="296F240D"/>
    <w:rsid w:val="2AD30AF9"/>
    <w:rsid w:val="30910048"/>
    <w:rsid w:val="317B1D3A"/>
    <w:rsid w:val="327407A1"/>
    <w:rsid w:val="32944296"/>
    <w:rsid w:val="32FA30F2"/>
    <w:rsid w:val="34FF47B0"/>
    <w:rsid w:val="35613A26"/>
    <w:rsid w:val="365F68C7"/>
    <w:rsid w:val="37916333"/>
    <w:rsid w:val="39276D7F"/>
    <w:rsid w:val="398F3442"/>
    <w:rsid w:val="39BD52B3"/>
    <w:rsid w:val="39CB6B1E"/>
    <w:rsid w:val="39E336BC"/>
    <w:rsid w:val="3A751145"/>
    <w:rsid w:val="3A85430B"/>
    <w:rsid w:val="3C2D3D61"/>
    <w:rsid w:val="3EA95AB6"/>
    <w:rsid w:val="3F2E271C"/>
    <w:rsid w:val="404E7C67"/>
    <w:rsid w:val="41172D14"/>
    <w:rsid w:val="41D85B3D"/>
    <w:rsid w:val="430706E7"/>
    <w:rsid w:val="430D774F"/>
    <w:rsid w:val="43B8567F"/>
    <w:rsid w:val="44B950A9"/>
    <w:rsid w:val="465133FC"/>
    <w:rsid w:val="475E17ED"/>
    <w:rsid w:val="478C0647"/>
    <w:rsid w:val="49382D57"/>
    <w:rsid w:val="49F57FE3"/>
    <w:rsid w:val="4AF04973"/>
    <w:rsid w:val="4E26516B"/>
    <w:rsid w:val="4F4F369C"/>
    <w:rsid w:val="4F626CD6"/>
    <w:rsid w:val="50026EDD"/>
    <w:rsid w:val="502D4D07"/>
    <w:rsid w:val="52234777"/>
    <w:rsid w:val="531D1B20"/>
    <w:rsid w:val="54C96817"/>
    <w:rsid w:val="553A02C1"/>
    <w:rsid w:val="557A2FBB"/>
    <w:rsid w:val="57361083"/>
    <w:rsid w:val="589C773B"/>
    <w:rsid w:val="59CA3B0B"/>
    <w:rsid w:val="5AA31223"/>
    <w:rsid w:val="5B8501AD"/>
    <w:rsid w:val="5C0A7C30"/>
    <w:rsid w:val="5D1B4FF8"/>
    <w:rsid w:val="5E6B3A79"/>
    <w:rsid w:val="5EEA2024"/>
    <w:rsid w:val="60E01D87"/>
    <w:rsid w:val="633B5BA9"/>
    <w:rsid w:val="65840835"/>
    <w:rsid w:val="68667039"/>
    <w:rsid w:val="69BD0FBC"/>
    <w:rsid w:val="6C1B5D49"/>
    <w:rsid w:val="6C2F7C31"/>
    <w:rsid w:val="6DCC5EAE"/>
    <w:rsid w:val="70412783"/>
    <w:rsid w:val="73FA11AC"/>
    <w:rsid w:val="740D5DB9"/>
    <w:rsid w:val="74A06E9E"/>
    <w:rsid w:val="75CD2E5A"/>
    <w:rsid w:val="75F23BC9"/>
    <w:rsid w:val="79997A12"/>
    <w:rsid w:val="7B465DE4"/>
    <w:rsid w:val="7C45335F"/>
    <w:rsid w:val="7D1142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link w:val="10"/>
    <w:qFormat/>
    <w:uiPriority w:val="99"/>
    <w:pPr>
      <w:jc w:val="lef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page number"/>
    <w:basedOn w:val="8"/>
    <w:qFormat/>
    <w:uiPriority w:val="99"/>
    <w:rPr>
      <w:rFonts w:cs="Times New Roman"/>
    </w:rPr>
  </w:style>
  <w:style w:type="character" w:customStyle="1" w:styleId="10">
    <w:name w:val="Comment Text Char"/>
    <w:basedOn w:val="8"/>
    <w:link w:val="3"/>
    <w:semiHidden/>
    <w:qFormat/>
    <w:locked/>
    <w:uiPriority w:val="99"/>
    <w:rPr>
      <w:rFonts w:ascii="Calibri" w:hAnsi="Calibri" w:cs="Times New Roman"/>
      <w:sz w:val="24"/>
      <w:szCs w:val="24"/>
    </w:rPr>
  </w:style>
  <w:style w:type="character" w:customStyle="1" w:styleId="11">
    <w:name w:val="Footer Char"/>
    <w:basedOn w:val="8"/>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172</Words>
  <Characters>987</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2023-06-29T08:56:00Z</dcterms:created>
  <dc:creator>汤正刚</dc:creator>
  <cp:lastModifiedBy>孔鹏</cp:lastModifiedBy>
  <cp:lastPrinted>2023-08-04T08:59:00Z</cp:lastPrinted>
  <dcterms:modified xsi:type="dcterms:W3CDTF">2023-08-24T00:45:54Z</dcterms:modified>
  <dc:title>国家税务总局韶关市税务局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