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宋体" w:hAnsi="宋体" w:eastAsia="宋体" w:cs="Times New Roman"/>
          <w:b/>
          <w:bCs/>
          <w:kern w:val="0"/>
          <w:sz w:val="30"/>
          <w:szCs w:val="30"/>
          <w14:ligatures w14:val="none"/>
        </w:rPr>
      </w:pPr>
      <w:r>
        <w:rPr>
          <w:rFonts w:hint="eastAsia" w:ascii="宋体" w:hAnsi="宋体" w:eastAsia="宋体" w:cs="Times New Roman"/>
          <w:b/>
          <w:bCs/>
          <w:kern w:val="0"/>
          <w:sz w:val="30"/>
          <w:szCs w:val="30"/>
          <w14:ligatures w14:val="none"/>
        </w:rPr>
        <w:t xml:space="preserve">附件： </w:t>
      </w:r>
    </w:p>
    <w:p>
      <w:pPr>
        <w:widowControl/>
        <w:spacing w:line="480" w:lineRule="auto"/>
        <w:jc w:val="center"/>
        <w:rPr>
          <w:rFonts w:hint="eastAsia" w:ascii="宋体" w:hAnsi="宋体" w:eastAsia="宋体" w:cs="Times New Roman"/>
          <w:b/>
          <w:bCs/>
          <w:kern w:val="0"/>
          <w:sz w:val="30"/>
          <w:szCs w:val="30"/>
          <w14:ligatures w14:val="none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14:ligatures w14:val="none"/>
        </w:rPr>
        <w:t>存量房交易计税价格争议处理申请表</w:t>
      </w:r>
    </w:p>
    <w:bookmarkEnd w:id="0"/>
    <w:tbl>
      <w:tblPr>
        <w:tblStyle w:val="2"/>
        <w:tblW w:w="83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983"/>
        <w:gridCol w:w="668"/>
        <w:gridCol w:w="504"/>
        <w:gridCol w:w="989"/>
        <w:gridCol w:w="26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转让方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证件类型及号码</w:t>
            </w:r>
          </w:p>
        </w:tc>
        <w:tc>
          <w:tcPr>
            <w:tcW w:w="3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受让方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            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证件类型及号码</w:t>
            </w:r>
          </w:p>
        </w:tc>
        <w:tc>
          <w:tcPr>
            <w:tcW w:w="3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房屋坐落</w:t>
            </w:r>
          </w:p>
        </w:tc>
        <w:tc>
          <w:tcPr>
            <w:tcW w:w="6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签订合日期</w:t>
            </w:r>
          </w:p>
        </w:tc>
        <w:tc>
          <w:tcPr>
            <w:tcW w:w="2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1365" w:hanging="1365"/>
              <w:jc w:val="center"/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Verdana" w:hAnsi="Verdana" w:eastAsia="宋体" w:cs="Times New Roman"/>
                <w:kern w:val="0"/>
                <w:szCs w:val="21"/>
                <w14:ligatures w14:val="none"/>
              </w:rPr>
              <w:t>年   月   日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建筑面积</w:t>
            </w:r>
          </w:p>
        </w:tc>
        <w:tc>
          <w:tcPr>
            <w:tcW w:w="2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1575" w:hanging="1575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合同成交单价</w:t>
            </w:r>
          </w:p>
        </w:tc>
        <w:tc>
          <w:tcPr>
            <w:tcW w:w="2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1365" w:hanging="1365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</w:t>
            </w:r>
            <w:r>
              <w:rPr>
                <w:rFonts w:hint="eastAsia" w:ascii="Verdana" w:hAnsi="Verdana" w:eastAsia="宋体" w:cs="Times New Roman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元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㎡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合同成交总价</w:t>
            </w:r>
          </w:p>
        </w:tc>
        <w:tc>
          <w:tcPr>
            <w:tcW w:w="2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1575" w:hanging="1575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</w:t>
            </w:r>
            <w:r>
              <w:rPr>
                <w:rFonts w:hint="eastAsia" w:ascii="Verdana" w:hAnsi="Verdana" w:eastAsia="宋体" w:cs="Times New Roman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核定计税单价</w:t>
            </w:r>
          </w:p>
        </w:tc>
        <w:tc>
          <w:tcPr>
            <w:tcW w:w="2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1277" w:hanging="735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元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㎡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核定计税总价</w:t>
            </w:r>
          </w:p>
        </w:tc>
        <w:tc>
          <w:tcPr>
            <w:tcW w:w="2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2310" w:hanging="1680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申请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理由</w:t>
            </w:r>
          </w:p>
        </w:tc>
        <w:tc>
          <w:tcPr>
            <w:tcW w:w="6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附列资料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清单</w:t>
            </w:r>
          </w:p>
        </w:tc>
        <w:tc>
          <w:tcPr>
            <w:tcW w:w="6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8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ind w:left="630" w:hanging="630"/>
              <w:rPr>
                <w:rFonts w:ascii="宋体" w:hAnsi="宋体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声明：此争议申请表填报的各项内容及提交的证明资料，本人确定它是真实、合法、有效的。因隐瞒真实情况或者提供虚假材料而引起的一切法律责任，均由本人承担。</w:t>
            </w:r>
          </w:p>
          <w:p>
            <w:pPr>
              <w:widowControl/>
              <w:spacing w:line="300" w:lineRule="atLeast"/>
              <w:ind w:left="630" w:hanging="630"/>
              <w:rPr>
                <w:rFonts w:ascii="宋体" w:hAnsi="宋体" w:eastAsia="宋体" w:cs="Times New Roman"/>
                <w:kern w:val="0"/>
                <w:szCs w:val="21"/>
                <w14:ligatures w14:val="none"/>
              </w:rPr>
            </w:pPr>
          </w:p>
          <w:p>
            <w:pPr>
              <w:widowControl/>
              <w:spacing w:line="300" w:lineRule="atLeast"/>
              <w:ind w:left="630" w:hanging="630"/>
              <w:rPr>
                <w:rFonts w:ascii="宋体" w:hAnsi="宋体" w:eastAsia="宋体" w:cs="Times New Roman"/>
                <w:kern w:val="0"/>
                <w:szCs w:val="21"/>
                <w14:ligatures w14:val="none"/>
              </w:rPr>
            </w:pPr>
          </w:p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转让方（签名）：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受让方（签名）：</w:t>
            </w:r>
          </w:p>
          <w:p>
            <w:pPr>
              <w:widowControl/>
              <w:spacing w:line="300" w:lineRule="atLeast"/>
              <w:ind w:firstLine="210" w:firstLineChars="100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联系电话：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联系电话：</w:t>
            </w:r>
          </w:p>
          <w:p>
            <w:pPr>
              <w:widowControl/>
              <w:spacing w:line="300" w:lineRule="atLeast"/>
              <w:ind w:firstLine="105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申请日期：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年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 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月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税务机关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  <w14:ligatures w14:val="none"/>
              </w:rPr>
              <w:t>受理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意见：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</w:t>
            </w:r>
          </w:p>
          <w:p>
            <w:pPr>
              <w:widowControl/>
              <w:spacing w:line="300" w:lineRule="atLeast"/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</w:pPr>
          </w:p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（税务机关签章）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                                      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日期：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年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月</w:t>
            </w:r>
            <w:r>
              <w:rPr>
                <w:rFonts w:ascii="Verdana" w:hAnsi="Verdana" w:eastAsia="宋体" w:cs="Times New Roman"/>
                <w:kern w:val="0"/>
                <w:szCs w:val="21"/>
                <w14:ligatures w14:val="none"/>
              </w:rPr>
              <w:t>    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日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如申请不予受理，纳税人选择继续交易的，应按《中华人民共和国税收征收管理法》第八十八条的相关规定，先行缴纳税款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  <w14:ligatures w14:val="none"/>
              </w:rPr>
              <w:t>及滞纳金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14:ligatures w14:val="none"/>
              </w:rPr>
              <w:t>或者提供相应担保，在清缴税款或者所提供的担保得到受理申请的税务机关确认之日起60日内提出行政复议申请；对复议决定不服的，可以向人民法院提起行政诉讼。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4E79"/>
    <w:rsid w:val="11E96E7D"/>
    <w:rsid w:val="4B7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2024-07-18T07:47:00Z</dcterms:created>
  <dc:creator>俎忆南</dc:creator>
  <cp:lastModifiedBy>俎忆南</cp:lastModifiedBy>
  <dcterms:modified xsi:type="dcterms:W3CDTF">2024-08-02T07:19:03Z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