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关于《国家税务总局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eastAsia="zh-CN"/>
        </w:rPr>
        <w:t>肇庆市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税务局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列名大企业名册信息管理办法（征求意见稿）》的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eastAsia="zh-CN"/>
        </w:rPr>
        <w:t>政策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</w:pP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为便于纳税人和税务机关理解和执行，现对《国家税务总局</w:t>
      </w:r>
      <w:r>
        <w:rPr>
          <w:rFonts w:hint="eastAsia" w:hAnsi="仿宋_GB2312" w:cs="仿宋_GB2312"/>
          <w:b w:val="0"/>
          <w:bCs w:val="0"/>
          <w:color w:val="000000"/>
          <w:sz w:val="32"/>
          <w:szCs w:val="32"/>
          <w:lang w:eastAsia="zh-CN"/>
        </w:rPr>
        <w:t>肇庆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税务局列名大企业名册信息管理办法》（以下简称《名册管理办法》）解读如下：</w:t>
      </w:r>
    </w:p>
    <w:p>
      <w:pPr>
        <w:ind w:firstLine="64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一、起草背景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为明确</w:t>
      </w:r>
      <w:r>
        <w:rPr>
          <w:rFonts w:hint="eastAsia" w:hAnsi="仿宋_GB2312" w:cs="仿宋_GB2312"/>
          <w:b w:val="0"/>
          <w:bCs w:val="0"/>
          <w:sz w:val="32"/>
          <w:szCs w:val="32"/>
          <w:lang w:eastAsia="zh-CN"/>
        </w:rPr>
        <w:t>肇庆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大企业服务管理对象，切实提升大企业纳税人满意度和税法遵从度，根据《中华人民共和国税收征收管理法》及其实施细则、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《国家税务总局关于发布〈千户集团名册管理办法〉的公告》（国家税务总局公告2017年第7号）</w:t>
      </w:r>
      <w:r>
        <w:rPr>
          <w:rFonts w:hint="eastAsia" w:hAnsi="仿宋_GB2312" w:cs="仿宋_GB2312"/>
          <w:b w:val="0"/>
          <w:bCs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《国家税务总局广东省税务局关于发布&lt;国家税务总局广东省税务局列名大企业名册信息管理办法&gt;的公告》（国家税务总局广东省税务局 公告2019年第6号）等有关规定，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我局起草了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《国家税务总局</w:t>
      </w:r>
      <w:r>
        <w:rPr>
          <w:rFonts w:hint="eastAsia" w:hAnsi="仿宋_GB2312" w:cs="仿宋_GB2312"/>
          <w:b w:val="0"/>
          <w:bCs w:val="0"/>
          <w:kern w:val="0"/>
          <w:sz w:val="32"/>
          <w:szCs w:val="32"/>
          <w:lang w:eastAsia="zh-CN"/>
        </w:rPr>
        <w:t>肇庆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税务局列名大企业名册信息管理办法》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(以下简称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《名册管理办法》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，明确了</w:t>
      </w:r>
      <w:r>
        <w:rPr>
          <w:rFonts w:hint="eastAsia" w:hAnsi="仿宋_GB2312" w:cs="仿宋_GB2312"/>
          <w:b w:val="0"/>
          <w:bCs w:val="0"/>
          <w:sz w:val="32"/>
          <w:szCs w:val="32"/>
          <w:lang w:eastAsia="zh-CN"/>
        </w:rPr>
        <w:t>肇庆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税务局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列名大企业的范围、名册信息管理内容、工作流程、主要职责等，为进一步加强大企业的个性化纳税服务、风险管理和经济分析工作，以及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县区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级大企业税收服务和管理部门明确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县区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级服务管理对象范围提供支撑。</w:t>
      </w:r>
    </w:p>
    <w:p>
      <w:pPr>
        <w:ind w:firstLine="64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二、制定依据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（一）《中华人民共和国税收征收管理法》及其实施细则。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（二）《国家税务总局关于发布&lt;千户集团名册管理办法&gt;的公告》（国家税务总局公告2017年第7号），2017年5月1日起施行。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《国家税务总局广东省税务局关于发布&lt;国家税务总局广东省税务局列名大企业名册信息管理办法&gt;的公告》（国家税务总局广东省税务局公告2019年第6号）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2019年10月1日起施行。</w:t>
      </w:r>
    </w:p>
    <w:p>
      <w:pPr>
        <w:ind w:firstLine="64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三、主要内容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《名册管理办法》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基本内容参照国家税务总局的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《千户集团名册管理办法》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和广东省税务局的《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国家税务总局广东省税务局列名大企业名册信息管理办法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相关内容。《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</w:rPr>
        <w:t>名册管理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办法》条款共计十三条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。主要内容说明如下：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第一、第二条为说明制定本办法的目的、依据，列名大企业的入选名册标准。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第三条至第九条为列名大企业名册信息管理工作内容，主要包括列名企业集团名册管理范围的区分，名册信息的具体项目内容，名单的确定、发布和管理，企业集团和企业名册信息的维护周期、工作流程和时间要求，新增企业和调出名册管理企业的条件、时间流程和要求等。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对列名大企业在名册信息管理工作中的主要职责进行了说明。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第十一条参照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广东省税务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局《国家税务总局广东省税务局列名大企业名册信息管理办法》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</w:rPr>
        <w:t>中对未按要求报送名册信息</w:t>
      </w:r>
      <w:r>
        <w:rPr>
          <w:rFonts w:hint="eastAsia" w:hAnsi="仿宋_GB2312" w:cs="仿宋_GB2312"/>
          <w:b w:val="0"/>
          <w:bCs w:val="0"/>
          <w:kern w:val="0"/>
          <w:sz w:val="32"/>
          <w:szCs w:val="32"/>
          <w:highlight w:val="none"/>
          <w:lang w:eastAsia="zh-CN"/>
        </w:rPr>
        <w:t>省级列名大企业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采取的规范和措施，我局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对未按要求报送名册信息的列名大企业也采取同样的规范和措施。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第十二条明确主管税务机关应畅通与列名大企业的沟通和辅导渠道，以保障列名大企业名册管理工作的顺利开展。</w:t>
      </w:r>
    </w:p>
    <w:p>
      <w:pPr>
        <w:ind w:firstLine="64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四、实施时间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《名册管理办法》自</w:t>
      </w:r>
      <w:r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  <w:t>印发之日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施行。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Century Gothic">
    <w:altName w:val="Segoe Print"/>
    <w:panose1 w:val="020B0502020202020204"/>
    <w:charset w:val="00"/>
    <w:family w:val="swiss"/>
    <w:pitch w:val="default"/>
    <w:sig w:usb0="00000000" w:usb1="00000000" w:usb2="00000000" w:usb3="00000000" w:csb0="2000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A197E"/>
    <w:rsid w:val="2F067152"/>
    <w:rsid w:val="341A5FCE"/>
    <w:rsid w:val="4531590B"/>
    <w:rsid w:val="5E3D0148"/>
    <w:rsid w:val="69DA197E"/>
    <w:rsid w:val="76EA3B5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2020-11-20T08:19:00Z</dcterms:created>
  <dc:creator>陈恩</dc:creator>
  <cp:lastModifiedBy>陈恩</cp:lastModifiedBy>
  <dcterms:modified xsi:type="dcterms:W3CDTF">2020-12-28T06:54:28Z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