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right="45"/>
        <w:jc w:val="both"/>
        <w:rPr>
          <w:rFonts w:hint="eastAsia" w:ascii="黑体" w:hAnsi="黑体" w:eastAsia="黑体" w:cs="宋体"/>
          <w:color w:val="31313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13131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right="45"/>
        <w:jc w:val="both"/>
        <w:rPr>
          <w:rFonts w:hint="eastAsia" w:ascii="黑体" w:hAnsi="黑体" w:eastAsia="黑体" w:cs="宋体"/>
          <w:color w:val="313131"/>
          <w:sz w:val="32"/>
          <w:szCs w:val="32"/>
          <w:shd w:val="clear" w:color="auto" w:fill="FFFFFF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shd w:val="clear" w:color="auto" w:fill="FFFFFF"/>
          <w:lang w:bidi="ar"/>
        </w:rPr>
        <w:t>2023年度-2025年度肇庆市符合公益性捐赠</w:t>
      </w:r>
    </w:p>
    <w:p>
      <w:pPr>
        <w:spacing w:line="6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shd w:val="clear" w:color="auto" w:fill="FFFFFF"/>
          <w:lang w:bidi="ar"/>
        </w:rPr>
        <w:t>税前扣除资格的社会组织名单</w:t>
      </w:r>
    </w:p>
    <w:p>
      <w:pPr>
        <w:spacing w:line="6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shd w:val="clear" w:color="auto" w:fill="FFFFFF"/>
          <w:lang w:eastAsia="zh-CN" w:bidi="ar"/>
        </w:rPr>
        <w:t>（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shd w:val="clear" w:color="auto" w:fill="FFFFFF"/>
          <w:lang w:bidi="ar"/>
        </w:rPr>
        <w:t>7家，排名不分先后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shd w:val="clear" w:color="auto" w:fill="FFFFFF"/>
          <w:lang w:eastAsia="zh-CN" w:bidi="ar"/>
        </w:rPr>
        <w:t>）</w:t>
      </w:r>
    </w:p>
    <w:p>
      <w:pPr>
        <w:spacing w:line="5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  <w:shd w:val="clear" w:color="auto" w:fill="FFFFFF"/>
          <w:lang w:bidi="ar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1.肇庆市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慈善会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肇庆市善助爱心会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肇庆市青怡爱心会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肇庆市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生态保育慈善会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广宁县心连心助孤扶贫慈善会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怀集县心连心助孤扶贫慈善会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7.封开县慈善会</w:t>
      </w:r>
    </w:p>
    <w:p>
      <w:pPr>
        <w:rPr>
          <w:rFonts w:hint="eastAsia" w:ascii="黑体" w:eastAsia="黑体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2024-08-30T08:03:38Z</dcterms:created>
  <dc:creator>xmtyw001</dc:creator>
  <cp:lastModifiedBy>吴秋洁</cp:lastModifiedBy>
  <dcterms:modified xsi:type="dcterms:W3CDTF">2024-08-30T08:03:56Z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