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napToGrid w:val="0"/>
        <w:ind w:right="-42" w:rightChars="-20"/>
        <w:jc w:val="center"/>
        <w:rPr>
          <w:rFonts w:hint="eastAsia" w:asciiTheme="minorEastAsia" w:hAnsiTheme="minorEastAsia" w:eastAsiaTheme="minorEastAsia" w:cstheme="minorEastAsia"/>
          <w:b/>
          <w:bCs/>
          <w:color w:val="auto"/>
          <w:kern w:val="0"/>
          <w:sz w:val="44"/>
          <w:szCs w:val="44"/>
          <w:highlight w:val="none"/>
        </w:rPr>
      </w:pPr>
    </w:p>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hint="eastAsia" w:asciiTheme="minorEastAsia" w:hAnsiTheme="minorEastAsia" w:eastAsiaTheme="minorEastAsia" w:cstheme="minorEastAsia"/>
          <w:b/>
          <w:color w:val="auto"/>
          <w:sz w:val="44"/>
          <w:szCs w:val="44"/>
          <w:highlight w:val="none"/>
          <w:lang w:val="en-US" w:eastAsia="zh-CN"/>
        </w:rPr>
      </w:pPr>
      <w:r>
        <w:rPr>
          <w:rFonts w:hint="eastAsia" w:asciiTheme="minorEastAsia" w:hAnsiTheme="minorEastAsia" w:eastAsiaTheme="minorEastAsia" w:cstheme="minorEastAsia"/>
          <w:b/>
          <w:color w:val="auto"/>
          <w:sz w:val="44"/>
          <w:szCs w:val="44"/>
          <w:highlight w:val="none"/>
          <w:lang w:val="en-US" w:eastAsia="zh-CN"/>
        </w:rPr>
        <w:t>国家税务总局博罗县税务局长宁和石湾税务分局篮球场修缮工程</w:t>
      </w: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lang w:eastAsia="zh-CN"/>
        </w:rPr>
        <w:t>简易</w:t>
      </w:r>
      <w:r>
        <w:rPr>
          <w:rFonts w:hint="eastAsia" w:asciiTheme="minorEastAsia" w:hAnsiTheme="minorEastAsia" w:eastAsiaTheme="minorEastAsia" w:cstheme="minorEastAsia"/>
          <w:b/>
          <w:color w:val="auto"/>
          <w:sz w:val="44"/>
          <w:szCs w:val="44"/>
          <w:highlight w:val="none"/>
        </w:rPr>
        <w:t>磋商文件</w:t>
      </w: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944" w:firstLineChars="295"/>
        <w:jc w:val="center"/>
        <w:textAlignment w:val="baseline"/>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1063" w:firstLineChars="295"/>
        <w:jc w:val="center"/>
        <w:textAlignment w:val="baseline"/>
        <w:rPr>
          <w:rFonts w:hint="default" w:ascii="宋体" w:hAnsi="宋体" w:eastAsia="宋体"/>
          <w:b/>
          <w:bCs/>
          <w:color w:val="auto"/>
          <w:sz w:val="36"/>
          <w:szCs w:val="36"/>
          <w:highlight w:val="none"/>
          <w:lang w:val="en-US" w:eastAsia="zh-CN"/>
        </w:rPr>
      </w:pPr>
      <w:r>
        <w:rPr>
          <w:rFonts w:hint="eastAsia" w:ascii="宋体" w:hAnsi="宋体"/>
          <w:b/>
          <w:bCs/>
          <w:color w:val="auto"/>
          <w:sz w:val="36"/>
          <w:szCs w:val="36"/>
          <w:highlight w:val="none"/>
          <w:lang w:eastAsia="zh-CN"/>
        </w:rPr>
        <w:t>国家税务总局博罗县税务局</w:t>
      </w:r>
      <w:r>
        <w:rPr>
          <w:rFonts w:hint="eastAsia" w:ascii="宋体" w:hAnsi="宋体"/>
          <w:b/>
          <w:bCs/>
          <w:color w:val="auto"/>
          <w:sz w:val="36"/>
          <w:szCs w:val="36"/>
          <w:highlight w:val="none"/>
          <w:lang w:val="en-US" w:eastAsia="zh-CN"/>
        </w:rPr>
        <w:t xml:space="preserve">  编制</w:t>
      </w:r>
    </w:p>
    <w:p>
      <w:pPr>
        <w:pStyle w:val="16"/>
        <w:keepNext w:val="0"/>
        <w:keepLines w:val="0"/>
        <w:pageBreakBefore w:val="0"/>
        <w:widowControl/>
        <w:kinsoku w:val="0"/>
        <w:wordWrap/>
        <w:overflowPunct/>
        <w:topLinePunct w:val="0"/>
        <w:autoSpaceDE w:val="0"/>
        <w:autoSpaceDN w:val="0"/>
        <w:bidi w:val="0"/>
        <w:adjustRightInd w:val="0"/>
        <w:snapToGrid w:val="0"/>
        <w:spacing w:line="720" w:lineRule="exact"/>
        <w:ind w:right="-42" w:rightChars="-20"/>
        <w:jc w:val="center"/>
        <w:textAlignment w:val="baseline"/>
        <w:rPr>
          <w:rFonts w:hint="eastAsia" w:ascii="宋体" w:hAnsi="宋体" w:cs="Times New Roman"/>
          <w:b/>
          <w:bCs/>
          <w:color w:val="auto"/>
          <w:sz w:val="36"/>
          <w:szCs w:val="36"/>
          <w:highlight w:val="none"/>
        </w:rPr>
      </w:pPr>
      <w:r>
        <w:rPr>
          <w:rFonts w:hint="eastAsia" w:ascii="宋体" w:hAnsi="宋体" w:cs="Times New Roman"/>
          <w:b/>
          <w:bCs/>
          <w:color w:val="auto"/>
          <w:sz w:val="36"/>
          <w:szCs w:val="36"/>
          <w:highlight w:val="none"/>
        </w:rPr>
        <w:t>发布时间：</w:t>
      </w:r>
      <w:r>
        <w:rPr>
          <w:rFonts w:ascii="宋体" w:hAnsi="宋体" w:cs="Times New Roman"/>
          <w:b/>
          <w:bCs/>
          <w:color w:val="auto"/>
          <w:sz w:val="36"/>
          <w:szCs w:val="36"/>
          <w:highlight w:val="none"/>
        </w:rPr>
        <w:t xml:space="preserve"> </w:t>
      </w:r>
      <w:r>
        <w:rPr>
          <w:rFonts w:hint="eastAsia" w:ascii="宋体" w:hAnsi="宋体" w:cs="Times New Roman"/>
          <w:b/>
          <w:bCs/>
          <w:color w:val="auto"/>
          <w:sz w:val="36"/>
          <w:szCs w:val="36"/>
          <w:highlight w:val="none"/>
          <w:lang w:eastAsia="zh-CN"/>
        </w:rPr>
        <w:t>202</w:t>
      </w:r>
      <w:r>
        <w:rPr>
          <w:rFonts w:hint="eastAsia" w:ascii="宋体" w:hAnsi="宋体" w:cs="Times New Roman"/>
          <w:b/>
          <w:bCs/>
          <w:color w:val="auto"/>
          <w:sz w:val="36"/>
          <w:szCs w:val="36"/>
          <w:highlight w:val="none"/>
          <w:lang w:val="en-US" w:eastAsia="zh-CN"/>
        </w:rPr>
        <w:t>3</w:t>
      </w:r>
      <w:r>
        <w:rPr>
          <w:rFonts w:hint="eastAsia" w:ascii="宋体" w:hAnsi="宋体" w:cs="Times New Roman"/>
          <w:b/>
          <w:bCs/>
          <w:color w:val="auto"/>
          <w:sz w:val="36"/>
          <w:szCs w:val="36"/>
          <w:highlight w:val="none"/>
          <w:lang w:eastAsia="zh-CN"/>
        </w:rPr>
        <w:t>年</w:t>
      </w:r>
      <w:r>
        <w:rPr>
          <w:rFonts w:hint="eastAsia" w:ascii="宋体" w:hAnsi="宋体" w:cs="Times New Roman"/>
          <w:b/>
          <w:bCs/>
          <w:color w:val="auto"/>
          <w:sz w:val="36"/>
          <w:szCs w:val="36"/>
          <w:highlight w:val="none"/>
          <w:lang w:val="en-US" w:eastAsia="zh-CN"/>
        </w:rPr>
        <w:t>11</w:t>
      </w:r>
      <w:r>
        <w:rPr>
          <w:rFonts w:hint="eastAsia" w:ascii="宋体" w:hAnsi="宋体" w:cs="Times New Roman"/>
          <w:b/>
          <w:bCs/>
          <w:color w:val="auto"/>
          <w:sz w:val="36"/>
          <w:szCs w:val="36"/>
          <w:highlight w:val="none"/>
        </w:rPr>
        <w:t>月</w:t>
      </w:r>
    </w:p>
    <w:p>
      <w:pPr>
        <w:spacing w:before="124" w:line="221" w:lineRule="auto"/>
        <w:ind w:left="1538"/>
        <w:outlineLvl w:val="0"/>
        <w:rPr>
          <w:rFonts w:ascii="宋体" w:hAnsi="宋体" w:eastAsia="宋体" w:cs="宋体"/>
          <w:color w:val="auto"/>
          <w:sz w:val="38"/>
          <w:szCs w:val="38"/>
          <w:highlight w:val="none"/>
        </w:rPr>
      </w:pPr>
    </w:p>
    <w:p>
      <w:pPr>
        <w:spacing w:line="280" w:lineRule="auto"/>
        <w:rPr>
          <w:rFonts w:ascii="Arial"/>
          <w:color w:val="auto"/>
          <w:sz w:val="21"/>
          <w:highlight w:val="none"/>
        </w:rPr>
      </w:pPr>
    </w:p>
    <w:p>
      <w:pPr>
        <w:rPr>
          <w:color w:val="auto"/>
          <w:highlight w:val="none"/>
        </w:rPr>
        <w:sectPr>
          <w:footerReference r:id="rId6" w:type="first"/>
          <w:footerReference r:id="rId5" w:type="default"/>
          <w:pgSz w:w="11900" w:h="16840"/>
          <w:pgMar w:top="1431" w:right="1785" w:bottom="276" w:left="1785" w:header="0" w:footer="0" w:gutter="0"/>
          <w:pgBorders>
            <w:top w:val="none" w:sz="0" w:space="0"/>
            <w:left w:val="none" w:sz="0" w:space="0"/>
            <w:bottom w:val="none" w:sz="0" w:space="0"/>
            <w:right w:val="none" w:sz="0" w:space="0"/>
          </w:pgBorders>
          <w:pgNumType w:fmt="decimal"/>
          <w:cols w:space="720" w:num="1"/>
          <w:titlePg/>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第一章 </w:t>
      </w:r>
      <w:r>
        <w:rPr>
          <w:rFonts w:hint="eastAsia" w:ascii="Times" w:hAnsi="Times" w:eastAsiaTheme="minorEastAsia" w:cstheme="minorBidi"/>
          <w:b/>
          <w:snapToGrid/>
          <w:color w:val="auto"/>
          <w:spacing w:val="10"/>
          <w:kern w:val="0"/>
          <w:sz w:val="36"/>
          <w:szCs w:val="20"/>
          <w:highlight w:val="none"/>
          <w:lang w:val="en-US" w:eastAsia="zh-CN" w:bidi="ar-SA"/>
        </w:rPr>
        <w:t>简易磋商</w:t>
      </w:r>
      <w:r>
        <w:rPr>
          <w:rFonts w:ascii="Times" w:hAnsi="Times" w:eastAsiaTheme="minorEastAsia" w:cstheme="minorBidi"/>
          <w:b/>
          <w:snapToGrid/>
          <w:color w:val="auto"/>
          <w:spacing w:val="10"/>
          <w:kern w:val="0"/>
          <w:sz w:val="36"/>
          <w:szCs w:val="20"/>
          <w:highlight w:val="none"/>
          <w:lang w:val="en-US" w:eastAsia="zh-CN" w:bidi="ar-SA"/>
        </w:rPr>
        <w:t>邀请</w:t>
      </w:r>
    </w:p>
    <w:p>
      <w:pPr>
        <w:widowControl/>
        <w:shd w:val="clear" w:color="auto" w:fill="FFFFFF"/>
        <w:snapToGrid w:val="0"/>
        <w:spacing w:line="360" w:lineRule="auto"/>
        <w:ind w:right="0" w:rightChars="0" w:firstLine="480" w:firstLineChars="200"/>
        <w:textAlignment w:val="baseline"/>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我单位拟对国家税务总局博罗县税务局长宁和石湾税务分局篮球场修缮工程</w:t>
      </w:r>
      <w:r>
        <w:rPr>
          <w:rFonts w:hint="eastAsia" w:ascii="宋体" w:hAnsi="宋体" w:eastAsia="宋体" w:cs="宋体"/>
          <w:color w:val="auto"/>
          <w:kern w:val="0"/>
          <w:sz w:val="24"/>
          <w:szCs w:val="24"/>
          <w:highlight w:val="none"/>
          <w:lang w:val="en-US" w:eastAsia="zh-CN"/>
        </w:rPr>
        <w:t>进行简易磋商采购</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欢迎各供应商参与</w:t>
      </w:r>
      <w:r>
        <w:rPr>
          <w:rFonts w:hint="eastAsia" w:ascii="宋体" w:hAnsi="宋体" w:eastAsia="宋体" w:cs="宋体"/>
          <w:color w:val="auto"/>
          <w:kern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textAlignment w:val="auto"/>
        <w:rPr>
          <w:rFonts w:hint="eastAsia" w:ascii="宋体" w:hAnsi="宋体" w:cs="宋体"/>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项目名称：</w:t>
      </w:r>
      <w:r>
        <w:rPr>
          <w:rFonts w:hint="eastAsia" w:ascii="宋体" w:hAnsi="宋体" w:cs="宋体"/>
          <w:color w:val="auto"/>
          <w:kern w:val="0"/>
          <w:sz w:val="24"/>
          <w:szCs w:val="24"/>
          <w:highlight w:val="none"/>
          <w:lang w:val="en-US" w:eastAsia="zh-CN"/>
        </w:rPr>
        <w:t>国家税务总局博罗县税务局长宁和石湾税务分局篮球场修缮工程</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480" w:firstLineChars="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项目编号：</w:t>
      </w:r>
      <w:r>
        <w:rPr>
          <w:rFonts w:hint="eastAsia" w:ascii="宋体" w:hAnsi="宋体" w:eastAsia="宋体" w:cs="宋体"/>
          <w:color w:val="auto"/>
          <w:sz w:val="24"/>
          <w:szCs w:val="24"/>
          <w:highlight w:val="none"/>
          <w:lang w:val="en-US" w:eastAsia="zh-CN"/>
        </w:rPr>
        <w:t>BLSW20231108</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8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三、磋商内容</w:t>
      </w:r>
    </w:p>
    <w:p>
      <w:pPr>
        <w:spacing w:line="159" w:lineRule="exact"/>
        <w:rPr>
          <w:color w:val="auto"/>
          <w:highlight w:val="none"/>
        </w:rPr>
      </w:pPr>
    </w:p>
    <w:tbl>
      <w:tblPr>
        <w:tblStyle w:val="11"/>
        <w:tblW w:w="101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4072"/>
        <w:gridCol w:w="832"/>
        <w:gridCol w:w="199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838" w:type="dxa"/>
            <w:tcBorders>
              <w:tl2br w:val="nil"/>
              <w:tr2bl w:val="nil"/>
            </w:tcBorders>
            <w:shd w:val="clear" w:color="auto" w:fill="FFFFFF"/>
            <w:vAlign w:val="top"/>
          </w:tcPr>
          <w:p>
            <w:pPr>
              <w:spacing w:before="81" w:line="223" w:lineRule="auto"/>
              <w:ind w:left="225"/>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包</w:t>
            </w:r>
            <w:r>
              <w:rPr>
                <w:rFonts w:ascii="宋体" w:hAnsi="宋体" w:eastAsia="宋体" w:cs="宋体"/>
                <w:color w:val="auto"/>
                <w:spacing w:val="3"/>
                <w:sz w:val="24"/>
                <w:szCs w:val="24"/>
                <w:highlight w:val="none"/>
              </w:rPr>
              <w:t>号</w:t>
            </w:r>
          </w:p>
        </w:tc>
        <w:tc>
          <w:tcPr>
            <w:tcW w:w="4072" w:type="dxa"/>
            <w:tcBorders>
              <w:tl2br w:val="nil"/>
              <w:tr2bl w:val="nil"/>
            </w:tcBorders>
            <w:shd w:val="clear" w:color="auto" w:fill="FFFFFF"/>
            <w:vAlign w:val="top"/>
          </w:tcPr>
          <w:p>
            <w:pPr>
              <w:spacing w:before="82" w:line="219" w:lineRule="auto"/>
              <w:ind w:left="1089"/>
              <w:rPr>
                <w:rFonts w:ascii="宋体" w:hAnsi="宋体" w:eastAsia="宋体" w:cs="宋体"/>
                <w:color w:val="auto"/>
                <w:sz w:val="24"/>
                <w:szCs w:val="24"/>
                <w:highlight w:val="none"/>
              </w:rPr>
            </w:pPr>
            <w:r>
              <w:rPr>
                <w:rFonts w:ascii="宋体" w:hAnsi="宋体" w:eastAsia="宋体" w:cs="宋体"/>
                <w:color w:val="auto"/>
                <w:spacing w:val="15"/>
                <w:sz w:val="24"/>
                <w:szCs w:val="24"/>
                <w:highlight w:val="none"/>
              </w:rPr>
              <w:t>货</w:t>
            </w:r>
            <w:r>
              <w:rPr>
                <w:rFonts w:ascii="宋体" w:hAnsi="宋体" w:eastAsia="宋体" w:cs="宋体"/>
                <w:color w:val="auto"/>
                <w:spacing w:val="11"/>
                <w:sz w:val="24"/>
                <w:szCs w:val="24"/>
                <w:highlight w:val="none"/>
              </w:rPr>
              <w:t>物、服务和工程名称</w:t>
            </w:r>
          </w:p>
        </w:tc>
        <w:tc>
          <w:tcPr>
            <w:tcW w:w="832" w:type="dxa"/>
            <w:tcBorders>
              <w:tl2br w:val="nil"/>
              <w:tr2bl w:val="nil"/>
            </w:tcBorders>
            <w:shd w:val="clear" w:color="auto" w:fill="FFFFFF"/>
            <w:vAlign w:val="top"/>
          </w:tcPr>
          <w:p>
            <w:pPr>
              <w:spacing w:before="82" w:line="221" w:lineRule="auto"/>
              <w:ind w:left="22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数</w:t>
            </w:r>
            <w:r>
              <w:rPr>
                <w:rFonts w:ascii="宋体" w:hAnsi="宋体" w:eastAsia="宋体" w:cs="宋体"/>
                <w:color w:val="auto"/>
                <w:spacing w:val="2"/>
                <w:sz w:val="24"/>
                <w:szCs w:val="24"/>
                <w:highlight w:val="none"/>
              </w:rPr>
              <w:t>量</w:t>
            </w:r>
          </w:p>
        </w:tc>
        <w:tc>
          <w:tcPr>
            <w:tcW w:w="1990" w:type="dxa"/>
            <w:tcBorders>
              <w:tl2br w:val="nil"/>
              <w:tr2bl w:val="nil"/>
            </w:tcBorders>
            <w:shd w:val="clear" w:color="auto" w:fill="FFFFFF"/>
            <w:vAlign w:val="top"/>
          </w:tcPr>
          <w:p>
            <w:pPr>
              <w:spacing w:before="81" w:line="221" w:lineRule="auto"/>
              <w:ind w:left="621"/>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采购需</w:t>
            </w:r>
            <w:r>
              <w:rPr>
                <w:rFonts w:ascii="宋体" w:hAnsi="宋体" w:eastAsia="宋体" w:cs="宋体"/>
                <w:color w:val="auto"/>
                <w:spacing w:val="8"/>
                <w:sz w:val="24"/>
                <w:szCs w:val="24"/>
                <w:highlight w:val="none"/>
              </w:rPr>
              <w:t>求</w:t>
            </w:r>
          </w:p>
        </w:tc>
        <w:tc>
          <w:tcPr>
            <w:tcW w:w="2446" w:type="dxa"/>
            <w:tcBorders>
              <w:tl2br w:val="nil"/>
              <w:tr2bl w:val="nil"/>
            </w:tcBorders>
            <w:shd w:val="clear" w:color="auto" w:fill="FFFFFF"/>
            <w:vAlign w:val="top"/>
          </w:tcPr>
          <w:p>
            <w:pPr>
              <w:spacing w:before="81" w:line="220" w:lineRule="auto"/>
              <w:ind w:left="55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预算金额 (元</w:t>
            </w:r>
            <w:r>
              <w:rPr>
                <w:rFonts w:ascii="宋体" w:hAnsi="宋体" w:eastAsia="宋体" w:cs="宋体"/>
                <w:color w:val="auto"/>
                <w:spacing w:val="7"/>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838" w:type="dxa"/>
            <w:tcBorders>
              <w:tl2br w:val="nil"/>
              <w:tr2bl w:val="nil"/>
            </w:tcBorders>
            <w:shd w:val="clear" w:color="auto" w:fill="FFFFFF"/>
            <w:vAlign w:val="center"/>
          </w:tcPr>
          <w:p>
            <w:pPr>
              <w:spacing w:before="101" w:line="186" w:lineRule="auto"/>
              <w:ind w:left="389"/>
              <w:jc w:val="center"/>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4072" w:type="dxa"/>
            <w:tcBorders>
              <w:tl2br w:val="nil"/>
              <w:tr2bl w:val="nil"/>
            </w:tcBorders>
            <w:shd w:val="clear" w:color="auto" w:fill="FFFFFF"/>
            <w:vAlign w:val="center"/>
          </w:tcPr>
          <w:p>
            <w:pPr>
              <w:spacing w:before="79" w:line="218" w:lineRule="auto"/>
              <w:ind w:left="866"/>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lang w:eastAsia="zh-CN"/>
              </w:rPr>
              <w:t>国家税务总局博罗县税务局长宁和石湾税务分局篮球场修缮工程</w:t>
            </w:r>
          </w:p>
        </w:tc>
        <w:tc>
          <w:tcPr>
            <w:tcW w:w="832" w:type="dxa"/>
            <w:tcBorders>
              <w:tl2br w:val="nil"/>
              <w:tr2bl w:val="nil"/>
            </w:tcBorders>
            <w:shd w:val="clear" w:color="auto" w:fill="FFFFFF"/>
            <w:vAlign w:val="center"/>
          </w:tcPr>
          <w:p>
            <w:pPr>
              <w:spacing w:before="101" w:line="186" w:lineRule="auto"/>
              <w:ind w:left="388"/>
              <w:jc w:val="center"/>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1990" w:type="dxa"/>
            <w:tcBorders>
              <w:tl2br w:val="nil"/>
              <w:tr2bl w:val="nil"/>
            </w:tcBorders>
            <w:shd w:val="clear" w:color="auto" w:fill="FFFFFF"/>
            <w:vAlign w:val="center"/>
          </w:tcPr>
          <w:p>
            <w:pPr>
              <w:spacing w:before="78" w:line="221" w:lineRule="auto"/>
              <w:ind w:left="462"/>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详见采购文件</w:t>
            </w:r>
          </w:p>
        </w:tc>
        <w:tc>
          <w:tcPr>
            <w:tcW w:w="2446" w:type="dxa"/>
            <w:tcBorders>
              <w:tl2br w:val="nil"/>
              <w:tr2bl w:val="nil"/>
            </w:tcBorders>
            <w:shd w:val="clear" w:color="auto" w:fill="FFFFFF"/>
            <w:vAlign w:val="center"/>
          </w:tcPr>
          <w:p>
            <w:pPr>
              <w:spacing w:before="78" w:line="221" w:lineRule="auto"/>
              <w:ind w:left="462"/>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185000.00</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四、工期及地点：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1.工期：合同签订后</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lang w:eastAsia="zh-CN"/>
        </w:rPr>
        <w:t>个日历日内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2.地点：甲方指定地点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五、参加简易磋商的供应商要求：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(1)供应商为在中华人民共和国境内注册的能独立承担</w:t>
      </w:r>
      <w:bookmarkStart w:id="33" w:name="_GoBack"/>
      <w:bookmarkEnd w:id="33"/>
      <w:r>
        <w:rPr>
          <w:rFonts w:hint="eastAsia" w:ascii="宋体" w:hAnsi="宋体" w:eastAsia="宋体" w:cs="宋体"/>
          <w:color w:val="auto"/>
          <w:sz w:val="24"/>
          <w:szCs w:val="24"/>
          <w:highlight w:val="none"/>
          <w:lang w:eastAsia="zh-CN"/>
        </w:rPr>
        <w:t>民事责任的法人，取得合法营业执照并具有相关的经营范围，有固定的营业地址。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(3)本项目不接受联合体投标，不允许投标人对本招标项目进行分包和转包。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(4)前期为本采购项目提供整体设计、规范编制或者项目管理、监理、检测等服务的供应商，不得参加该本次采购活动。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六、参与资格和简易磋商文件获取方式、时间及地点：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lang w:eastAsia="zh-CN"/>
        </w:rPr>
        <w:t>获取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2.获取磋商文件的时间：详见磋商公告。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3.获取磋商文件的地点：详见磋商公告。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七、磋商文件售价：免费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八、询问提起与受理：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供应商对政府采购活动有疑问或有异议的，可通过以下方式进行询问：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对采购文件的询问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采购文件处项目经办人 详见磋商公告 电话：详见磋商公告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(二)对评审过程和结果的询问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递交响应文件的供应商应在评审现场以书面形式向代理机构提出。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九、质疑提起与受理：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对磋商文件的质疑：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采购文件质疑联系人：杨先生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采购文件质疑联系电话：0752-6288986</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 xml:space="preserve"> 对磋商过程和结果的质疑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2）质疑供应商应当以书面形式向</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lang w:eastAsia="zh-CN"/>
        </w:rPr>
        <w:t>提交《质疑函》。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磋商过程和结果质疑：详见成交公告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十、提交简易磋商首次响应文件截止时间及磋商时间、地点：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递交响应文件截止时间：详见磋商公告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十一、发布公告的媒介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国家税务总局博罗县税务局网站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十二、联系信息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采购单位：国家税务总局博罗县税务局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地址：博罗县罗阳街道中城北路245号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sectPr>
          <w:footerReference r:id="rId7" w:type="default"/>
          <w:pgSz w:w="11900" w:h="16840"/>
          <w:pgMar w:top="949" w:right="850" w:bottom="850" w:left="850" w:header="567" w:footer="567"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color w:val="auto"/>
          <w:sz w:val="24"/>
          <w:szCs w:val="24"/>
          <w:highlight w:val="none"/>
          <w:lang w:eastAsia="zh-CN"/>
        </w:rPr>
        <w:t>联系方式： 0752-6288986</w:t>
      </w:r>
    </w:p>
    <w:p>
      <w:pPr>
        <w:spacing w:before="57" w:line="224" w:lineRule="auto"/>
        <w:rPr>
          <w:rFonts w:ascii="宋体" w:hAnsi="宋体" w:eastAsia="宋体" w:cs="宋体"/>
          <w:color w:val="auto"/>
          <w:spacing w:val="11"/>
          <w:sz w:val="28"/>
          <w:szCs w:val="28"/>
          <w:highlight w:val="none"/>
        </w:r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第二章 采购人需求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本次项目为国家税务总局博罗县税务局长宁和石湾税务分局篮球场修缮工程，预算金额：</w:t>
      </w:r>
      <w:r>
        <w:rPr>
          <w:rFonts w:hint="eastAsia" w:ascii="宋体" w:hAnsi="宋体" w:eastAsia="宋体" w:cs="宋体"/>
          <w:color w:val="auto"/>
          <w:sz w:val="24"/>
          <w:szCs w:val="24"/>
          <w:highlight w:val="none"/>
          <w:lang w:val="en-US" w:eastAsia="zh-CN"/>
        </w:rPr>
        <w:t>185000.00</w:t>
      </w:r>
      <w:r>
        <w:rPr>
          <w:rFonts w:hint="eastAsia" w:ascii="宋体" w:hAnsi="宋体" w:eastAsia="宋体" w:cs="宋体"/>
          <w:color w:val="auto"/>
          <w:sz w:val="24"/>
          <w:szCs w:val="24"/>
          <w:highlight w:val="none"/>
          <w:lang w:eastAsia="zh-CN"/>
        </w:rPr>
        <w:t>元，按采购人提供的施工图纸和有关资料及说明进行施工及保修，具体以施工图纸、工程量清单及采购人的书面通知为准，当施工图纸与工程量清单不一致时，以采购人书面通知为准。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合同包1  (国家税务总局博罗县税务局长宁和石湾税务分局篮球场修缮工程)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.主要商务要求</w:t>
      </w:r>
    </w:p>
    <w:p>
      <w:pPr>
        <w:spacing w:line="14" w:lineRule="exact"/>
        <w:rPr>
          <w:color w:val="auto"/>
          <w:highlight w:val="none"/>
        </w:rPr>
      </w:pPr>
    </w:p>
    <w:tbl>
      <w:tblPr>
        <w:tblStyle w:val="11"/>
        <w:tblW w:w="97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3468" w:type="dxa"/>
            <w:tcBorders>
              <w:tl2br w:val="nil"/>
              <w:tr2bl w:val="nil"/>
            </w:tcBorders>
            <w:shd w:val="clear" w:color="auto" w:fill="FFFFFF"/>
            <w:vAlign w:val="top"/>
          </w:tcPr>
          <w:p>
            <w:pPr>
              <w:spacing w:before="81"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的时间</w:t>
            </w:r>
          </w:p>
        </w:tc>
        <w:tc>
          <w:tcPr>
            <w:tcW w:w="6331" w:type="dxa"/>
            <w:tcBorders>
              <w:tl2br w:val="nil"/>
              <w:tr2bl w:val="nil"/>
            </w:tcBorders>
            <w:shd w:val="clear" w:color="auto" w:fill="FFFFFF"/>
            <w:vAlign w:val="top"/>
          </w:tcPr>
          <w:p>
            <w:pPr>
              <w:spacing w:before="82" w:line="187" w:lineRule="auto"/>
              <w:ind w:left="68"/>
              <w:rPr>
                <w:rFonts w:hint="eastAsia" w:ascii="宋体" w:hAnsi="宋体" w:eastAsia="宋体" w:cs="宋体"/>
                <w:color w:val="auto"/>
                <w:sz w:val="19"/>
                <w:szCs w:val="19"/>
                <w:highlight w:val="none"/>
                <w:lang w:eastAsia="zh-CN"/>
              </w:rPr>
            </w:pPr>
            <w:r>
              <w:rPr>
                <w:rFonts w:ascii="宋体" w:hAnsi="宋体" w:eastAsia="宋体" w:cs="宋体"/>
                <w:color w:val="auto"/>
                <w:spacing w:val="4"/>
                <w:sz w:val="19"/>
                <w:szCs w:val="19"/>
                <w:highlight w:val="none"/>
              </w:rPr>
              <w:t>合同签</w:t>
            </w:r>
            <w:r>
              <w:rPr>
                <w:rFonts w:ascii="宋体" w:hAnsi="宋体" w:eastAsia="宋体" w:cs="宋体"/>
                <w:color w:val="auto"/>
                <w:spacing w:val="2"/>
                <w:sz w:val="19"/>
                <w:szCs w:val="19"/>
                <w:highlight w:val="none"/>
              </w:rPr>
              <w:t>订后</w:t>
            </w:r>
            <w:r>
              <w:rPr>
                <w:rFonts w:hint="eastAsia" w:ascii="Microsoft JhengHei" w:hAnsi="Microsoft JhengHei" w:eastAsia="宋体" w:cs="Microsoft JhengHei"/>
                <w:color w:val="auto"/>
                <w:spacing w:val="2"/>
                <w:sz w:val="19"/>
                <w:szCs w:val="19"/>
                <w:highlight w:val="none"/>
                <w:lang w:val="en-US" w:eastAsia="zh-CN"/>
              </w:rPr>
              <w:t>60</w:t>
            </w:r>
            <w:r>
              <w:rPr>
                <w:rFonts w:ascii="宋体" w:hAnsi="宋体" w:eastAsia="宋体" w:cs="宋体"/>
                <w:color w:val="auto"/>
                <w:spacing w:val="2"/>
                <w:sz w:val="19"/>
                <w:szCs w:val="19"/>
                <w:highlight w:val="none"/>
              </w:rPr>
              <w:t>个日历日</w:t>
            </w:r>
            <w:r>
              <w:rPr>
                <w:rFonts w:hint="eastAsia" w:ascii="宋体" w:hAnsi="宋体" w:eastAsia="宋体" w:cs="宋体"/>
                <w:color w:val="auto"/>
                <w:spacing w:val="2"/>
                <w:sz w:val="19"/>
                <w:szCs w:val="19"/>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6"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的地点</w:t>
            </w:r>
          </w:p>
        </w:tc>
        <w:tc>
          <w:tcPr>
            <w:tcW w:w="6331" w:type="dxa"/>
            <w:tcBorders>
              <w:tl2br w:val="nil"/>
              <w:tr2bl w:val="nil"/>
            </w:tcBorders>
            <w:shd w:val="clear" w:color="auto" w:fill="FFFFFF"/>
            <w:vAlign w:val="top"/>
          </w:tcPr>
          <w:p>
            <w:pPr>
              <w:spacing w:before="77" w:line="222" w:lineRule="auto"/>
              <w:ind w:left="92"/>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甲</w:t>
            </w:r>
            <w:r>
              <w:rPr>
                <w:rFonts w:ascii="宋体" w:hAnsi="宋体" w:eastAsia="宋体" w:cs="宋体"/>
                <w:color w:val="auto"/>
                <w:spacing w:val="-4"/>
                <w:sz w:val="19"/>
                <w:szCs w:val="19"/>
                <w:highlight w:val="none"/>
              </w:rPr>
              <w:t>方</w:t>
            </w:r>
            <w:r>
              <w:rPr>
                <w:rFonts w:ascii="宋体" w:hAnsi="宋体" w:eastAsia="宋体" w:cs="宋体"/>
                <w:color w:val="auto"/>
                <w:spacing w:val="-3"/>
                <w:sz w:val="19"/>
                <w:szCs w:val="19"/>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8"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投标</w:t>
            </w:r>
            <w:r>
              <w:rPr>
                <w:rFonts w:ascii="宋体" w:hAnsi="宋体" w:eastAsia="宋体" w:cs="宋体"/>
                <w:color w:val="auto"/>
                <w:sz w:val="19"/>
                <w:szCs w:val="19"/>
                <w:highlight w:val="none"/>
              </w:rPr>
              <w:t>有效期</w:t>
            </w:r>
          </w:p>
        </w:tc>
        <w:tc>
          <w:tcPr>
            <w:tcW w:w="6331" w:type="dxa"/>
            <w:tcBorders>
              <w:tl2br w:val="nil"/>
              <w:tr2bl w:val="nil"/>
            </w:tcBorders>
            <w:shd w:val="clear" w:color="auto" w:fill="FFFFFF"/>
            <w:vAlign w:val="top"/>
          </w:tcPr>
          <w:p>
            <w:pPr>
              <w:spacing w:before="77" w:line="189" w:lineRule="auto"/>
              <w:ind w:left="6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从</w:t>
            </w:r>
            <w:r>
              <w:rPr>
                <w:rFonts w:ascii="宋体" w:hAnsi="宋体" w:eastAsia="宋体" w:cs="宋体"/>
                <w:color w:val="auto"/>
                <w:spacing w:val="2"/>
                <w:sz w:val="19"/>
                <w:szCs w:val="19"/>
                <w:highlight w:val="none"/>
              </w:rPr>
              <w:t>提交投标 (响应) 文件的截止之日起</w:t>
            </w:r>
            <w:r>
              <w:rPr>
                <w:rFonts w:ascii="Microsoft JhengHei" w:hAnsi="Microsoft JhengHei" w:eastAsia="Microsoft JhengHei" w:cs="Microsoft JhengHei"/>
                <w:color w:val="auto"/>
                <w:spacing w:val="2"/>
                <w:sz w:val="19"/>
                <w:szCs w:val="19"/>
                <w:highlight w:val="none"/>
              </w:rPr>
              <w:t>90</w:t>
            </w:r>
            <w:r>
              <w:rPr>
                <w:rFonts w:ascii="宋体" w:hAnsi="宋体" w:eastAsia="宋体" w:cs="宋体"/>
                <w:color w:val="auto"/>
                <w:spacing w:val="2"/>
                <w:sz w:val="19"/>
                <w:szCs w:val="19"/>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3468" w:type="dxa"/>
            <w:tcBorders>
              <w:tl2br w:val="nil"/>
              <w:tr2bl w:val="nil"/>
            </w:tcBorders>
            <w:shd w:val="clear" w:color="auto" w:fill="FFFFFF"/>
            <w:vAlign w:val="top"/>
          </w:tcPr>
          <w:p>
            <w:pPr>
              <w:spacing w:before="79"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付</w:t>
            </w:r>
            <w:r>
              <w:rPr>
                <w:rFonts w:ascii="宋体" w:hAnsi="宋体" w:eastAsia="宋体" w:cs="宋体"/>
                <w:color w:val="auto"/>
                <w:sz w:val="19"/>
                <w:szCs w:val="19"/>
                <w:highlight w:val="none"/>
              </w:rPr>
              <w:t>款方式</w:t>
            </w:r>
          </w:p>
        </w:tc>
        <w:tc>
          <w:tcPr>
            <w:tcW w:w="6331" w:type="dxa"/>
            <w:tcBorders>
              <w:tl2br w:val="nil"/>
              <w:tr2bl w:val="nil"/>
            </w:tcBorders>
            <w:shd w:val="clear" w:color="auto" w:fill="FFFFFF"/>
            <w:vAlign w:val="top"/>
          </w:tcPr>
          <w:p>
            <w:pPr>
              <w:spacing w:before="20" w:line="345" w:lineRule="exact"/>
              <w:ind w:left="81"/>
              <w:rPr>
                <w:rFonts w:ascii="宋体" w:hAnsi="宋体" w:eastAsia="宋体" w:cs="宋体"/>
                <w:color w:val="auto"/>
                <w:sz w:val="19"/>
                <w:szCs w:val="19"/>
                <w:highlight w:val="none"/>
              </w:rPr>
            </w:pPr>
            <w:r>
              <w:rPr>
                <w:rFonts w:ascii="宋体" w:hAnsi="宋体" w:eastAsia="宋体" w:cs="宋体"/>
                <w:color w:val="auto"/>
                <w:spacing w:val="1"/>
                <w:position w:val="4"/>
                <w:sz w:val="19"/>
                <w:szCs w:val="19"/>
                <w:highlight w:val="none"/>
              </w:rPr>
              <w:t>合同</w:t>
            </w:r>
            <w:r>
              <w:rPr>
                <w:rFonts w:ascii="宋体" w:hAnsi="宋体" w:eastAsia="宋体" w:cs="宋体"/>
                <w:color w:val="auto"/>
                <w:position w:val="4"/>
                <w:sz w:val="19"/>
                <w:szCs w:val="19"/>
                <w:highlight w:val="none"/>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验</w:t>
            </w:r>
            <w:r>
              <w:rPr>
                <w:rFonts w:ascii="宋体" w:hAnsi="宋体" w:eastAsia="宋体" w:cs="宋体"/>
                <w:color w:val="auto"/>
                <w:sz w:val="19"/>
                <w:szCs w:val="19"/>
                <w:highlight w:val="none"/>
              </w:rPr>
              <w:t>收要求</w:t>
            </w:r>
          </w:p>
        </w:tc>
        <w:tc>
          <w:tcPr>
            <w:tcW w:w="6331" w:type="dxa"/>
            <w:tcBorders>
              <w:tl2br w:val="nil"/>
              <w:tr2bl w:val="nil"/>
            </w:tcBorders>
            <w:shd w:val="clear" w:color="auto" w:fill="FFFFFF"/>
            <w:vAlign w:val="top"/>
          </w:tcPr>
          <w:p>
            <w:pPr>
              <w:spacing w:before="80" w:line="189" w:lineRule="auto"/>
              <w:ind w:left="81"/>
              <w:rPr>
                <w:rFonts w:ascii="宋体" w:hAnsi="宋体" w:eastAsia="宋体" w:cs="宋体"/>
                <w:color w:val="auto"/>
                <w:sz w:val="19"/>
                <w:szCs w:val="19"/>
                <w:highlight w:val="none"/>
              </w:rPr>
            </w:pPr>
            <w:r>
              <w:rPr>
                <w:rFonts w:ascii="宋体" w:hAnsi="宋体" w:eastAsia="宋体" w:cs="宋体"/>
                <w:color w:val="auto"/>
                <w:sz w:val="19"/>
                <w:szCs w:val="19"/>
                <w:highlight w:val="none"/>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履约</w:t>
            </w:r>
            <w:r>
              <w:rPr>
                <w:rFonts w:ascii="宋体" w:hAnsi="宋体" w:eastAsia="宋体" w:cs="宋体"/>
                <w:color w:val="auto"/>
                <w:sz w:val="19"/>
                <w:szCs w:val="19"/>
                <w:highlight w:val="none"/>
              </w:rPr>
              <w:t>保证金</w:t>
            </w:r>
          </w:p>
        </w:tc>
        <w:tc>
          <w:tcPr>
            <w:tcW w:w="6331" w:type="dxa"/>
            <w:tcBorders>
              <w:tl2br w:val="nil"/>
              <w:tr2bl w:val="nil"/>
            </w:tcBorders>
            <w:shd w:val="clear" w:color="auto" w:fill="FFFFFF"/>
            <w:vAlign w:val="top"/>
          </w:tcPr>
          <w:p>
            <w:pPr>
              <w:spacing w:before="80" w:line="221" w:lineRule="auto"/>
              <w:ind w:left="70"/>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3468" w:type="dxa"/>
            <w:tcBorders>
              <w:tl2br w:val="nil"/>
              <w:tr2bl w:val="nil"/>
            </w:tcBorders>
            <w:shd w:val="clear" w:color="auto" w:fill="FFFFFF"/>
            <w:vAlign w:val="top"/>
          </w:tcPr>
          <w:p>
            <w:pPr>
              <w:spacing w:before="80" w:line="219" w:lineRule="auto"/>
              <w:ind w:left="1678"/>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其他</w:t>
            </w:r>
          </w:p>
        </w:tc>
        <w:tc>
          <w:tcPr>
            <w:tcW w:w="6331" w:type="dxa"/>
            <w:tcBorders>
              <w:tl2br w:val="nil"/>
              <w:tr2bl w:val="nil"/>
            </w:tcBorders>
            <w:shd w:val="clear" w:color="auto" w:fill="FFFFFF"/>
            <w:vAlign w:val="top"/>
          </w:tcPr>
          <w:p>
            <w:pPr>
              <w:rPr>
                <w:rFonts w:ascii="Arial"/>
                <w:color w:val="auto"/>
                <w:sz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.技术标准与要求</w:t>
      </w:r>
    </w:p>
    <w:p>
      <w:pPr>
        <w:spacing w:line="14" w:lineRule="exact"/>
        <w:rPr>
          <w:color w:val="auto"/>
          <w:highlight w:val="none"/>
        </w:rPr>
      </w:pPr>
    </w:p>
    <w:tbl>
      <w:tblPr>
        <w:tblStyle w:val="11"/>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1221"/>
        <w:gridCol w:w="1546"/>
        <w:gridCol w:w="1814"/>
        <w:gridCol w:w="372"/>
        <w:gridCol w:w="767"/>
        <w:gridCol w:w="1302"/>
        <w:gridCol w:w="122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378" w:type="dxa"/>
            <w:tcBorders>
              <w:tl2br w:val="nil"/>
              <w:tr2bl w:val="nil"/>
            </w:tcBorders>
            <w:shd w:val="clear" w:color="auto" w:fill="FFFFFF"/>
            <w:textDirection w:val="tbRlV"/>
            <w:vAlign w:val="top"/>
          </w:tcPr>
          <w:p>
            <w:pPr>
              <w:spacing w:before="103" w:line="216"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序</w:t>
            </w:r>
            <w:r>
              <w:rPr>
                <w:rFonts w:ascii="宋体" w:hAnsi="宋体" w:eastAsia="宋体" w:cs="宋体"/>
                <w:color w:val="auto"/>
                <w:spacing w:val="25"/>
                <w:sz w:val="19"/>
                <w:szCs w:val="19"/>
                <w:highlight w:val="none"/>
              </w:rPr>
              <w:t xml:space="preserve"> 号</w:t>
            </w:r>
          </w:p>
        </w:tc>
        <w:tc>
          <w:tcPr>
            <w:tcW w:w="1221" w:type="dxa"/>
            <w:tcBorders>
              <w:tl2br w:val="nil"/>
              <w:tr2bl w:val="nil"/>
            </w:tcBorders>
            <w:shd w:val="clear" w:color="auto" w:fill="FFFFFF"/>
            <w:vAlign w:val="top"/>
          </w:tcPr>
          <w:p>
            <w:pPr>
              <w:spacing w:before="81" w:line="221" w:lineRule="auto"/>
              <w:ind w:left="21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核心产品</w:t>
            </w:r>
          </w:p>
          <w:p>
            <w:pPr>
              <w:spacing w:before="72" w:line="348" w:lineRule="exact"/>
              <w:ind w:left="219"/>
              <w:rPr>
                <w:rFonts w:ascii="宋体" w:hAnsi="宋体" w:eastAsia="宋体" w:cs="宋体"/>
                <w:color w:val="auto"/>
                <w:sz w:val="19"/>
                <w:szCs w:val="19"/>
                <w:highlight w:val="none"/>
              </w:rPr>
            </w:pPr>
            <w:r>
              <w:rPr>
                <w:rFonts w:ascii="宋体" w:hAnsi="宋体" w:eastAsia="宋体" w:cs="宋体"/>
                <w:color w:val="auto"/>
                <w:spacing w:val="9"/>
                <w:position w:val="4"/>
                <w:sz w:val="19"/>
                <w:szCs w:val="19"/>
                <w:highlight w:val="none"/>
              </w:rPr>
              <w:t>(</w:t>
            </w:r>
            <w:r>
              <w:rPr>
                <w:rFonts w:ascii="Microsoft JhengHei" w:hAnsi="Microsoft JhengHei" w:eastAsia="Microsoft JhengHei" w:cs="Microsoft JhengHei"/>
                <w:b/>
                <w:bCs/>
                <w:color w:val="auto"/>
                <w:spacing w:val="7"/>
                <w:position w:val="4"/>
                <w:sz w:val="19"/>
                <w:szCs w:val="19"/>
                <w:highlight w:val="none"/>
              </w:rPr>
              <w:t>“△”</w:t>
            </w:r>
            <w:r>
              <w:rPr>
                <w:rFonts w:ascii="宋体" w:hAnsi="宋体" w:eastAsia="宋体" w:cs="宋体"/>
                <w:color w:val="auto"/>
                <w:spacing w:val="7"/>
                <w:position w:val="4"/>
                <w:sz w:val="19"/>
                <w:szCs w:val="19"/>
                <w:highlight w:val="none"/>
              </w:rPr>
              <w:t>)</w:t>
            </w:r>
          </w:p>
        </w:tc>
        <w:tc>
          <w:tcPr>
            <w:tcW w:w="1546" w:type="dxa"/>
            <w:tcBorders>
              <w:tl2br w:val="nil"/>
              <w:tr2bl w:val="nil"/>
            </w:tcBorders>
            <w:shd w:val="clear" w:color="auto" w:fill="FFFFFF"/>
            <w:vAlign w:val="top"/>
          </w:tcPr>
          <w:p>
            <w:pPr>
              <w:spacing w:before="262" w:line="223" w:lineRule="auto"/>
              <w:ind w:left="398"/>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品目名</w:t>
            </w:r>
            <w:r>
              <w:rPr>
                <w:rFonts w:ascii="宋体" w:hAnsi="宋体" w:eastAsia="宋体" w:cs="宋体"/>
                <w:color w:val="auto"/>
                <w:spacing w:val="4"/>
                <w:sz w:val="19"/>
                <w:szCs w:val="19"/>
                <w:highlight w:val="none"/>
              </w:rPr>
              <w:t>称</w:t>
            </w:r>
          </w:p>
        </w:tc>
        <w:tc>
          <w:tcPr>
            <w:tcW w:w="1814" w:type="dxa"/>
            <w:tcBorders>
              <w:tl2br w:val="nil"/>
              <w:tr2bl w:val="nil"/>
            </w:tcBorders>
            <w:shd w:val="clear" w:color="auto" w:fill="FFFFFF"/>
            <w:vAlign w:val="top"/>
          </w:tcPr>
          <w:p>
            <w:pPr>
              <w:spacing w:before="262" w:line="222" w:lineRule="auto"/>
              <w:ind w:left="52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标</w:t>
            </w:r>
            <w:r>
              <w:rPr>
                <w:rFonts w:ascii="宋体" w:hAnsi="宋体" w:eastAsia="宋体" w:cs="宋体"/>
                <w:color w:val="auto"/>
                <w:spacing w:val="8"/>
                <w:sz w:val="19"/>
                <w:szCs w:val="19"/>
                <w:highlight w:val="none"/>
              </w:rPr>
              <w:t>的名称</w:t>
            </w:r>
          </w:p>
        </w:tc>
        <w:tc>
          <w:tcPr>
            <w:tcW w:w="372" w:type="dxa"/>
            <w:tcBorders>
              <w:tl2br w:val="nil"/>
              <w:tr2bl w:val="nil"/>
            </w:tcBorders>
            <w:shd w:val="clear" w:color="auto" w:fill="FFFFFF"/>
            <w:textDirection w:val="tbRlV"/>
            <w:vAlign w:val="top"/>
          </w:tcPr>
          <w:p>
            <w:pPr>
              <w:spacing w:before="98" w:line="215"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单</w:t>
            </w:r>
            <w:r>
              <w:rPr>
                <w:rFonts w:ascii="宋体" w:hAnsi="宋体" w:eastAsia="宋体" w:cs="宋体"/>
                <w:color w:val="auto"/>
                <w:spacing w:val="25"/>
                <w:sz w:val="19"/>
                <w:szCs w:val="19"/>
                <w:highlight w:val="none"/>
              </w:rPr>
              <w:t xml:space="preserve"> 位</w:t>
            </w:r>
          </w:p>
        </w:tc>
        <w:tc>
          <w:tcPr>
            <w:tcW w:w="767" w:type="dxa"/>
            <w:tcBorders>
              <w:tl2br w:val="nil"/>
              <w:tr2bl w:val="nil"/>
            </w:tcBorders>
            <w:shd w:val="clear" w:color="auto" w:fill="FFFFFF"/>
            <w:vAlign w:val="top"/>
          </w:tcPr>
          <w:p>
            <w:pPr>
              <w:spacing w:before="262" w:line="221" w:lineRule="auto"/>
              <w:ind w:left="18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数</w:t>
            </w:r>
            <w:r>
              <w:rPr>
                <w:rFonts w:ascii="宋体" w:hAnsi="宋体" w:eastAsia="宋体" w:cs="宋体"/>
                <w:color w:val="auto"/>
                <w:spacing w:val="2"/>
                <w:sz w:val="19"/>
                <w:szCs w:val="19"/>
                <w:highlight w:val="none"/>
              </w:rPr>
              <w:t>量</w:t>
            </w:r>
          </w:p>
        </w:tc>
        <w:tc>
          <w:tcPr>
            <w:tcW w:w="1302" w:type="dxa"/>
            <w:tcBorders>
              <w:tl2br w:val="nil"/>
              <w:tr2bl w:val="nil"/>
            </w:tcBorders>
            <w:shd w:val="clear" w:color="auto" w:fill="FFFFFF"/>
            <w:vAlign w:val="top"/>
          </w:tcPr>
          <w:p>
            <w:pPr>
              <w:spacing w:before="82" w:line="360" w:lineRule="exact"/>
              <w:ind w:left="162"/>
              <w:rPr>
                <w:rFonts w:ascii="宋体" w:hAnsi="宋体" w:eastAsia="宋体" w:cs="宋体"/>
                <w:color w:val="auto"/>
                <w:sz w:val="19"/>
                <w:szCs w:val="19"/>
                <w:highlight w:val="none"/>
              </w:rPr>
            </w:pPr>
            <w:r>
              <w:rPr>
                <w:rFonts w:hint="eastAsia" w:ascii="宋体" w:hAnsi="宋体" w:eastAsia="宋体" w:cs="宋体"/>
                <w:color w:val="auto"/>
                <w:spacing w:val="4"/>
                <w:sz w:val="19"/>
                <w:szCs w:val="19"/>
                <w:highlight w:val="none"/>
                <w:lang w:eastAsia="zh-CN"/>
              </w:rPr>
              <w:t>预算金额</w:t>
            </w:r>
            <w:r>
              <w:rPr>
                <w:rFonts w:ascii="宋体" w:hAnsi="宋体" w:eastAsia="宋体" w:cs="宋体"/>
                <w:color w:val="auto"/>
                <w:spacing w:val="4"/>
                <w:sz w:val="19"/>
                <w:szCs w:val="19"/>
                <w:highlight w:val="none"/>
              </w:rPr>
              <w:t>(元)</w:t>
            </w:r>
          </w:p>
        </w:tc>
        <w:tc>
          <w:tcPr>
            <w:tcW w:w="1222" w:type="dxa"/>
            <w:tcBorders>
              <w:tl2br w:val="nil"/>
              <w:tr2bl w:val="nil"/>
            </w:tcBorders>
            <w:shd w:val="clear" w:color="auto" w:fill="FFFFFF"/>
            <w:vAlign w:val="top"/>
          </w:tcPr>
          <w:p>
            <w:pPr>
              <w:spacing w:line="222" w:lineRule="auto"/>
              <w:ind w:left="123"/>
              <w:rPr>
                <w:rFonts w:ascii="宋体" w:hAnsi="宋体" w:eastAsia="宋体" w:cs="宋体"/>
                <w:color w:val="auto"/>
                <w:sz w:val="19"/>
                <w:szCs w:val="19"/>
                <w:highlight w:val="none"/>
              </w:rPr>
            </w:pPr>
            <w:r>
              <w:rPr>
                <w:rFonts w:hint="eastAsia" w:ascii="宋体" w:hAnsi="宋体" w:eastAsia="宋体" w:cs="宋体"/>
                <w:color w:val="auto"/>
                <w:sz w:val="19"/>
                <w:szCs w:val="19"/>
                <w:highlight w:val="none"/>
              </w:rPr>
              <w:t>绿色施工安全防护措施费</w:t>
            </w:r>
          </w:p>
        </w:tc>
        <w:tc>
          <w:tcPr>
            <w:tcW w:w="1154" w:type="dxa"/>
            <w:tcBorders>
              <w:tl2br w:val="nil"/>
              <w:tr2bl w:val="nil"/>
            </w:tcBorders>
            <w:shd w:val="clear" w:color="auto" w:fill="FFFFFF"/>
            <w:vAlign w:val="top"/>
          </w:tcPr>
          <w:p>
            <w:pPr>
              <w:spacing w:line="221" w:lineRule="auto"/>
              <w:ind w:left="164"/>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8"/>
                <w:position w:val="12"/>
                <w:sz w:val="19"/>
                <w:szCs w:val="19"/>
                <w:highlight w:val="no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378" w:type="dxa"/>
            <w:tcBorders>
              <w:tl2br w:val="nil"/>
              <w:tr2bl w:val="nil"/>
            </w:tcBorders>
            <w:shd w:val="clear" w:color="auto" w:fill="FFFFFF"/>
            <w:vAlign w:val="top"/>
          </w:tcPr>
          <w:p>
            <w:pPr>
              <w:spacing w:before="282" w:line="166" w:lineRule="auto"/>
              <w:ind w:left="149"/>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1221" w:type="dxa"/>
            <w:tcBorders>
              <w:tl2br w:val="nil"/>
              <w:tr2bl w:val="nil"/>
            </w:tcBorders>
            <w:shd w:val="clear" w:color="auto" w:fill="FFFFFF"/>
            <w:vAlign w:val="top"/>
          </w:tcPr>
          <w:p>
            <w:pPr>
              <w:rPr>
                <w:rFonts w:ascii="Arial"/>
                <w:color w:val="auto"/>
                <w:sz w:val="21"/>
                <w:highlight w:val="none"/>
              </w:rPr>
            </w:pPr>
          </w:p>
        </w:tc>
        <w:tc>
          <w:tcPr>
            <w:tcW w:w="1546" w:type="dxa"/>
            <w:tcBorders>
              <w:tl2br w:val="nil"/>
              <w:tr2bl w:val="nil"/>
            </w:tcBorders>
            <w:shd w:val="clear" w:color="auto" w:fill="FFFFFF"/>
            <w:vAlign w:val="top"/>
          </w:tcPr>
          <w:p>
            <w:pPr>
              <w:spacing w:before="79" w:line="360" w:lineRule="exact"/>
              <w:ind w:left="65"/>
              <w:rPr>
                <w:rFonts w:ascii="宋体" w:hAnsi="宋体" w:eastAsia="宋体" w:cs="宋体"/>
                <w:color w:val="auto"/>
                <w:sz w:val="19"/>
                <w:szCs w:val="19"/>
                <w:highlight w:val="none"/>
              </w:rPr>
            </w:pPr>
            <w:r>
              <w:rPr>
                <w:rFonts w:ascii="宋体" w:hAnsi="宋体" w:eastAsia="宋体" w:cs="宋体"/>
                <w:color w:val="auto"/>
                <w:spacing w:val="2"/>
                <w:position w:val="12"/>
                <w:sz w:val="19"/>
                <w:szCs w:val="19"/>
                <w:highlight w:val="none"/>
              </w:rPr>
              <w:t>其他建筑物、</w:t>
            </w:r>
            <w:r>
              <w:rPr>
                <w:rFonts w:ascii="宋体" w:hAnsi="宋体" w:eastAsia="宋体" w:cs="宋体"/>
                <w:color w:val="auto"/>
                <w:spacing w:val="1"/>
                <w:position w:val="12"/>
                <w:sz w:val="19"/>
                <w:szCs w:val="19"/>
                <w:highlight w:val="none"/>
              </w:rPr>
              <w:t>构</w:t>
            </w:r>
          </w:p>
          <w:p>
            <w:pPr>
              <w:spacing w:line="221" w:lineRule="auto"/>
              <w:ind w:left="66"/>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筑物修</w:t>
            </w:r>
            <w:r>
              <w:rPr>
                <w:rFonts w:ascii="宋体" w:hAnsi="宋体" w:eastAsia="宋体" w:cs="宋体"/>
                <w:color w:val="auto"/>
                <w:sz w:val="19"/>
                <w:szCs w:val="19"/>
                <w:highlight w:val="none"/>
              </w:rPr>
              <w:t>缮</w:t>
            </w:r>
          </w:p>
        </w:tc>
        <w:tc>
          <w:tcPr>
            <w:tcW w:w="1814" w:type="dxa"/>
            <w:tcBorders>
              <w:tl2br w:val="nil"/>
              <w:tr2bl w:val="nil"/>
            </w:tcBorders>
            <w:shd w:val="clear" w:color="auto" w:fill="FFFFFF"/>
            <w:vAlign w:val="top"/>
          </w:tcPr>
          <w:p>
            <w:pPr>
              <w:spacing w:line="221" w:lineRule="auto"/>
              <w:ind w:left="69"/>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1"/>
                <w:position w:val="12"/>
                <w:sz w:val="19"/>
                <w:szCs w:val="19"/>
                <w:highlight w:val="none"/>
                <w:lang w:eastAsia="zh-CN"/>
              </w:rPr>
              <w:t>国家税务总局博罗县税务局长宁和石湾税务分局篮球场修缮工程</w:t>
            </w:r>
          </w:p>
        </w:tc>
        <w:tc>
          <w:tcPr>
            <w:tcW w:w="372" w:type="dxa"/>
            <w:tcBorders>
              <w:tl2br w:val="nil"/>
              <w:tr2bl w:val="nil"/>
            </w:tcBorders>
            <w:shd w:val="clear" w:color="auto" w:fill="FFFFFF"/>
            <w:vAlign w:val="top"/>
          </w:tcPr>
          <w:p>
            <w:pPr>
              <w:spacing w:before="259" w:line="221" w:lineRule="auto"/>
              <w:ind w:left="71"/>
              <w:rPr>
                <w:rFonts w:ascii="宋体" w:hAnsi="宋体" w:eastAsia="宋体" w:cs="宋体"/>
                <w:color w:val="auto"/>
                <w:sz w:val="19"/>
                <w:szCs w:val="19"/>
                <w:highlight w:val="none"/>
              </w:rPr>
            </w:pPr>
            <w:r>
              <w:rPr>
                <w:rFonts w:ascii="宋体" w:hAnsi="宋体" w:eastAsia="宋体" w:cs="宋体"/>
                <w:color w:val="auto"/>
                <w:sz w:val="19"/>
                <w:szCs w:val="19"/>
                <w:highlight w:val="none"/>
              </w:rPr>
              <w:t>项</w:t>
            </w:r>
          </w:p>
        </w:tc>
        <w:tc>
          <w:tcPr>
            <w:tcW w:w="767" w:type="dxa"/>
            <w:tcBorders>
              <w:tl2br w:val="nil"/>
              <w:tr2bl w:val="nil"/>
            </w:tcBorders>
            <w:shd w:val="clear" w:color="auto" w:fill="FFFFFF"/>
            <w:vAlign w:val="top"/>
          </w:tcPr>
          <w:p>
            <w:pPr>
              <w:spacing w:before="279" w:line="169" w:lineRule="auto"/>
              <w:ind w:left="81"/>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pacing w:val="-1"/>
                <w:sz w:val="19"/>
                <w:szCs w:val="19"/>
                <w:highlight w:val="none"/>
              </w:rPr>
              <w:t xml:space="preserve">1 </w:t>
            </w:r>
            <w:r>
              <w:rPr>
                <w:rFonts w:ascii="Microsoft JhengHei" w:hAnsi="Microsoft JhengHei" w:eastAsia="Microsoft JhengHei" w:cs="Microsoft JhengHei"/>
                <w:color w:val="auto"/>
                <w:sz w:val="19"/>
                <w:szCs w:val="19"/>
                <w:highlight w:val="none"/>
              </w:rPr>
              <w:t>.0000</w:t>
            </w:r>
          </w:p>
        </w:tc>
        <w:tc>
          <w:tcPr>
            <w:tcW w:w="1302" w:type="dxa"/>
            <w:tcBorders>
              <w:tl2br w:val="nil"/>
              <w:tr2bl w:val="nil"/>
            </w:tcBorders>
            <w:shd w:val="clear" w:color="auto" w:fill="FFFFFF"/>
            <w:vAlign w:val="top"/>
          </w:tcPr>
          <w:p>
            <w:pPr>
              <w:spacing w:before="279" w:line="165" w:lineRule="auto"/>
              <w:ind w:left="207"/>
              <w:rPr>
                <w:rFonts w:hint="default" w:ascii="Microsoft JhengHei" w:hAnsi="Microsoft JhengHei" w:eastAsia="宋体" w:cs="Microsoft JhengHei"/>
                <w:color w:val="auto"/>
                <w:sz w:val="19"/>
                <w:szCs w:val="19"/>
                <w:highlight w:val="none"/>
                <w:lang w:val="en-US" w:eastAsia="zh-CN"/>
              </w:rPr>
            </w:pPr>
            <w:r>
              <w:rPr>
                <w:rFonts w:hint="eastAsia" w:ascii="Microsoft JhengHei" w:hAnsi="Microsoft JhengHei" w:eastAsia="宋体" w:cs="Microsoft JhengHei"/>
                <w:color w:val="auto"/>
                <w:sz w:val="19"/>
                <w:szCs w:val="19"/>
                <w:highlight w:val="none"/>
                <w:lang w:val="en-US" w:eastAsia="zh-CN"/>
              </w:rPr>
              <w:t>185000.00</w:t>
            </w:r>
          </w:p>
        </w:tc>
        <w:tc>
          <w:tcPr>
            <w:tcW w:w="1222" w:type="dxa"/>
            <w:tcBorders>
              <w:tl2br w:val="nil"/>
              <w:tr2bl w:val="nil"/>
            </w:tcBorders>
            <w:shd w:val="clear" w:color="auto" w:fill="FFFFFF"/>
            <w:vAlign w:val="top"/>
          </w:tcPr>
          <w:p>
            <w:pPr>
              <w:spacing w:line="233" w:lineRule="auto"/>
              <w:ind w:left="71"/>
              <w:rPr>
                <w:rFonts w:hint="eastAsia" w:ascii="宋体" w:hAnsi="宋体" w:eastAsia="宋体" w:cs="宋体"/>
                <w:color w:val="auto"/>
                <w:sz w:val="19"/>
                <w:szCs w:val="19"/>
                <w:highlight w:val="none"/>
              </w:rPr>
            </w:pPr>
          </w:p>
          <w:p>
            <w:pPr>
              <w:spacing w:line="233" w:lineRule="auto"/>
              <w:rPr>
                <w:rFonts w:ascii="宋体" w:hAnsi="宋体" w:eastAsia="宋体" w:cs="宋体"/>
                <w:color w:val="auto"/>
                <w:sz w:val="19"/>
                <w:szCs w:val="19"/>
                <w:highlight w:val="none"/>
              </w:rPr>
            </w:pPr>
          </w:p>
        </w:tc>
        <w:tc>
          <w:tcPr>
            <w:tcW w:w="1154" w:type="dxa"/>
            <w:tcBorders>
              <w:tl2br w:val="nil"/>
              <w:tr2bl w:val="nil"/>
            </w:tcBorders>
            <w:shd w:val="clear" w:color="auto" w:fill="FFFFFF"/>
            <w:vAlign w:val="top"/>
          </w:tcPr>
          <w:p>
            <w:pPr>
              <w:spacing w:before="78" w:line="221" w:lineRule="auto"/>
              <w:ind w:left="93"/>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详见附表</w:t>
            </w:r>
          </w:p>
          <w:p>
            <w:pPr>
              <w:spacing w:before="205" w:line="153" w:lineRule="exact"/>
              <w:ind w:left="382"/>
              <w:rPr>
                <w:rFonts w:ascii="宋体" w:hAnsi="宋体" w:eastAsia="宋体" w:cs="宋体"/>
                <w:color w:val="auto"/>
                <w:sz w:val="9"/>
                <w:szCs w:val="9"/>
                <w:highlight w:val="none"/>
              </w:rPr>
            </w:pPr>
            <w:r>
              <w:rPr>
                <w:rFonts w:ascii="宋体" w:hAnsi="宋体" w:eastAsia="宋体" w:cs="宋体"/>
                <w:color w:val="auto"/>
                <w:spacing w:val="89"/>
                <w:position w:val="1"/>
                <w:sz w:val="9"/>
                <w:szCs w:val="9"/>
                <w:highlight w:val="none"/>
              </w:rPr>
              <w:t>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附表一：国家税务总局博罗县税务局长宁和石湾税务分局篮球场修缮工程  是否进口： 否</w:t>
      </w:r>
    </w:p>
    <w:p>
      <w:pPr>
        <w:spacing w:line="46" w:lineRule="exact"/>
        <w:rPr>
          <w:color w:val="auto"/>
          <w:highlight w:val="none"/>
        </w:rPr>
      </w:pPr>
    </w:p>
    <w:tbl>
      <w:tblPr>
        <w:tblStyle w:val="11"/>
        <w:tblW w:w="9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488"/>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983" w:type="dxa"/>
            <w:shd w:val="clear" w:color="auto" w:fill="FFFFFF"/>
            <w:vAlign w:val="top"/>
          </w:tcPr>
          <w:p>
            <w:pPr>
              <w:spacing w:before="82" w:line="221" w:lineRule="auto"/>
              <w:ind w:left="149"/>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参数性</w:t>
            </w:r>
            <w:r>
              <w:rPr>
                <w:rFonts w:ascii="宋体" w:hAnsi="宋体" w:eastAsia="宋体" w:cs="宋体"/>
                <w:color w:val="auto"/>
                <w:sz w:val="19"/>
                <w:szCs w:val="19"/>
                <w:highlight w:val="none"/>
              </w:rPr>
              <w:t>质</w:t>
            </w:r>
          </w:p>
        </w:tc>
        <w:tc>
          <w:tcPr>
            <w:tcW w:w="488" w:type="dxa"/>
            <w:shd w:val="clear" w:color="auto" w:fill="FFFFFF"/>
            <w:vAlign w:val="top"/>
          </w:tcPr>
          <w:p>
            <w:pPr>
              <w:spacing w:before="81" w:line="223" w:lineRule="auto"/>
              <w:ind w:left="70"/>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序</w:t>
            </w:r>
            <w:r>
              <w:rPr>
                <w:rFonts w:ascii="宋体" w:hAnsi="宋体" w:eastAsia="宋体" w:cs="宋体"/>
                <w:color w:val="auto"/>
                <w:spacing w:val="-2"/>
                <w:sz w:val="19"/>
                <w:szCs w:val="19"/>
                <w:highlight w:val="none"/>
              </w:rPr>
              <w:t>号</w:t>
            </w:r>
          </w:p>
        </w:tc>
        <w:tc>
          <w:tcPr>
            <w:tcW w:w="8308" w:type="dxa"/>
            <w:shd w:val="clear" w:color="auto" w:fill="FFFFFF"/>
            <w:vAlign w:val="top"/>
          </w:tcPr>
          <w:p>
            <w:pPr>
              <w:spacing w:before="23" w:line="347" w:lineRule="exact"/>
              <w:ind w:left="3646"/>
              <w:rPr>
                <w:rFonts w:ascii="宋体" w:hAnsi="宋体" w:eastAsia="宋体" w:cs="宋体"/>
                <w:color w:val="auto"/>
                <w:sz w:val="19"/>
                <w:szCs w:val="19"/>
                <w:highlight w:val="none"/>
              </w:rPr>
            </w:pPr>
            <w:r>
              <w:rPr>
                <w:rFonts w:ascii="宋体" w:hAnsi="宋体" w:eastAsia="宋体" w:cs="宋体"/>
                <w:color w:val="auto"/>
                <w:spacing w:val="4"/>
                <w:position w:val="4"/>
                <w:sz w:val="19"/>
                <w:szCs w:val="19"/>
                <w:highlight w:val="none"/>
              </w:rPr>
              <w:t>具体</w:t>
            </w:r>
            <w:r>
              <w:rPr>
                <w:rFonts w:ascii="宋体" w:hAnsi="宋体" w:eastAsia="宋体" w:cs="宋体"/>
                <w:color w:val="auto"/>
                <w:spacing w:val="3"/>
                <w:position w:val="4"/>
                <w:sz w:val="19"/>
                <w:szCs w:val="19"/>
                <w:highlight w:val="none"/>
              </w:rPr>
              <w:t>技</w:t>
            </w:r>
            <w:r>
              <w:rPr>
                <w:rFonts w:ascii="宋体" w:hAnsi="宋体" w:eastAsia="宋体" w:cs="宋体"/>
                <w:color w:val="auto"/>
                <w:spacing w:val="2"/>
                <w:position w:val="4"/>
                <w:sz w:val="19"/>
                <w:szCs w:val="19"/>
                <w:highlight w:val="none"/>
              </w:rPr>
              <w:t>术</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参数</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83" w:type="dxa"/>
            <w:shd w:val="clear" w:color="auto" w:fill="FFFFFF"/>
            <w:vAlign w:val="top"/>
          </w:tcPr>
          <w:p>
            <w:pPr>
              <w:rPr>
                <w:rFonts w:ascii="Arial"/>
                <w:color w:val="auto"/>
                <w:sz w:val="21"/>
                <w:highlight w:val="none"/>
              </w:rPr>
            </w:pPr>
          </w:p>
        </w:tc>
        <w:tc>
          <w:tcPr>
            <w:tcW w:w="488" w:type="dxa"/>
            <w:shd w:val="clear" w:color="auto" w:fill="FFFFFF"/>
            <w:vAlign w:val="top"/>
          </w:tcPr>
          <w:p>
            <w:pPr>
              <w:spacing w:before="101" w:line="166" w:lineRule="auto"/>
              <w:ind w:left="216"/>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8308" w:type="dxa"/>
            <w:shd w:val="clear" w:color="auto" w:fill="FFFFFF"/>
            <w:vAlign w:val="top"/>
          </w:tcPr>
          <w:p>
            <w:pPr>
              <w:spacing w:before="78" w:line="221" w:lineRule="auto"/>
              <w:ind w:left="6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详见工</w:t>
            </w:r>
            <w:r>
              <w:rPr>
                <w:rFonts w:ascii="宋体" w:hAnsi="宋体" w:eastAsia="宋体" w:cs="宋体"/>
                <w:color w:val="auto"/>
                <w:sz w:val="19"/>
                <w:szCs w:val="19"/>
                <w:highlight w:val="none"/>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983" w:type="dxa"/>
            <w:shd w:val="clear" w:color="auto" w:fill="FFFFFF"/>
            <w:vAlign w:val="top"/>
          </w:tcPr>
          <w:p>
            <w:pPr>
              <w:spacing w:before="79" w:line="221" w:lineRule="auto"/>
              <w:ind w:left="341"/>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说</w:t>
            </w:r>
            <w:r>
              <w:rPr>
                <w:rFonts w:ascii="宋体" w:hAnsi="宋体" w:eastAsia="宋体" w:cs="宋体"/>
                <w:color w:val="auto"/>
                <w:spacing w:val="-3"/>
                <w:sz w:val="19"/>
                <w:szCs w:val="19"/>
                <w:highlight w:val="none"/>
              </w:rPr>
              <w:t>明</w:t>
            </w:r>
          </w:p>
        </w:tc>
        <w:tc>
          <w:tcPr>
            <w:tcW w:w="8796" w:type="dxa"/>
            <w:gridSpan w:val="2"/>
            <w:shd w:val="clear" w:color="auto" w:fill="FFFFFF"/>
            <w:vAlign w:val="top"/>
          </w:tcPr>
          <w:p>
            <w:pPr>
              <w:spacing w:before="20" w:line="350" w:lineRule="exact"/>
              <w:ind w:left="67"/>
              <w:rPr>
                <w:rFonts w:ascii="宋体" w:hAnsi="宋体" w:eastAsia="宋体" w:cs="宋体"/>
                <w:color w:val="auto"/>
                <w:sz w:val="19"/>
                <w:szCs w:val="19"/>
                <w:highlight w:val="none"/>
              </w:rPr>
            </w:pPr>
            <w:r>
              <w:rPr>
                <w:rFonts w:ascii="宋体" w:hAnsi="宋体" w:eastAsia="宋体" w:cs="宋体"/>
                <w:color w:val="auto"/>
                <w:spacing w:val="-6"/>
                <w:position w:val="4"/>
                <w:sz w:val="19"/>
                <w:szCs w:val="19"/>
                <w:highlight w:val="none"/>
              </w:rPr>
              <w:t>打</w:t>
            </w:r>
            <w:r>
              <w:rPr>
                <w:rFonts w:ascii="Microsoft JhengHei" w:hAnsi="Microsoft JhengHei" w:eastAsia="Microsoft JhengHei" w:cs="Microsoft JhengHei"/>
                <w:color w:val="auto"/>
                <w:spacing w:val="-6"/>
                <w:position w:val="4"/>
                <w:sz w:val="19"/>
                <w:szCs w:val="19"/>
                <w:highlight w:val="none"/>
              </w:rPr>
              <w:t>“★”</w:t>
            </w:r>
            <w:r>
              <w:rPr>
                <w:rFonts w:ascii="宋体" w:hAnsi="宋体" w:eastAsia="宋体" w:cs="宋体"/>
                <w:color w:val="auto"/>
                <w:spacing w:val="-6"/>
                <w:position w:val="4"/>
                <w:sz w:val="19"/>
                <w:szCs w:val="19"/>
                <w:highlight w:val="none"/>
              </w:rPr>
              <w:t>号条</w:t>
            </w:r>
            <w:r>
              <w:rPr>
                <w:rFonts w:ascii="宋体" w:hAnsi="宋体" w:eastAsia="宋体" w:cs="宋体"/>
                <w:color w:val="auto"/>
                <w:spacing w:val="-4"/>
                <w:position w:val="4"/>
                <w:sz w:val="19"/>
                <w:szCs w:val="19"/>
                <w:highlight w:val="none"/>
              </w:rPr>
              <w:t>款</w:t>
            </w:r>
            <w:r>
              <w:rPr>
                <w:rFonts w:ascii="宋体" w:hAnsi="宋体" w:eastAsia="宋体" w:cs="宋体"/>
                <w:color w:val="auto"/>
                <w:spacing w:val="-3"/>
                <w:position w:val="4"/>
                <w:sz w:val="19"/>
                <w:szCs w:val="19"/>
                <w:highlight w:val="none"/>
              </w:rPr>
              <w:t>为实质性条款，若有任何一条负偏离或不满足则导致投标无效。</w:t>
            </w:r>
          </w:p>
        </w:tc>
      </w:tr>
    </w:tbl>
    <w:p>
      <w:pPr>
        <w:rPr>
          <w:rFonts w:ascii="Arial"/>
          <w:color w:val="auto"/>
          <w:sz w:val="21"/>
          <w:highlight w:val="none"/>
        </w:rPr>
      </w:pPr>
    </w:p>
    <w:p>
      <w:pPr>
        <w:rPr>
          <w:color w:val="auto"/>
          <w:highlight w:val="none"/>
        </w:rPr>
        <w:sectPr>
          <w:headerReference r:id="rId8" w:type="default"/>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第三章 </w:t>
      </w:r>
      <w:r>
        <w:rPr>
          <w:rFonts w:hint="eastAsia" w:ascii="Times" w:hAnsi="Times" w:eastAsiaTheme="minorEastAsia" w:cstheme="minorBidi"/>
          <w:b/>
          <w:snapToGrid/>
          <w:color w:val="auto"/>
          <w:spacing w:val="10"/>
          <w:kern w:val="0"/>
          <w:sz w:val="36"/>
          <w:szCs w:val="20"/>
          <w:highlight w:val="none"/>
          <w:lang w:val="en-US" w:eastAsia="zh-CN" w:bidi="ar-SA"/>
        </w:rPr>
        <w:t>供应商</w:t>
      </w:r>
      <w:r>
        <w:rPr>
          <w:rFonts w:ascii="Times" w:hAnsi="Times" w:eastAsiaTheme="minorEastAsia" w:cstheme="minorBidi"/>
          <w:b/>
          <w:snapToGrid/>
          <w:color w:val="auto"/>
          <w:spacing w:val="10"/>
          <w:kern w:val="0"/>
          <w:sz w:val="36"/>
          <w:szCs w:val="20"/>
          <w:highlight w:val="none"/>
          <w:lang w:val="en-US" w:eastAsia="zh-CN" w:bidi="ar-SA"/>
        </w:rPr>
        <w:t>须知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一.前附表</w:t>
      </w:r>
    </w:p>
    <w:p>
      <w:pPr>
        <w:spacing w:line="136" w:lineRule="exact"/>
        <w:rPr>
          <w:color w:val="auto"/>
          <w:highlight w:val="none"/>
        </w:rPr>
      </w:pPr>
    </w:p>
    <w:tbl>
      <w:tblPr>
        <w:tblStyle w:val="9"/>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7"/>
        <w:gridCol w:w="3193"/>
        <w:gridCol w:w="6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spacing w:before="90" w:line="192" w:lineRule="auto"/>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二</w:t>
      </w:r>
      <w:r>
        <w:rPr>
          <w:rFonts w:ascii="Microsoft JhengHei" w:hAnsi="Microsoft JhengHei" w:eastAsia="Microsoft JhengHei" w:cs="Microsoft JhengHei"/>
          <w:b/>
          <w:bCs/>
          <w:color w:val="auto"/>
          <w:spacing w:val="14"/>
          <w:sz w:val="21"/>
          <w:szCs w:val="21"/>
          <w:highlight w:val="none"/>
        </w:rPr>
        <w:t>.</w:t>
      </w:r>
      <w:r>
        <w:rPr>
          <w:rFonts w:ascii="宋体" w:hAnsi="宋体" w:eastAsia="宋体" w:cs="宋体"/>
          <w:color w:val="auto"/>
          <w:spacing w:val="14"/>
          <w:sz w:val="21"/>
          <w:szCs w:val="21"/>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pStyle w:val="5"/>
        <w:ind w:firstLine="480" w:firstLineChars="200"/>
        <w:rPr>
          <w:rFonts w:hint="default" w:eastAsia="宋体"/>
          <w:color w:val="auto"/>
          <w:highlight w:val="none"/>
          <w:lang w:val="en-US" w:eastAsia="zh-CN"/>
        </w:rPr>
      </w:pPr>
      <w:r>
        <w:rPr>
          <w:rFonts w:hint="eastAsia" w:hAnsi="宋体" w:eastAsia="宋体" w:cs="宋体"/>
          <w:color w:val="auto"/>
          <w:sz w:val="24"/>
          <w:szCs w:val="24"/>
          <w:highlight w:val="none"/>
          <w:lang w:val="en-US" w:eastAsia="zh-CN"/>
        </w:rPr>
        <w:t>5.1 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0" w:name="_Toc21281"/>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、磋商文件的澄清和修改</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 w:name="_Toc24144"/>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、响应要求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 w:name="_Toc1521"/>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、磋商、评审和结果确定</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网公告的形式发布成交结果，结果公告的公告期限为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网上发布终止公告，终止公告的公告期限为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3" w:name="_Toc14834"/>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、询问、质疑与投诉</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电话：0752-6288986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博罗县罗阳街道中城北路245号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邮编：516</w:t>
      </w:r>
      <w:r>
        <w:rPr>
          <w:rFonts w:hint="eastAsia" w:ascii="宋体" w:hAnsi="宋体" w:eastAsia="宋体" w:cs="宋体"/>
          <w:color w:val="auto"/>
          <w:sz w:val="24"/>
          <w:szCs w:val="24"/>
          <w:highlight w:val="none"/>
          <w:lang w:val="en-US" w:eastAsia="zh-CN"/>
        </w:rPr>
        <w:t>120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4" w:name="_Toc18932"/>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、合同签订和履行</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pStyle w:val="5"/>
        <w:rPr>
          <w:rFonts w:hint="eastAsia"/>
          <w:color w:val="auto"/>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bidi w:val="0"/>
        <w:rPr>
          <w:rFonts w:hint="eastAsia"/>
          <w:color w:val="auto"/>
          <w:highlight w:val="none"/>
          <w:lang w:eastAsia="zh-CN"/>
        </w:rPr>
      </w:pPr>
    </w:p>
    <w:p>
      <w:pPr>
        <w:bidi w:val="0"/>
        <w:rPr>
          <w:rFonts w:hint="eastAsia"/>
          <w:color w:val="auto"/>
          <w:highlight w:val="none"/>
          <w:lang w:eastAsia="zh-CN"/>
        </w:rPr>
      </w:pPr>
    </w:p>
    <w:p>
      <w:pPr>
        <w:rPr>
          <w:color w:val="auto"/>
          <w:highlight w:val="none"/>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第四章 磋商及评审方法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5" w:name="_Toc11986"/>
      <w:r>
        <w:rPr>
          <w:rFonts w:hint="eastAsia" w:ascii="宋体" w:hAnsi="宋体" w:eastAsia="宋体" w:cs="宋体"/>
          <w:b/>
          <w:color w:val="auto"/>
          <w:sz w:val="24"/>
          <w:szCs w:val="24"/>
          <w:highlight w:val="none"/>
        </w:rPr>
        <w:t>一、评审要求</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国家税务总局博罗县税务局长宁和石湾税务分局篮球场修缮工程</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6"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cs="宋体"/>
          <w:color w:val="auto"/>
          <w:kern w:val="0"/>
          <w:sz w:val="24"/>
          <w:szCs w:val="24"/>
          <w:highlight w:val="none"/>
          <w:lang w:val="en-US" w:eastAsia="zh-CN"/>
        </w:rPr>
        <w:t>国家税务总局博罗县税务局长宁和石湾税务分局篮球场修缮工程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7"/>
        <w:gridCol w:w="2850"/>
        <w:gridCol w:w="6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国家税务总局博罗县税务局长宁和石湾税务分局篮球场修缮工程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7"/>
        <w:gridCol w:w="2902"/>
        <w:gridCol w:w="66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spacing w:before="63" w:line="222" w:lineRule="auto"/>
        <w:ind w:left="288" w:firstLine="240" w:firstLineChars="100"/>
        <w:rPr>
          <w:rFonts w:ascii="宋体" w:hAnsi="宋体" w:eastAsia="宋体" w:cs="宋体"/>
          <w:color w:val="auto"/>
          <w:spacing w:val="15"/>
          <w:sz w:val="19"/>
          <w:szCs w:val="19"/>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详细评审</w:t>
      </w:r>
    </w:p>
    <w:tbl>
      <w:tblPr>
        <w:tblStyle w:val="9"/>
        <w:tblW w:w="4992"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37"/>
        <w:gridCol w:w="1585"/>
        <w:gridCol w:w="7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4"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7" w:type="pct"/>
            <w:vAlign w:val="center"/>
          </w:tcPr>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提供企业近五年内，即响应文件提交截止之日前五年内，同类项目的业绩 。每提供一个项目 (须提供合同复印件，并加盖公章</w:t>
            </w:r>
            <w:r>
              <w:rPr>
                <w:rFonts w:hint="eastAsia" w:ascii="宋体" w:hAnsi="宋体" w:cs="宋体"/>
                <w:snapToGrid w:val="0"/>
                <w:color w:val="auto"/>
                <w:kern w:val="0"/>
                <w:sz w:val="24"/>
                <w:szCs w:val="24"/>
                <w:highlight w:val="none"/>
                <w:lang w:val="en-US" w:eastAsia="zh-CN"/>
              </w:rPr>
              <w:t>)得5分，满分20分。</w:t>
            </w:r>
          </w:p>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技术部分（50.0分）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资源配置计划 (10.0分)</w:t>
            </w:r>
          </w:p>
        </w:tc>
        <w:tc>
          <w:tcPr>
            <w:tcW w:w="3497" w:type="pct"/>
            <w:vAlign w:val="center"/>
          </w:tcPr>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合理且符合要求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良</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基本合理且符合要求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不能满足施工需求。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优：采用先进机械设备投入计划，较好满足施工需要。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良：机械设备投入计划，能满足施工需要。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中：机械设备投入计划，基本满足施工需要。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差：机械设备投入计划与招标文件无法呼应，不能满足施工需要。</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施工平面布置和临时设施布置（4.0分）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tabs>
          <w:tab w:val="left" w:pos="521"/>
        </w:tabs>
        <w:bidi w:val="0"/>
        <w:jc w:val="left"/>
        <w:rPr>
          <w:rFonts w:hint="eastAsia" w:ascii="Arial" w:hAnsi="Arial" w:eastAsia="宋体" w:cs="Arial"/>
          <w:snapToGrid w:val="0"/>
          <w:color w:val="auto"/>
          <w:kern w:val="0"/>
          <w:sz w:val="21"/>
          <w:szCs w:val="21"/>
          <w:highlight w:val="none"/>
          <w:lang w:eastAsia="zh-CN"/>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rPr>
          <w:rFonts w:ascii="Arial"/>
          <w:color w:val="auto"/>
          <w:sz w:val="21"/>
          <w:highlight w:val="none"/>
        </w:rPr>
      </w:pPr>
    </w:p>
    <w:p>
      <w:pPr>
        <w:rPr>
          <w:color w:val="auto"/>
          <w:highlight w:val="none"/>
        </w:rPr>
      </w:pPr>
    </w:p>
    <w:p>
      <w:pPr>
        <w:jc w:val="center"/>
        <w:outlineLvl w:val="0"/>
        <w:rPr>
          <w:color w:val="auto"/>
          <w:highlight w:val="none"/>
        </w:rPr>
      </w:pPr>
      <w:bookmarkStart w:id="7" w:name="_Toc30226"/>
      <w:r>
        <w:rPr>
          <w:b/>
          <w:color w:val="auto"/>
          <w:sz w:val="36"/>
          <w:highlight w:val="none"/>
        </w:rPr>
        <w:t>第五章 合同文本</w:t>
      </w:r>
      <w:bookmarkEnd w:id="7"/>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9"/>
        <w:tblpPr w:leftFromText="180" w:rightFromText="180" w:vertAnchor="text" w:horzAnchor="page" w:tblpX="3333" w:tblpY="738"/>
        <w:tblOverlap w:val="never"/>
        <w:tblW w:w="5525" w:type="dxa"/>
        <w:tblInd w:w="0" w:type="dxa"/>
        <w:tblLayout w:type="fixed"/>
        <w:tblCellMar>
          <w:top w:w="0" w:type="dxa"/>
          <w:left w:w="108" w:type="dxa"/>
          <w:bottom w:w="0" w:type="dxa"/>
          <w:right w:w="108" w:type="dxa"/>
        </w:tblCellMar>
      </w:tblPr>
      <w:tblGrid>
        <w:gridCol w:w="5525"/>
      </w:tblGrid>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国家税务总局博罗县税务局长宁和石湾税务分局篮球场修缮工程</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60"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3"/>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国家税务总局博罗县税务局长宁和石湾税务分局篮球场修缮工程</w:t>
      </w:r>
    </w:p>
    <w:p>
      <w:pPr>
        <w:autoSpaceDE w:val="0"/>
        <w:autoSpaceDN w:val="0"/>
        <w:adjustRightInd w:val="0"/>
        <w:spacing w:line="500" w:lineRule="exact"/>
        <w:ind w:firstLine="480" w:firstLineChars="200"/>
        <w:jc w:val="left"/>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lang w:val="en-US" w:eastAsia="zh-CN"/>
        </w:rPr>
        <w:t xml:space="preserve">  60  </w:t>
      </w:r>
      <w:r>
        <w:rPr>
          <w:rFonts w:hint="eastAsia" w:ascii="宋体" w:hAnsi="宋体" w:eastAsia="宋体" w:cs="宋体"/>
          <w:color w:val="auto"/>
          <w:kern w:val="0"/>
          <w:sz w:val="24"/>
          <w:szCs w:val="24"/>
          <w:highlight w:val="none"/>
          <w:u w:val="single"/>
          <w:lang w:eastAsia="zh-CN"/>
        </w:rPr>
        <w:t>日历天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lang w:val="en-US" w:eastAsia="zh-CN"/>
        </w:rPr>
        <w:t>1000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lang w:val="en-US" w:eastAsia="zh-CN"/>
        </w:rPr>
        <w:t>20000</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rPr>
          <w:rFonts w:ascii="宋体" w:hAnsi="宋体" w:eastAsia="宋体" w:cs="宋体"/>
          <w:color w:val="auto"/>
          <w:spacing w:val="15"/>
          <w:sz w:val="28"/>
          <w:szCs w:val="28"/>
          <w:highlight w:val="none"/>
        </w:rPr>
      </w:pPr>
      <w:r>
        <w:rPr>
          <w:rFonts w:ascii="宋体" w:hAnsi="宋体" w:eastAsia="宋体" w:cs="宋体"/>
          <w:color w:val="auto"/>
          <w:spacing w:val="15"/>
          <w:sz w:val="28"/>
          <w:szCs w:val="28"/>
          <w:highlight w:val="none"/>
        </w:rPr>
        <w:br w:type="page"/>
      </w:r>
    </w:p>
    <w:p>
      <w:pPr>
        <w:spacing w:line="480" w:lineRule="auto"/>
        <w:jc w:val="center"/>
        <w:rPr>
          <w:b/>
          <w:color w:val="auto"/>
          <w:sz w:val="48"/>
          <w:highlight w:val="none"/>
        </w:rPr>
      </w:pPr>
      <w:r>
        <w:rPr>
          <w:rFonts w:ascii="宋体" w:hAnsi="宋体" w:eastAsia="宋体" w:cs="宋体"/>
          <w:color w:val="auto"/>
          <w:spacing w:val="15"/>
          <w:sz w:val="28"/>
          <w:szCs w:val="28"/>
          <w:highlight w:val="none"/>
        </w:rPr>
        <w:t>第</w:t>
      </w:r>
      <w:r>
        <w:rPr>
          <w:rFonts w:ascii="宋体" w:hAnsi="宋体" w:eastAsia="宋体" w:cs="宋体"/>
          <w:color w:val="auto"/>
          <w:spacing w:val="13"/>
          <w:sz w:val="28"/>
          <w:szCs w:val="28"/>
          <w:highlight w:val="none"/>
        </w:rPr>
        <w:t>六章 响应文件格式与要求</w:t>
      </w: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12"/>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8" w:name="_Toc26258"/>
      <w:r>
        <w:rPr>
          <w:b/>
          <w:color w:val="auto"/>
          <w:sz w:val="28"/>
          <w:highlight w:val="none"/>
        </w:rPr>
        <w:t>格式一：</w:t>
      </w:r>
      <w:bookmarkEnd w:id="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9" w:name="_Toc13203"/>
      <w:r>
        <w:rPr>
          <w:b/>
          <w:color w:val="auto"/>
          <w:sz w:val="32"/>
          <w:szCs w:val="32"/>
          <w:highlight w:val="none"/>
        </w:rPr>
        <w:t>响 应 承 诺 函</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color w:val="auto"/>
          <w:sz w:val="24"/>
          <w:szCs w:val="32"/>
          <w:highlight w:val="none"/>
          <w:lang w:eastAsia="zh-CN"/>
        </w:rPr>
      </w:pPr>
      <w:r>
        <w:rPr>
          <w:color w:val="auto"/>
          <w:sz w:val="24"/>
          <w:szCs w:val="32"/>
          <w:highlight w:val="none"/>
        </w:rPr>
        <w:t>致：</w:t>
      </w:r>
      <w:r>
        <w:rPr>
          <w:rFonts w:hint="eastAsia" w:eastAsia="宋体"/>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国家税务总局博罗县税务局长宁和石湾税务分局篮球场修缮工程</w:t>
      </w:r>
      <w:r>
        <w:rPr>
          <w:color w:val="auto"/>
          <w:sz w:val="24"/>
          <w:szCs w:val="32"/>
          <w:highlight w:val="none"/>
        </w:rPr>
        <w:t>[采购项目编号为：</w:t>
      </w:r>
      <w:r>
        <w:rPr>
          <w:rFonts w:hint="eastAsia"/>
          <w:color w:val="auto"/>
          <w:sz w:val="24"/>
          <w:szCs w:val="32"/>
          <w:highlight w:val="none"/>
          <w:u w:val="single"/>
          <w:lang w:val="en-US" w:eastAsia="zh-CN"/>
        </w:rPr>
        <w:t xml:space="preserve">                         </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国家税务总局博罗县税务局长宁和石湾税务分局篮球场修缮工程</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0" w:name="_Toc24837"/>
      <w:r>
        <w:rPr>
          <w:b/>
          <w:color w:val="auto"/>
          <w:sz w:val="28"/>
          <w:highlight w:val="none"/>
        </w:rPr>
        <w:t>格式二：</w:t>
      </w:r>
      <w:bookmarkEnd w:id="10"/>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1" w:name="_Toc31546"/>
      <w:r>
        <w:rPr>
          <w:rFonts w:hint="eastAsia"/>
          <w:b/>
          <w:color w:val="auto"/>
          <w:sz w:val="32"/>
          <w:szCs w:val="32"/>
          <w:highlight w:val="none"/>
          <w:lang w:val="en-US" w:eastAsia="zh-CN"/>
        </w:rPr>
        <w:t>首轮</w:t>
      </w:r>
      <w:r>
        <w:rPr>
          <w:b/>
          <w:color w:val="auto"/>
          <w:sz w:val="32"/>
          <w:szCs w:val="32"/>
          <w:highlight w:val="none"/>
        </w:rPr>
        <w:t>报价表</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9"/>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2" w:name="_Toc30162"/>
      <w:r>
        <w:rPr>
          <w:b/>
          <w:color w:val="auto"/>
          <w:sz w:val="28"/>
          <w:highlight w:val="none"/>
        </w:rPr>
        <w:t>格式</w:t>
      </w:r>
      <w:r>
        <w:rPr>
          <w:rFonts w:hint="eastAsia" w:eastAsia="宋体"/>
          <w:b/>
          <w:color w:val="auto"/>
          <w:sz w:val="28"/>
          <w:highlight w:val="none"/>
          <w:lang w:val="en-US" w:eastAsia="zh-CN"/>
        </w:rPr>
        <w:t>三</w:t>
      </w:r>
      <w:r>
        <w:rPr>
          <w:b/>
          <w:color w:val="auto"/>
          <w:sz w:val="28"/>
          <w:highlight w:val="none"/>
        </w:rPr>
        <w:t>：</w:t>
      </w:r>
      <w:bookmarkEnd w:id="12"/>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highlight w:val="none"/>
        </w:rPr>
      </w:pPr>
      <w:r>
        <w:rPr>
          <w:color w:val="auto"/>
          <w:sz w:val="24"/>
          <w:szCs w:val="24"/>
          <w:highlight w:val="none"/>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3" w:name="_Toc1308"/>
      <w:r>
        <w:rPr>
          <w:b/>
          <w:color w:val="auto"/>
          <w:sz w:val="32"/>
          <w:szCs w:val="32"/>
          <w:highlight w:val="none"/>
        </w:rPr>
        <w:t>法定代表人证明书</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供应商</w:t>
      </w:r>
      <w:r>
        <w:rPr>
          <w:rFonts w:hint="eastAsia"/>
          <w:color w:val="auto"/>
          <w:sz w:val="24"/>
          <w:szCs w:val="24"/>
          <w:highlight w:val="none"/>
          <w:lang w:val="en-US" w:eastAsia="zh-CN"/>
        </w:rPr>
        <w:t>名称</w:t>
      </w:r>
      <w:r>
        <w:rPr>
          <w:rFonts w:hint="eastAsia"/>
          <w:color w:val="auto"/>
          <w:sz w:val="24"/>
          <w:szCs w:val="24"/>
          <w:highlight w:val="none"/>
          <w:lang w:eastAsia="zh-CN"/>
        </w:rPr>
        <w:t>（</w:t>
      </w:r>
      <w:r>
        <w:rPr>
          <w:rFonts w:hint="eastAsia"/>
          <w:color w:val="auto"/>
          <w:sz w:val="24"/>
          <w:szCs w:val="24"/>
          <w:highlight w:val="none"/>
          <w:lang w:val="en-US" w:eastAsia="zh-CN"/>
        </w:rPr>
        <w:t>盖公章</w:t>
      </w:r>
      <w:r>
        <w:rPr>
          <w:rFonts w:hint="eastAsia"/>
          <w:color w:val="auto"/>
          <w:sz w:val="24"/>
          <w:szCs w:val="24"/>
          <w:highlight w:val="none"/>
          <w:lang w:eastAsia="zh-CN"/>
        </w:rPr>
        <w:t>）</w:t>
      </w:r>
      <w:r>
        <w:rPr>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4" w:name="_Toc31209"/>
      <w:r>
        <w:rPr>
          <w:b/>
          <w:color w:val="auto"/>
          <w:sz w:val="28"/>
          <w:highlight w:val="none"/>
        </w:rPr>
        <w:t>格式</w:t>
      </w:r>
      <w:r>
        <w:rPr>
          <w:rFonts w:hint="eastAsia"/>
          <w:b/>
          <w:color w:val="auto"/>
          <w:sz w:val="28"/>
          <w:highlight w:val="none"/>
          <w:lang w:val="en-US" w:eastAsia="zh-CN"/>
        </w:rPr>
        <w:t>四</w:t>
      </w:r>
      <w:r>
        <w:rPr>
          <w:b/>
          <w:color w:val="auto"/>
          <w:sz w:val="28"/>
          <w:highlight w:val="none"/>
        </w:rPr>
        <w:t>：</w:t>
      </w:r>
      <w:bookmarkEnd w:id="1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15" w:name="_Toc26100"/>
      <w:r>
        <w:rPr>
          <w:b/>
          <w:color w:val="auto"/>
          <w:sz w:val="32"/>
          <w:szCs w:val="32"/>
          <w:highlight w:val="none"/>
        </w:rPr>
        <w:t>法定代表人授权书格式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color w:val="auto"/>
          <w:sz w:val="32"/>
          <w:szCs w:val="32"/>
          <w:highlight w:val="none"/>
        </w:rPr>
      </w:pPr>
      <w:r>
        <w:rPr>
          <w:b/>
          <w:color w:val="auto"/>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本授权书声明：________是注册于</w:t>
      </w:r>
      <w:r>
        <w:rPr>
          <w:color w:val="auto"/>
          <w:sz w:val="24"/>
          <w:szCs w:val="32"/>
          <w:highlight w:val="none"/>
          <w:u w:val="single"/>
        </w:rPr>
        <w:t>（国家或地区）</w:t>
      </w:r>
      <w:r>
        <w:rPr>
          <w:color w:val="auto"/>
          <w:sz w:val="24"/>
          <w:szCs w:val="32"/>
          <w:highlight w:val="none"/>
        </w:rPr>
        <w:t>的</w:t>
      </w:r>
      <w:r>
        <w:rPr>
          <w:color w:val="auto"/>
          <w:sz w:val="24"/>
          <w:szCs w:val="32"/>
          <w:highlight w:val="none"/>
          <w:u w:val="single"/>
        </w:rPr>
        <w:t>（供应商名称）</w:t>
      </w:r>
      <w:r>
        <w:rPr>
          <w:color w:val="auto"/>
          <w:sz w:val="24"/>
          <w:szCs w:val="32"/>
          <w:highlight w:val="none"/>
        </w:rPr>
        <w:t>的法定代表人，现任________职务，有效证件号码：________________。现授权</w:t>
      </w:r>
      <w:r>
        <w:rPr>
          <w:color w:val="auto"/>
          <w:sz w:val="24"/>
          <w:szCs w:val="32"/>
          <w:highlight w:val="none"/>
          <w:u w:val="single"/>
        </w:rPr>
        <w:t>（姓名、职务）</w:t>
      </w:r>
      <w:r>
        <w:rPr>
          <w:color w:val="auto"/>
          <w:sz w:val="24"/>
          <w:szCs w:val="32"/>
          <w:highlight w:val="none"/>
        </w:rPr>
        <w:t>作为我公司的全权代理人，就</w:t>
      </w:r>
      <w:r>
        <w:rPr>
          <w:rFonts w:hint="eastAsia" w:ascii="宋体" w:hAnsi="宋体" w:cs="宋体"/>
          <w:color w:val="auto"/>
          <w:kern w:val="0"/>
          <w:sz w:val="24"/>
          <w:szCs w:val="24"/>
          <w:highlight w:val="none"/>
          <w:lang w:val="en-US" w:eastAsia="zh-CN"/>
        </w:rPr>
        <w:t>国家税务总局博罗县税务局长宁和石湾税务分局篮球场修缮工程</w:t>
      </w:r>
      <w:r>
        <w:rPr>
          <w:color w:val="auto"/>
          <w:sz w:val="24"/>
          <w:szCs w:val="32"/>
          <w:highlight w:val="none"/>
        </w:rPr>
        <w:t>采购[采购项目编号为</w:t>
      </w:r>
      <w:r>
        <w:rPr>
          <w:rFonts w:hint="eastAsia" w:eastAsia="宋体"/>
          <w:color w:val="auto"/>
          <w:sz w:val="24"/>
          <w:szCs w:val="32"/>
          <w:highlight w:val="none"/>
          <w:lang w:val="en-US" w:eastAsia="zh-CN"/>
        </w:rPr>
        <w:t>[</w:t>
      </w:r>
      <w:r>
        <w:rPr>
          <w:rFonts w:hint="eastAsia"/>
          <w:color w:val="auto"/>
          <w:sz w:val="24"/>
          <w:szCs w:val="32"/>
          <w:highlight w:val="none"/>
          <w:lang w:val="en-US" w:eastAsia="zh-CN"/>
        </w:rPr>
        <w:t>BLSW20231108</w:t>
      </w:r>
      <w:r>
        <w:rPr>
          <w:color w:val="auto"/>
          <w:sz w:val="24"/>
          <w:szCs w:val="32"/>
          <w:highlight w:val="none"/>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6" w:name="_Toc26420"/>
      <w:r>
        <w:rPr>
          <w:b/>
          <w:color w:val="auto"/>
          <w:sz w:val="28"/>
          <w:highlight w:val="none"/>
        </w:rPr>
        <w:t>格式</w:t>
      </w:r>
      <w:r>
        <w:rPr>
          <w:rFonts w:hint="eastAsia"/>
          <w:b/>
          <w:color w:val="auto"/>
          <w:sz w:val="28"/>
          <w:highlight w:val="none"/>
          <w:lang w:val="en-US" w:eastAsia="zh-CN"/>
        </w:rPr>
        <w:t>五</w:t>
      </w:r>
      <w:r>
        <w:rPr>
          <w:b/>
          <w:color w:val="auto"/>
          <w:sz w:val="28"/>
          <w:highlight w:val="none"/>
        </w:rPr>
        <w:t>：</w:t>
      </w:r>
      <w:bookmarkEnd w:id="16"/>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7" w:name="_Toc26052"/>
      <w:r>
        <w:rPr>
          <w:b/>
          <w:color w:val="auto"/>
          <w:sz w:val="32"/>
          <w:szCs w:val="32"/>
          <w:highlight w:val="none"/>
        </w:rPr>
        <w:t>提供具有独立承担民事责任的能力的证明材料</w:t>
      </w:r>
      <w:bookmarkEnd w:id="1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8" w:name="_Toc7657"/>
      <w:r>
        <w:rPr>
          <w:b/>
          <w:color w:val="auto"/>
          <w:sz w:val="28"/>
          <w:highlight w:val="none"/>
        </w:rPr>
        <w:t>格式</w:t>
      </w:r>
      <w:r>
        <w:rPr>
          <w:rFonts w:hint="eastAsia"/>
          <w:b/>
          <w:color w:val="auto"/>
          <w:sz w:val="28"/>
          <w:highlight w:val="none"/>
          <w:lang w:val="en-US" w:eastAsia="zh-CN"/>
        </w:rPr>
        <w:t>六</w:t>
      </w:r>
      <w:r>
        <w:rPr>
          <w:b/>
          <w:color w:val="auto"/>
          <w:sz w:val="28"/>
          <w:highlight w:val="none"/>
        </w:rPr>
        <w:t>：</w:t>
      </w:r>
      <w:bookmarkEnd w:id="1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highlight w:val="none"/>
        </w:rPr>
      </w:pPr>
      <w:bookmarkStart w:id="19" w:name="_Toc31472"/>
      <w:r>
        <w:rPr>
          <w:b/>
          <w:color w:val="auto"/>
          <w:sz w:val="32"/>
          <w:szCs w:val="32"/>
          <w:highlight w:val="none"/>
        </w:rPr>
        <w:t>资格性审查要求的其他资质证明文件</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设备和专业技术能力情况表</w:t>
      </w:r>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0" w:name="_Toc17729"/>
      <w:r>
        <w:rPr>
          <w:b/>
          <w:color w:val="auto"/>
          <w:sz w:val="28"/>
          <w:highlight w:val="none"/>
        </w:rPr>
        <w:t>格式</w:t>
      </w:r>
      <w:r>
        <w:rPr>
          <w:rFonts w:hint="eastAsia"/>
          <w:b/>
          <w:color w:val="auto"/>
          <w:sz w:val="28"/>
          <w:highlight w:val="none"/>
          <w:lang w:val="en-US" w:eastAsia="zh-CN"/>
        </w:rPr>
        <w:t>七</w:t>
      </w:r>
      <w:r>
        <w:rPr>
          <w:b/>
          <w:color w:val="auto"/>
          <w:sz w:val="28"/>
          <w:highlight w:val="none"/>
        </w:rPr>
        <w:t>：</w:t>
      </w:r>
      <w:bookmarkEnd w:id="20"/>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1" w:name="_Toc6784"/>
      <w:r>
        <w:rPr>
          <w:b/>
          <w:color w:val="auto"/>
          <w:sz w:val="32"/>
          <w:szCs w:val="32"/>
          <w:highlight w:val="none"/>
        </w:rPr>
        <w:t>响应供应商业绩情况表</w:t>
      </w:r>
      <w:bookmarkEnd w:id="21"/>
    </w:p>
    <w:tbl>
      <w:tblPr>
        <w:tblStyle w:val="9"/>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highlight w:val="none"/>
        </w:rPr>
      </w:pPr>
      <w:bookmarkStart w:id="22" w:name="_Toc8940"/>
      <w:r>
        <w:rPr>
          <w:b/>
          <w:color w:val="auto"/>
          <w:sz w:val="28"/>
          <w:highlight w:val="none"/>
        </w:rPr>
        <w:t>格式</w:t>
      </w:r>
      <w:r>
        <w:rPr>
          <w:rFonts w:hint="eastAsia" w:eastAsia="宋体"/>
          <w:b/>
          <w:color w:val="auto"/>
          <w:sz w:val="28"/>
          <w:highlight w:val="none"/>
          <w:lang w:val="en-US" w:eastAsia="zh-CN"/>
        </w:rPr>
        <w:t>八</w:t>
      </w:r>
      <w:r>
        <w:rPr>
          <w:b/>
          <w:color w:val="auto"/>
          <w:sz w:val="28"/>
          <w:highlight w:val="none"/>
        </w:rPr>
        <w:t>：</w:t>
      </w:r>
      <w:bookmarkEnd w:id="22"/>
    </w:p>
    <w:p>
      <w:pPr>
        <w:keepNext w:val="0"/>
        <w:keepLines w:val="0"/>
        <w:pageBreakBefore w:val="0"/>
        <w:widowControl w:val="0"/>
        <w:kinsoku/>
        <w:wordWrap/>
        <w:overflowPunct/>
        <w:topLinePunct w:val="0"/>
        <w:autoSpaceDE/>
        <w:autoSpaceDN/>
        <w:bidi w:val="0"/>
        <w:adjustRightInd/>
        <w:snapToGrid/>
        <w:jc w:val="center"/>
        <w:textAlignment w:val="auto"/>
        <w:outlineLvl w:val="1"/>
        <w:rPr>
          <w:b/>
          <w:bCs/>
          <w:color w:val="auto"/>
          <w:sz w:val="32"/>
          <w:szCs w:val="32"/>
          <w:highlight w:val="none"/>
        </w:rPr>
      </w:pPr>
      <w:r>
        <w:rPr>
          <w:rFonts w:hint="eastAsia" w:ascii="宋体" w:hAnsi="宋体" w:eastAsia="宋体"/>
          <w:b/>
          <w:bCs/>
          <w:color w:val="auto"/>
          <w:sz w:val="32"/>
          <w:szCs w:val="32"/>
          <w:highlight w:val="none"/>
          <w:lang w:val="en-US" w:eastAsia="zh-CN"/>
        </w:rPr>
        <w:t>商务</w:t>
      </w:r>
      <w:r>
        <w:rPr>
          <w:rFonts w:hint="eastAsia" w:ascii="宋体" w:hAnsi="宋体" w:eastAsia="宋体"/>
          <w:b/>
          <w:bCs/>
          <w:color w:val="auto"/>
          <w:sz w:val="32"/>
          <w:szCs w:val="32"/>
          <w:highlight w:val="none"/>
        </w:rPr>
        <w:t>技术需求响应表</w:t>
      </w:r>
    </w:p>
    <w:p>
      <w:pPr>
        <w:pStyle w:val="3"/>
        <w:spacing w:line="360" w:lineRule="auto"/>
        <w:jc w:val="center"/>
        <w:rPr>
          <w:rFonts w:hint="eastAsia" w:ascii="宋体" w:eastAsia="宋体" w:cs="宋体"/>
          <w:color w:val="auto"/>
          <w:sz w:val="24"/>
          <w:szCs w:val="24"/>
          <w:highlight w:val="none"/>
        </w:rPr>
      </w:pPr>
      <w:bookmarkStart w:id="23" w:name="_Toc21512"/>
      <w:r>
        <w:rPr>
          <w:rFonts w:hint="eastAsia" w:ascii="宋体" w:eastAsia="宋体" w:cs="宋体"/>
          <w:color w:val="auto"/>
          <w:sz w:val="24"/>
          <w:szCs w:val="24"/>
          <w:highlight w:val="none"/>
        </w:rPr>
        <w:t>（1）实质性响应商务条款（</w:t>
      </w:r>
      <w:r>
        <w:rPr>
          <w:rFonts w:hint="eastAsia" w:ascii="宋体" w:eastAsia="宋体" w:cs="宋体"/>
          <w:color w:val="auto"/>
          <w:sz w:val="24"/>
          <w:szCs w:val="24"/>
          <w:highlight w:val="none"/>
          <w:lang w:val="en-GB"/>
        </w:rPr>
        <w:t>“</w:t>
      </w:r>
      <w:r>
        <w:rPr>
          <w:rFonts w:hint="eastAsia" w:ascii="宋体" w:hAnsi="宋体" w:cs="宋体"/>
          <w:bCs w:val="0"/>
          <w:color w:val="auto"/>
          <w:highlight w:val="none"/>
        </w:rPr>
        <w:t>★</w:t>
      </w:r>
      <w:r>
        <w:rPr>
          <w:rFonts w:hint="eastAsia" w:ascii="宋体" w:eastAsia="宋体" w:cs="宋体"/>
          <w:color w:val="auto"/>
          <w:sz w:val="24"/>
          <w:szCs w:val="24"/>
          <w:highlight w:val="none"/>
          <w:lang w:val="en-GB"/>
        </w:rPr>
        <w:t>”项</w:t>
      </w:r>
      <w:r>
        <w:rPr>
          <w:rFonts w:hint="eastAsia" w:ascii="宋体" w:eastAsia="宋体" w:cs="宋体"/>
          <w:color w:val="auto"/>
          <w:sz w:val="24"/>
          <w:szCs w:val="24"/>
          <w:highlight w:val="none"/>
        </w:rPr>
        <w:t>）响应表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实质性响应竞争性磋商文件中商务条款要求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267"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i/>
                <w:iCs/>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3"/>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spacing w:line="360" w:lineRule="auto"/>
              <w:jc w:val="center"/>
              <w:rPr>
                <w:rFonts w:hint="eastAsia" w:ascii="宋体" w:eastAsia="宋体" w:cs="宋体"/>
                <w:color w:val="auto"/>
                <w:szCs w:val="21"/>
                <w:highlight w:val="none"/>
              </w:rPr>
            </w:pPr>
            <w:r>
              <w:rPr>
                <w:rFonts w:hint="eastAsia" w:ascii="宋体" w:cs="宋体"/>
                <w:color w:val="auto"/>
                <w:szCs w:val="21"/>
                <w:highlight w:val="none"/>
              </w:rPr>
              <w:t>...</w:t>
            </w: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jc w:val="center"/>
              <w:rPr>
                <w:rFonts w:hint="eastAsia" w:ascii="宋体" w:cs="宋体"/>
                <w:color w:val="auto"/>
                <w:szCs w:val="21"/>
                <w:highlight w:val="none"/>
              </w:rPr>
            </w:pPr>
          </w:p>
        </w:tc>
      </w:tr>
    </w:tbl>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注：</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1.对于上述要求，如响应供应商完全响应，则请在“是否响应”栏内打“√”，对空白或打“×”视为偏离，请在“偏离说明”栏内扼要说明偏离情况。</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2.此表内容必须与实施方案中所介绍的内容一致，打“★”项为不可负偏离(劣于)的重要项。</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3.本表内容不得擅自修改。</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4.若竞争性磋商文件中无“★”项要求的，可注明“无此要求”。</w:t>
      </w:r>
    </w:p>
    <w:p>
      <w:pPr>
        <w:adjustRightInd w:val="0"/>
        <w:snapToGrid w:val="0"/>
        <w:spacing w:line="360" w:lineRule="auto"/>
        <w:rPr>
          <w:rFonts w:hint="eastAsia" w:ascii="宋体" w:cs="宋体"/>
          <w:color w:val="auto"/>
          <w:sz w:val="24"/>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pStyle w:val="3"/>
        <w:spacing w:line="360" w:lineRule="auto"/>
        <w:jc w:val="center"/>
        <w:rPr>
          <w:rFonts w:hint="eastAsia" w:ascii="宋体" w:eastAsia="宋体" w:cs="宋体"/>
          <w:color w:val="auto"/>
          <w:highlight w:val="none"/>
        </w:rPr>
      </w:pPr>
      <w:r>
        <w:rPr>
          <w:rFonts w:hint="eastAsia" w:ascii="宋体" w:eastAsia="宋体" w:cs="宋体"/>
          <w:color w:val="auto"/>
          <w:highlight w:val="none"/>
        </w:rPr>
        <w:br w:type="page"/>
      </w:r>
      <w:r>
        <w:rPr>
          <w:rFonts w:hint="eastAsia" w:ascii="宋体" w:eastAsia="宋体" w:cs="宋体"/>
          <w:color w:val="auto"/>
          <w:highlight w:val="none"/>
        </w:rPr>
        <w:t>（2）其他商务条款响应表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eastAsia="宋体" w:cs="宋体"/>
                <w:b/>
                <w:bCs/>
                <w:color w:val="auto"/>
                <w:szCs w:val="21"/>
                <w:highlight w:val="none"/>
              </w:rPr>
              <w:t>其他</w:t>
            </w:r>
            <w:r>
              <w:rPr>
                <w:rFonts w:hint="eastAsia" w:ascii="宋体" w:cs="宋体"/>
                <w:b/>
                <w:bCs/>
                <w:color w:val="auto"/>
                <w:szCs w:val="21"/>
                <w:highlight w:val="none"/>
              </w:rPr>
              <w:t>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305"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完全理解并接受竞争性磋商文件第二部分采购项目内容中的商务要求和合同条款要求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2</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完全理解并接受对合格响应供应商、合格的货物、工程和服务要求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3</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完全理解并接受对响应供应商的各项须知、规约要求和责任义务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4</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投标有效期：投标/报价有效期为自递交竞争性磋商响应文件起至确定正式中标/成交人止不少于</w:t>
            </w:r>
            <w:r>
              <w:rPr>
                <w:rFonts w:hint="eastAsia" w:ascii="宋体" w:hAnsi="宋体"/>
                <w:color w:val="auto"/>
                <w:szCs w:val="21"/>
                <w:highlight w:val="none"/>
                <w:u w:val="single"/>
              </w:rPr>
              <w:t>60</w:t>
            </w:r>
            <w:r>
              <w:rPr>
                <w:rFonts w:hint="eastAsia" w:ascii="宋体" w:hAnsi="宋体"/>
                <w:color w:val="auto"/>
                <w:szCs w:val="21"/>
                <w:highlight w:val="none"/>
              </w:rPr>
              <w:t>天，中标/成交单位有效期至项目验收之日</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5</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报价内容均涵盖报价要求之一切费用和伴随服务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6</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所提供的报价不高于本公司目前的报价水平</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7</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服务期：合同生效按招标文件规定期限内完成并可交付验收</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8</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满足对售后服务的各项要求</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9</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lang w:val="en-GB"/>
              </w:rPr>
              <w:t>同意接受合同范本所列述的各项条款</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10</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同意按本项目要求缴付相关款项</w:t>
            </w:r>
          </w:p>
        </w:tc>
        <w:tc>
          <w:tcPr>
            <w:tcW w:w="813" w:type="dxa"/>
            <w:noWrap w:val="0"/>
            <w:vAlign w:val="center"/>
          </w:tcPr>
          <w:p>
            <w:pPr>
              <w:jc w:val="center"/>
              <w:rPr>
                <w:rFonts w:hint="eastAsia" w:ascii="宋体" w:cs="宋体"/>
                <w:color w:val="auto"/>
                <w:szCs w:val="21"/>
                <w:highlight w:val="none"/>
                <w:lang w:val="en-GB"/>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11</w:t>
            </w:r>
          </w:p>
        </w:tc>
        <w:tc>
          <w:tcPr>
            <w:tcW w:w="6256" w:type="dxa"/>
            <w:noWrap w:val="0"/>
            <w:vAlign w:val="center"/>
          </w:tcPr>
          <w:p>
            <w:pPr>
              <w:pStyle w:val="7"/>
              <w:rPr>
                <w:rFonts w:hint="eastAsia" w:ascii="宋体" w:hAnsi="宋体" w:eastAsia="宋体"/>
                <w:color w:val="auto"/>
                <w:szCs w:val="21"/>
                <w:highlight w:val="none"/>
              </w:rPr>
            </w:pPr>
            <w:r>
              <w:rPr>
                <w:rFonts w:hint="eastAsia" w:ascii="宋体" w:hAnsi="宋体" w:eastAsia="宋体"/>
                <w:color w:val="auto"/>
                <w:sz w:val="21"/>
                <w:szCs w:val="21"/>
                <w:highlight w:val="none"/>
              </w:rPr>
              <w:t>同意采购方以任何形式对我方竞争性磋商响应文件内容的真实性和有效性进行审查、验证</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12</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其它商务条款偏离说明：</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bl>
    <w:p>
      <w:pPr>
        <w:spacing w:line="360" w:lineRule="auto"/>
        <w:rPr>
          <w:rFonts w:hint="eastAsia" w:ascii="宋体" w:cs="宋体"/>
          <w:color w:val="auto"/>
          <w:sz w:val="24"/>
          <w:highlight w:val="none"/>
          <w:lang w:val="en-GB"/>
        </w:rPr>
      </w:pPr>
      <w:r>
        <w:rPr>
          <w:rFonts w:hint="eastAsia" w:ascii="宋体" w:cs="宋体"/>
          <w:color w:val="auto"/>
          <w:sz w:val="24"/>
          <w:highlight w:val="none"/>
          <w:lang w:val="en-GB"/>
        </w:rPr>
        <w:t>注： 1.</w:t>
      </w:r>
      <w:r>
        <w:rPr>
          <w:rFonts w:hint="eastAsia" w:ascii="宋体" w:cs="宋体"/>
          <w:color w:val="auto"/>
          <w:sz w:val="24"/>
          <w:highlight w:val="none"/>
        </w:rPr>
        <w:t>对</w:t>
      </w:r>
      <w:r>
        <w:rPr>
          <w:rFonts w:hint="eastAsia" w:ascii="宋体" w:cs="宋体"/>
          <w:color w:val="auto"/>
          <w:sz w:val="24"/>
          <w:highlight w:val="none"/>
          <w:lang w:val="en-GB"/>
        </w:rPr>
        <w:t>于上述要求，如响应供应商完全响应，则请在“是否响应”栏内打“√”，对空白或打“×”视为偏离，请在“偏离说明”栏内扼要说明偏离情况。</w:t>
      </w:r>
    </w:p>
    <w:p>
      <w:pPr>
        <w:spacing w:line="360" w:lineRule="auto"/>
        <w:ind w:firstLine="420"/>
        <w:rPr>
          <w:rFonts w:hint="eastAsia" w:ascii="宋体" w:cs="宋体"/>
          <w:color w:val="auto"/>
          <w:sz w:val="24"/>
          <w:highlight w:val="none"/>
          <w:lang w:val="en-GB"/>
        </w:rPr>
      </w:pPr>
      <w:r>
        <w:rPr>
          <w:rFonts w:hint="eastAsia" w:ascii="宋体" w:cs="宋体"/>
          <w:color w:val="auto"/>
          <w:sz w:val="24"/>
          <w:highlight w:val="none"/>
          <w:lang w:val="en-GB"/>
        </w:rPr>
        <w:t xml:space="preserve"> 2.本表内容不得擅自修改。</w:t>
      </w: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spacing w:line="341" w:lineRule="exact"/>
        <w:jc w:val="center"/>
        <w:outlineLvl w:val="3"/>
        <w:rPr>
          <w:rFonts w:ascii="仿宋" w:hAnsi="仿宋" w:eastAsia="仿宋" w:cs="仿宋"/>
          <w:color w:val="auto"/>
          <w:sz w:val="28"/>
          <w:szCs w:val="28"/>
          <w:highlight w:val="none"/>
        </w:rPr>
      </w:pPr>
      <w:r>
        <w:rPr>
          <w:rFonts w:hint="eastAsia" w:ascii="宋体" w:cs="宋体"/>
          <w:color w:val="auto"/>
          <w:sz w:val="24"/>
          <w:highlight w:val="none"/>
        </w:rPr>
        <w:br w:type="page"/>
      </w:r>
      <w:r>
        <w:rPr>
          <w:rFonts w:hint="eastAsia" w:ascii="宋体" w:hAnsi="宋体" w:cs="宋体"/>
          <w:b/>
          <w:bCs/>
          <w:color w:val="auto"/>
          <w:sz w:val="28"/>
          <w:szCs w:val="28"/>
          <w:highlight w:val="none"/>
        </w:rPr>
        <w:t>（3）商务条款响应表</w:t>
      </w:r>
    </w:p>
    <w:p>
      <w:pPr>
        <w:spacing w:line="200" w:lineRule="exact"/>
        <w:jc w:val="center"/>
        <w:rPr>
          <w:color w:val="auto"/>
          <w:sz w:val="20"/>
          <w:szCs w:val="20"/>
          <w:highlight w:val="none"/>
        </w:rPr>
      </w:pPr>
    </w:p>
    <w:p>
      <w:pPr>
        <w:spacing w:before="6" w:line="260" w:lineRule="exact"/>
        <w:jc w:val="left"/>
        <w:rPr>
          <w:rFonts w:hint="eastAsia" w:ascii="宋体" w:hAnsi="宋体" w:cs="宋体"/>
          <w:color w:val="auto"/>
          <w:sz w:val="26"/>
          <w:szCs w:val="26"/>
          <w:highlight w:val="none"/>
        </w:rPr>
      </w:pPr>
    </w:p>
    <w:tbl>
      <w:tblPr>
        <w:tblStyle w:val="9"/>
        <w:tblW w:w="0" w:type="auto"/>
        <w:jc w:val="center"/>
        <w:tblLayout w:type="fixed"/>
        <w:tblCellMar>
          <w:top w:w="0" w:type="dxa"/>
          <w:left w:w="0" w:type="dxa"/>
          <w:bottom w:w="0" w:type="dxa"/>
          <w:right w:w="0" w:type="dxa"/>
        </w:tblCellMar>
      </w:tblPr>
      <w:tblGrid>
        <w:gridCol w:w="816"/>
        <w:gridCol w:w="2090"/>
        <w:gridCol w:w="2174"/>
        <w:gridCol w:w="2444"/>
        <w:gridCol w:w="1528"/>
      </w:tblGrid>
      <w:tr>
        <w:tblPrEx>
          <w:tblCellMar>
            <w:top w:w="0" w:type="dxa"/>
            <w:left w:w="0" w:type="dxa"/>
            <w:bottom w:w="0" w:type="dxa"/>
            <w:right w:w="0" w:type="dxa"/>
          </w:tblCellMar>
        </w:tblPrEx>
        <w:trPr>
          <w:trHeight w:val="714"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left="102"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序号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招</w:t>
            </w:r>
            <w:r>
              <w:rPr>
                <w:rFonts w:hint="eastAsia" w:ascii="宋体" w:hAnsi="宋体" w:eastAsia="宋体" w:cs="宋体"/>
                <w:b/>
                <w:bCs/>
                <w:color w:val="auto"/>
                <w:sz w:val="24"/>
                <w:highlight w:val="none"/>
              </w:rPr>
              <w:t>标</w:t>
            </w:r>
            <w:r>
              <w:rPr>
                <w:rFonts w:hint="eastAsia" w:ascii="宋体" w:hAnsi="宋体" w:eastAsia="宋体" w:cs="宋体"/>
                <w:b/>
                <w:bCs/>
                <w:color w:val="auto"/>
                <w:spacing w:val="2"/>
                <w:sz w:val="24"/>
                <w:highlight w:val="none"/>
              </w:rPr>
              <w:t>要</w:t>
            </w:r>
            <w:r>
              <w:rPr>
                <w:rFonts w:hint="eastAsia" w:ascii="宋体" w:hAnsi="宋体" w:eastAsia="宋体" w:cs="宋体"/>
                <w:b/>
                <w:bCs/>
                <w:color w:val="auto"/>
                <w:sz w:val="24"/>
                <w:highlight w:val="none"/>
              </w:rPr>
              <w:t>求</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响应商务条款要求实际情况</w:t>
            </w: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color w:val="auto"/>
                <w:highlight w:val="none"/>
              </w:rPr>
            </w:pPr>
            <w:r>
              <w:rPr>
                <w:rFonts w:hint="eastAsia" w:ascii="宋体" w:hAnsi="宋体" w:eastAsia="宋体"/>
                <w:b/>
                <w:color w:val="auto"/>
                <w:highlight w:val="none"/>
              </w:rPr>
              <w:t>是否偏离</w:t>
            </w:r>
          </w:p>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（无偏离/正偏离/负偏离）</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偏离简述</w:t>
            </w:r>
          </w:p>
        </w:tc>
      </w:tr>
      <w:tr>
        <w:tblPrEx>
          <w:tblCellMar>
            <w:top w:w="0" w:type="dxa"/>
            <w:left w:w="0" w:type="dxa"/>
            <w:bottom w:w="0" w:type="dxa"/>
            <w:right w:w="0" w:type="dxa"/>
          </w:tblCellMar>
        </w:tblPrEx>
        <w:trPr>
          <w:trHeight w:val="1092"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bl>
    <w:p>
      <w:pPr>
        <w:spacing w:line="360" w:lineRule="auto"/>
        <w:ind w:left="319" w:right="-20"/>
        <w:jc w:val="left"/>
        <w:rPr>
          <w:rFonts w:hint="eastAsia" w:ascii="宋体" w:hAnsi="宋体" w:cs="宋体"/>
          <w:color w:val="auto"/>
          <w:sz w:val="24"/>
          <w:highlight w:val="none"/>
        </w:rPr>
      </w:pPr>
      <w:r>
        <w:rPr>
          <w:rFonts w:hint="eastAsia" w:ascii="宋体" w:hAnsi="宋体" w:cs="宋体"/>
          <w:color w:val="auto"/>
          <w:position w:val="-3"/>
          <w:sz w:val="24"/>
          <w:highlight w:val="none"/>
        </w:rPr>
        <w:t>注：1</w:t>
      </w:r>
      <w:r>
        <w:rPr>
          <w:rFonts w:hint="eastAsia" w:ascii="宋体" w:hAnsi="宋体" w:cs="宋体"/>
          <w:color w:val="auto"/>
          <w:sz w:val="24"/>
          <w:highlight w:val="none"/>
        </w:rPr>
        <w:t>、投标人必须对应招标文件“采购项目商务要求”的内容逐条响应。如有缺漏， 缺漏项视同不符合招标要求。</w:t>
      </w:r>
    </w:p>
    <w:p>
      <w:pPr>
        <w:spacing w:before="12" w:line="360" w:lineRule="auto"/>
        <w:ind w:left="139" w:right="235" w:firstLine="480"/>
        <w:jc w:val="left"/>
        <w:rPr>
          <w:rFonts w:hint="eastAsia" w:ascii="宋体" w:hAnsi="宋体" w:cs="宋体"/>
          <w:color w:val="auto"/>
          <w:sz w:val="24"/>
          <w:highlight w:val="none"/>
        </w:rPr>
      </w:pPr>
      <w:r>
        <w:rPr>
          <w:rFonts w:hint="eastAsia" w:ascii="宋体" w:hAnsi="宋体" w:cs="宋体"/>
          <w:color w:val="auto"/>
          <w:sz w:val="24"/>
          <w:highlight w:val="none"/>
        </w:rPr>
        <w:t>2、投标人响应采购需求应具体、明确，含糊不清、不确切或伪造、变造证明材料的，按照不完全响应或者完全不响应处理。构成提供虚假材料的，移送监管部门查处。</w:t>
      </w:r>
    </w:p>
    <w:p>
      <w:pPr>
        <w:spacing w:line="200" w:lineRule="exact"/>
        <w:jc w:val="left"/>
        <w:rPr>
          <w:rFonts w:hint="eastAsia" w:ascii="宋体" w:hAnsi="宋体" w:cs="宋体"/>
          <w:color w:val="auto"/>
          <w:sz w:val="20"/>
          <w:szCs w:val="20"/>
          <w:highlight w:val="none"/>
        </w:rPr>
      </w:pPr>
    </w:p>
    <w:p>
      <w:pPr>
        <w:spacing w:line="200" w:lineRule="exact"/>
        <w:jc w:val="left"/>
        <w:rPr>
          <w:rFonts w:hint="eastAsia" w:ascii="宋体" w:hAnsi="宋体" w:cs="宋体"/>
          <w:color w:val="auto"/>
          <w:sz w:val="20"/>
          <w:szCs w:val="20"/>
          <w:highlight w:val="none"/>
        </w:rPr>
      </w:pPr>
    </w:p>
    <w:p>
      <w:pPr>
        <w:spacing w:before="16" w:line="280" w:lineRule="exact"/>
        <w:jc w:val="left"/>
        <w:rPr>
          <w:rFonts w:hint="eastAsia" w:ascii="宋体" w:hAnsi="宋体" w:cs="宋体"/>
          <w:color w:val="auto"/>
          <w:sz w:val="28"/>
          <w:szCs w:val="28"/>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eastAsia="宋体" w:cs="宋体"/>
          <w:color w:val="auto"/>
          <w:highlight w:val="none"/>
        </w:rPr>
      </w:pPr>
      <w:r>
        <w:rPr>
          <w:rFonts w:hint="eastAsia" w:ascii="宋体" w:cs="宋体"/>
          <w:color w:val="auto"/>
          <w:sz w:val="24"/>
          <w:highlight w:val="none"/>
        </w:rPr>
        <w:t>日期：   年   月   日</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numPr>
          <w:ilvl w:val="0"/>
          <w:numId w:val="0"/>
        </w:numPr>
        <w:spacing w:line="360" w:lineRule="auto"/>
        <w:jc w:val="center"/>
        <w:outlineLvl w:val="3"/>
        <w:rPr>
          <w:rFonts w:hint="eastAsia" w:ascii="宋体" w:hAnsi="宋体"/>
          <w:b/>
          <w:color w:val="auto"/>
          <w:sz w:val="28"/>
          <w:szCs w:val="28"/>
          <w:highlight w:val="none"/>
        </w:rPr>
      </w:pPr>
      <w:r>
        <w:rPr>
          <w:rFonts w:hint="eastAsia" w:ascii="宋体" w:hAnsi="宋体" w:eastAsia="宋体"/>
          <w:b/>
          <w:color w:val="auto"/>
          <w:sz w:val="28"/>
          <w:szCs w:val="28"/>
          <w:highlight w:val="none"/>
          <w:lang w:eastAsia="zh-CN"/>
        </w:rPr>
        <w:t>（</w:t>
      </w:r>
      <w:r>
        <w:rPr>
          <w:rFonts w:hint="eastAsia" w:ascii="宋体" w:hAnsi="宋体" w:eastAsia="宋体"/>
          <w:b/>
          <w:color w:val="auto"/>
          <w:sz w:val="28"/>
          <w:szCs w:val="28"/>
          <w:highlight w:val="none"/>
          <w:lang w:val="en-US" w:eastAsia="zh-CN"/>
        </w:rPr>
        <w:t>4）</w:t>
      </w:r>
      <w:r>
        <w:rPr>
          <w:rFonts w:hint="eastAsia" w:ascii="宋体" w:hAnsi="宋体"/>
          <w:b/>
          <w:color w:val="auto"/>
          <w:sz w:val="28"/>
          <w:szCs w:val="28"/>
          <w:highlight w:val="none"/>
        </w:rPr>
        <w:t>实质性响应技术需求（</w:t>
      </w:r>
      <w:r>
        <w:rPr>
          <w:rFonts w:hint="eastAsia" w:ascii="宋体" w:hAnsi="宋体"/>
          <w:b/>
          <w:color w:val="auto"/>
          <w:sz w:val="28"/>
          <w:szCs w:val="28"/>
          <w:highlight w:val="none"/>
          <w:lang w:val="en-GB"/>
        </w:rPr>
        <w:t>“</w:t>
      </w:r>
      <w:r>
        <w:rPr>
          <w:rFonts w:hint="eastAsia" w:ascii="宋体" w:hAnsi="宋体"/>
          <w:color w:val="auto"/>
          <w:sz w:val="28"/>
          <w:szCs w:val="28"/>
          <w:highlight w:val="none"/>
        </w:rPr>
        <w:t>★</w:t>
      </w:r>
      <w:r>
        <w:rPr>
          <w:rFonts w:hint="eastAsia" w:ascii="宋体" w:hAnsi="宋体"/>
          <w:b/>
          <w:color w:val="auto"/>
          <w:sz w:val="28"/>
          <w:szCs w:val="28"/>
          <w:highlight w:val="none"/>
          <w:lang w:val="en-GB"/>
        </w:rPr>
        <w:t>”项</w:t>
      </w:r>
      <w:r>
        <w:rPr>
          <w:rFonts w:hint="eastAsia" w:ascii="宋体" w:hAnsi="宋体"/>
          <w:b/>
          <w:color w:val="auto"/>
          <w:sz w:val="28"/>
          <w:szCs w:val="28"/>
          <w:highlight w:val="none"/>
        </w:rPr>
        <w:t>）响应表</w:t>
      </w:r>
    </w:p>
    <w:p>
      <w:pPr>
        <w:rPr>
          <w:rFonts w:hint="eastAsia" w:ascii="宋体" w:hAnsi="宋体"/>
          <w:b/>
          <w:color w:val="auto"/>
          <w:sz w:val="28"/>
          <w:szCs w:val="28"/>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71"/>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4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2171"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157"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bl>
    <w:p>
      <w:pPr>
        <w:rPr>
          <w:rFonts w:hint="eastAsia" w:ascii="宋体" w:hAnsi="宋体"/>
          <w:color w:val="auto"/>
          <w:highlight w:val="none"/>
        </w:rPr>
      </w:pP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w:t>
      </w:r>
      <w:r>
        <w:rPr>
          <w:rFonts w:hint="eastAsia" w:ascii="宋体" w:cs="宋体"/>
          <w:color w:val="auto"/>
          <w:sz w:val="24"/>
          <w:highlight w:val="none"/>
        </w:rPr>
        <w:t>打</w:t>
      </w:r>
      <w:r>
        <w:rPr>
          <w:rFonts w:hint="eastAsia" w:ascii="宋体" w:cs="宋体"/>
          <w:color w:val="auto"/>
          <w:sz w:val="24"/>
          <w:highlight w:val="none"/>
          <w:lang w:val="en-GB"/>
        </w:rPr>
        <w:t>“</w:t>
      </w:r>
      <w:r>
        <w:rPr>
          <w:rFonts w:hint="eastAsia" w:ascii="宋体" w:cs="宋体"/>
          <w:bCs/>
          <w:color w:val="auto"/>
          <w:sz w:val="24"/>
          <w:highlight w:val="none"/>
        </w:rPr>
        <w:t>★</w:t>
      </w:r>
      <w:r>
        <w:rPr>
          <w:rFonts w:hint="eastAsia" w:ascii="宋体" w:cs="宋体"/>
          <w:color w:val="auto"/>
          <w:sz w:val="24"/>
          <w:highlight w:val="none"/>
          <w:lang w:val="en-GB"/>
        </w:rPr>
        <w:t>”项内容逐条响应。</w:t>
      </w:r>
      <w:r>
        <w:rPr>
          <w:rFonts w:hint="eastAsia" w:ascii="宋体" w:hAnsi="宋体"/>
          <w:color w:val="auto"/>
          <w:sz w:val="24"/>
          <w:highlight w:val="none"/>
        </w:rPr>
        <w:t>如有缺漏，缺漏项视同不符合招标要求。</w:t>
      </w:r>
      <w:r>
        <w:rPr>
          <w:rFonts w:hint="eastAsia" w:ascii="宋体" w:hAnsi="宋体"/>
          <w:color w:val="auto"/>
          <w:sz w:val="24"/>
          <w:highlight w:val="none"/>
          <w:lang w:val="en-GB"/>
        </w:rPr>
        <w:t>打“</w:t>
      </w:r>
      <w:r>
        <w:rPr>
          <w:rFonts w:hint="eastAsia" w:ascii="宋体" w:hAnsi="宋体"/>
          <w:color w:val="auto"/>
          <w:sz w:val="24"/>
          <w:highlight w:val="none"/>
        </w:rPr>
        <w:t>★</w:t>
      </w:r>
      <w:r>
        <w:rPr>
          <w:rFonts w:hint="eastAsia" w:ascii="宋体" w:hAnsi="宋体"/>
          <w:color w:val="auto"/>
          <w:sz w:val="24"/>
          <w:highlight w:val="none"/>
          <w:lang w:val="en-GB"/>
        </w:rPr>
        <w:t>”项为不可负偏离(劣于)的重要项。</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keepNext w:val="0"/>
        <w:keepLines w:val="0"/>
        <w:pageBreakBefore w:val="0"/>
        <w:widowControl w:val="0"/>
        <w:kinsoku/>
        <w:wordWrap/>
        <w:overflowPunct/>
        <w:topLinePunct w:val="0"/>
        <w:autoSpaceDE/>
        <w:autoSpaceDN/>
        <w:bidi w:val="0"/>
        <w:adjustRightInd/>
        <w:snapToGrid/>
        <w:spacing w:after="120" w:line="360" w:lineRule="auto"/>
        <w:ind w:left="0" w:leftChars="0" w:firstLine="600" w:firstLineChars="250"/>
        <w:textAlignment w:val="auto"/>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 w:val="24"/>
          <w:highlight w:val="none"/>
        </w:rPr>
        <w:t>招标文件服务需求</w:t>
      </w:r>
      <w:r>
        <w:rPr>
          <w:rFonts w:hint="eastAsia" w:ascii="宋体" w:hAnsi="宋体"/>
          <w:color w:val="auto"/>
          <w:sz w:val="24"/>
          <w:highlight w:val="none"/>
          <w:lang w:val="en-GB"/>
        </w:rPr>
        <w:t>部</w:t>
      </w:r>
      <w:r>
        <w:rPr>
          <w:rFonts w:hint="eastAsia" w:ascii="宋体" w:hAnsi="宋体"/>
          <w:color w:val="auto"/>
          <w:sz w:val="24"/>
          <w:highlight w:val="none"/>
        </w:rPr>
        <w:t>分无打“</w:t>
      </w:r>
      <w:r>
        <w:rPr>
          <w:rFonts w:hint="eastAsia" w:ascii="宋体" w:hAnsi="宋体"/>
          <w:b/>
          <w:color w:val="auto"/>
          <w:sz w:val="24"/>
          <w:highlight w:val="none"/>
          <w:lang w:val="en-GB"/>
        </w:rPr>
        <w:t>★</w:t>
      </w:r>
      <w:r>
        <w:rPr>
          <w:rFonts w:hint="eastAsia" w:ascii="宋体" w:hAnsi="宋体"/>
          <w:color w:val="auto"/>
          <w:sz w:val="24"/>
          <w:highlight w:val="none"/>
        </w:rPr>
        <w:t>”的条款此表请留空。</w:t>
      </w:r>
    </w:p>
    <w:p>
      <w:pPr>
        <w:spacing w:line="360" w:lineRule="auto"/>
        <w:rPr>
          <w:rFonts w:hint="eastAsia" w:ascii="宋体" w:hAnsi="宋体"/>
          <w:color w:val="auto"/>
          <w:sz w:val="24"/>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adjustRightInd w:val="0"/>
        <w:snapToGrid w:val="0"/>
        <w:spacing w:line="360" w:lineRule="auto"/>
        <w:rPr>
          <w:rFonts w:hint="eastAsia" w:ascii="宋体" w:cs="宋体"/>
          <w:color w:val="auto"/>
          <w:sz w:val="24"/>
          <w:highlight w:val="none"/>
        </w:rPr>
      </w:pP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jc w:val="center"/>
        <w:outlineLvl w:val="3"/>
        <w:rPr>
          <w:rFonts w:hint="eastAsia" w:ascii="宋体" w:hAnsi="宋体"/>
          <w:b/>
          <w:color w:val="auto"/>
          <w:sz w:val="28"/>
          <w:szCs w:val="28"/>
          <w:highlight w:val="none"/>
        </w:rPr>
      </w:pPr>
      <w:r>
        <w:rPr>
          <w:rFonts w:hint="eastAsia" w:ascii="宋体" w:hAnsi="宋体"/>
          <w:b/>
          <w:color w:val="auto"/>
          <w:sz w:val="28"/>
          <w:szCs w:val="28"/>
          <w:highlight w:val="none"/>
        </w:rPr>
        <w:t>（</w:t>
      </w:r>
      <w:r>
        <w:rPr>
          <w:rFonts w:hint="eastAsia" w:ascii="宋体" w:hAnsi="宋体" w:eastAsia="宋体"/>
          <w:b/>
          <w:color w:val="auto"/>
          <w:sz w:val="28"/>
          <w:szCs w:val="28"/>
          <w:highlight w:val="none"/>
          <w:lang w:val="en-US" w:eastAsia="zh-CN"/>
        </w:rPr>
        <w:t>5</w:t>
      </w:r>
      <w:r>
        <w:rPr>
          <w:rFonts w:hint="eastAsia" w:ascii="宋体" w:hAnsi="宋体"/>
          <w:b/>
          <w:color w:val="auto"/>
          <w:sz w:val="28"/>
          <w:szCs w:val="28"/>
          <w:highlight w:val="none"/>
        </w:rPr>
        <w:t>）一般技术需求响应表</w:t>
      </w:r>
    </w:p>
    <w:p>
      <w:pPr>
        <w:rPr>
          <w:rFonts w:hint="eastAsia" w:ascii="宋体" w:hAnsi="宋体"/>
          <w:color w:val="auto"/>
          <w:highlight w:val="none"/>
        </w:rPr>
      </w:pPr>
    </w:p>
    <w:tbl>
      <w:tblPr>
        <w:tblStyle w:val="9"/>
        <w:tblpPr w:leftFromText="180" w:rightFromText="180" w:vertAnchor="text" w:horzAnchor="page" w:tblpXSpec="center" w:tblpY="6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909"/>
        <w:gridCol w:w="3207"/>
        <w:gridCol w:w="18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1909"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289"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1909" w:type="dxa"/>
            <w:tcBorders>
              <w:bottom w:val="single" w:color="auto" w:sz="4" w:space="0"/>
            </w:tcBorders>
            <w:noWrap w:val="0"/>
            <w:vAlign w:val="center"/>
          </w:tcPr>
          <w:p>
            <w:pPr>
              <w:jc w:val="center"/>
              <w:rPr>
                <w:rFonts w:hint="eastAsia" w:ascii="宋体" w:hAnsi="宋体"/>
                <w:color w:val="auto"/>
                <w:highlight w:val="none"/>
              </w:rPr>
            </w:pPr>
          </w:p>
        </w:tc>
        <w:tc>
          <w:tcPr>
            <w:tcW w:w="3207" w:type="dxa"/>
            <w:tcBorders>
              <w:bottom w:val="single" w:color="auto" w:sz="4" w:space="0"/>
            </w:tcBorders>
            <w:noWrap w:val="0"/>
            <w:vAlign w:val="center"/>
          </w:tcPr>
          <w:p>
            <w:pPr>
              <w:jc w:val="center"/>
              <w:rPr>
                <w:rFonts w:hint="eastAsia" w:ascii="宋体" w:hAnsi="宋体"/>
                <w:color w:val="auto"/>
                <w:highlight w:val="none"/>
              </w:rPr>
            </w:pPr>
          </w:p>
        </w:tc>
        <w:tc>
          <w:tcPr>
            <w:tcW w:w="1890" w:type="dxa"/>
            <w:tcBorders>
              <w:bottom w:val="single" w:color="auto" w:sz="4" w:space="0"/>
            </w:tcBorders>
            <w:noWrap w:val="0"/>
            <w:vAlign w:val="center"/>
          </w:tcPr>
          <w:p>
            <w:pPr>
              <w:jc w:val="center"/>
              <w:rPr>
                <w:rFonts w:hint="eastAsia" w:ascii="宋体" w:hAnsi="宋体"/>
                <w:color w:val="auto"/>
                <w:highlight w:val="none"/>
              </w:rPr>
            </w:pPr>
          </w:p>
        </w:tc>
        <w:tc>
          <w:tcPr>
            <w:tcW w:w="1289" w:type="dxa"/>
            <w:tcBorders>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8</w:t>
            </w:r>
          </w:p>
        </w:tc>
        <w:tc>
          <w:tcPr>
            <w:tcW w:w="1909"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left w:val="single" w:color="auto" w:sz="4" w:space="0"/>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r>
    </w:tbl>
    <w:p>
      <w:pPr>
        <w:spacing w:after="120"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说明：1、响应供应商必须对应竞争性磋商响应文件“采购项目技术规格、参数及要求”中</w:t>
      </w:r>
      <w:r>
        <w:rPr>
          <w:rFonts w:hint="eastAsia" w:ascii="宋体" w:hAnsi="宋体" w:cs="宋体"/>
          <w:bCs/>
          <w:color w:val="auto"/>
          <w:sz w:val="24"/>
          <w:highlight w:val="none"/>
        </w:rPr>
        <w:t>除标“★”号条款外的内容逐条响应。</w:t>
      </w:r>
      <w:r>
        <w:rPr>
          <w:rFonts w:hint="eastAsia" w:ascii="宋体" w:hAnsi="宋体"/>
          <w:color w:val="auto"/>
          <w:sz w:val="24"/>
          <w:highlight w:val="none"/>
        </w:rPr>
        <w:t>如有缺漏，缺漏项视同不符合招标要求。</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rPr>
          <w:b/>
          <w:color w:val="auto"/>
          <w:sz w:val="28"/>
          <w:szCs w:val="28"/>
          <w:highlight w:val="none"/>
        </w:rPr>
      </w:pPr>
      <w:r>
        <w:rPr>
          <w:b/>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r>
        <w:rPr>
          <w:b/>
          <w:color w:val="auto"/>
          <w:sz w:val="28"/>
          <w:szCs w:val="28"/>
          <w:highlight w:val="none"/>
        </w:rPr>
        <w:t>格式</w:t>
      </w:r>
      <w:r>
        <w:rPr>
          <w:rFonts w:hint="eastAsia" w:eastAsia="宋体"/>
          <w:b/>
          <w:color w:val="auto"/>
          <w:sz w:val="28"/>
          <w:szCs w:val="28"/>
          <w:highlight w:val="none"/>
          <w:lang w:val="en-US" w:eastAsia="zh-CN"/>
        </w:rPr>
        <w:t>九</w:t>
      </w:r>
      <w:r>
        <w:rPr>
          <w:b/>
          <w:color w:val="auto"/>
          <w:sz w:val="28"/>
          <w:szCs w:val="28"/>
          <w:highlight w:val="none"/>
        </w:rPr>
        <w:t>：</w:t>
      </w:r>
      <w:bookmarkEnd w:id="23"/>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24" w:name="_Toc2854"/>
      <w:r>
        <w:rPr>
          <w:rFonts w:hint="eastAsia"/>
          <w:b/>
          <w:color w:val="auto"/>
          <w:sz w:val="28"/>
          <w:szCs w:val="28"/>
          <w:highlight w:val="none"/>
        </w:rPr>
        <w:t>履约进度计划表</w:t>
      </w:r>
      <w:bookmarkEnd w:id="24"/>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拟定时间安排</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计划完成的工作内容</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拟定___年___月___日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签订合同并生效</w:t>
            </w: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1250" w:type="pct"/>
            <w:vAlign w:val="center"/>
          </w:tcPr>
          <w:p>
            <w:pPr>
              <w:jc w:val="center"/>
              <w:rPr>
                <w:rFonts w:hint="eastAsia" w:ascii="宋体" w:hAnsi="宋体" w:eastAsia="宋体" w:cs="宋体"/>
                <w:color w:val="auto"/>
                <w:sz w:val="24"/>
                <w:szCs w:val="24"/>
                <w:highlight w:val="none"/>
              </w:rPr>
            </w:pPr>
          </w:p>
        </w:tc>
      </w:tr>
    </w:tbl>
    <w:p>
      <w:pPr>
        <w:ind w:firstLine="480"/>
        <w:rPr>
          <w:color w:val="auto"/>
          <w:highlight w:val="none"/>
        </w:rPr>
      </w:pPr>
    </w:p>
    <w:p>
      <w:pPr>
        <w:pStyle w:val="5"/>
        <w:rPr>
          <w:color w:val="auto"/>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5" w:name="_Toc29801"/>
      <w:r>
        <w:rPr>
          <w:b/>
          <w:color w:val="auto"/>
          <w:sz w:val="28"/>
          <w:highlight w:val="none"/>
        </w:rPr>
        <w:t>格式</w:t>
      </w:r>
      <w:r>
        <w:rPr>
          <w:rFonts w:hint="eastAsia" w:eastAsia="宋体"/>
          <w:b/>
          <w:color w:val="auto"/>
          <w:sz w:val="28"/>
          <w:highlight w:val="none"/>
          <w:lang w:val="en-US" w:eastAsia="zh-CN"/>
        </w:rPr>
        <w:t>十</w:t>
      </w:r>
      <w:r>
        <w:rPr>
          <w:b/>
          <w:color w:val="auto"/>
          <w:sz w:val="28"/>
          <w:highlight w:val="none"/>
        </w:rPr>
        <w:t>：</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26" w:name="_Toc1209"/>
      <w:r>
        <w:rPr>
          <w:b/>
          <w:color w:val="auto"/>
          <w:sz w:val="32"/>
          <w:szCs w:val="32"/>
          <w:highlight w:val="none"/>
        </w:rPr>
        <w:t>各类证明材料</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p>
    <w:p>
      <w:pPr>
        <w:spacing w:line="360" w:lineRule="auto"/>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7" w:name="_Toc18352"/>
      <w:r>
        <w:rPr>
          <w:b/>
          <w:color w:val="auto"/>
          <w:sz w:val="28"/>
          <w:highlight w:val="none"/>
        </w:rPr>
        <w:t>格式</w:t>
      </w:r>
      <w:r>
        <w:rPr>
          <w:rFonts w:hint="eastAsia"/>
          <w:b/>
          <w:color w:val="auto"/>
          <w:sz w:val="28"/>
          <w:highlight w:val="none"/>
          <w:lang w:val="en-US" w:eastAsia="zh-CN"/>
        </w:rPr>
        <w:t>十一</w:t>
      </w:r>
      <w:r>
        <w:rPr>
          <w:b/>
          <w:color w:val="auto"/>
          <w:sz w:val="28"/>
          <w:highlight w:val="none"/>
        </w:rPr>
        <w:t>：</w:t>
      </w:r>
      <w:bookmarkEnd w:id="2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8" w:name="_Toc23175"/>
      <w:r>
        <w:rPr>
          <w:b/>
          <w:color w:val="auto"/>
          <w:sz w:val="32"/>
          <w:szCs w:val="32"/>
          <w:highlight w:val="none"/>
        </w:rPr>
        <w:t>需要采购人提供的附加条件</w:t>
      </w:r>
      <w:bookmarkEnd w:id="28"/>
    </w:p>
    <w:tbl>
      <w:tblPr>
        <w:tblStyle w:val="9"/>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9" w:name="_Toc10369"/>
      <w:r>
        <w:rPr>
          <w:b/>
          <w:color w:val="auto"/>
          <w:sz w:val="28"/>
          <w:highlight w:val="none"/>
        </w:rPr>
        <w:t>格式</w:t>
      </w:r>
      <w:r>
        <w:rPr>
          <w:rFonts w:hint="eastAsia"/>
          <w:b/>
          <w:color w:val="auto"/>
          <w:sz w:val="28"/>
          <w:highlight w:val="none"/>
          <w:lang w:val="en-US" w:eastAsia="zh-CN"/>
        </w:rPr>
        <w:t>十二</w:t>
      </w:r>
      <w:r>
        <w:rPr>
          <w:b/>
          <w:color w:val="auto"/>
          <w:sz w:val="28"/>
          <w:highlight w:val="none"/>
        </w:rPr>
        <w:t>：</w:t>
      </w:r>
      <w:bookmarkEnd w:id="29"/>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color w:val="auto"/>
          <w:sz w:val="32"/>
          <w:szCs w:val="32"/>
          <w:highlight w:val="none"/>
          <w:lang w:val="en-US" w:eastAsia="zh-CN"/>
        </w:rPr>
      </w:pPr>
      <w:bookmarkStart w:id="30" w:name="_Toc7683"/>
      <w:r>
        <w:rPr>
          <w:rFonts w:hint="eastAsia"/>
          <w:b/>
          <w:bCs/>
          <w:color w:val="auto"/>
          <w:sz w:val="32"/>
          <w:szCs w:val="32"/>
          <w:highlight w:val="none"/>
          <w:lang w:val="en-US" w:eastAsia="zh-CN"/>
        </w:rPr>
        <w:t>技术方案</w:t>
      </w:r>
      <w:bookmarkEnd w:id="30"/>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自行</w:t>
      </w:r>
      <w:r>
        <w:rPr>
          <w:rFonts w:hint="eastAsia" w:ascii="宋体" w:hAnsi="宋体" w:eastAsia="宋体" w:cs="宋体"/>
          <w:color w:val="auto"/>
          <w:sz w:val="24"/>
          <w:szCs w:val="32"/>
          <w:highlight w:val="none"/>
        </w:rPr>
        <w:t>编制</w:t>
      </w:r>
      <w:r>
        <w:rPr>
          <w:rFonts w:hint="eastAsia" w:ascii="宋体" w:hAnsi="宋体" w:eastAsia="宋体" w:cs="宋体"/>
          <w:color w:val="auto"/>
          <w:sz w:val="24"/>
          <w:szCs w:val="32"/>
          <w:highlight w:val="none"/>
          <w:lang w:val="en-US" w:eastAsia="zh-CN"/>
        </w:rPr>
        <w:t>技术方案</w:t>
      </w:r>
      <w:r>
        <w:rPr>
          <w:rFonts w:hint="eastAsia" w:ascii="宋体" w:hAnsi="宋体" w:eastAsia="宋体" w:cs="宋体"/>
          <w:color w:val="auto"/>
          <w:sz w:val="24"/>
          <w:szCs w:val="32"/>
          <w:highlight w:val="none"/>
        </w:rPr>
        <w:t>(格式自拟，应控制在</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00页以内)</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rFonts w:hint="eastAsia"/>
          <w:color w:val="auto"/>
          <w:highlight w:val="none"/>
          <w:lang w:val="en-US" w:eastAsia="zh-Hans"/>
        </w:rPr>
      </w:pPr>
      <w:r>
        <w:rPr>
          <w:rFonts w:hint="eastAsia"/>
          <w:color w:val="auto"/>
          <w:highlight w:val="none"/>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31" w:name="_Toc1630"/>
      <w:r>
        <w:rPr>
          <w:b/>
          <w:color w:val="auto"/>
          <w:sz w:val="28"/>
          <w:szCs w:val="28"/>
          <w:highlight w:val="none"/>
        </w:rPr>
        <w:t>格式十</w:t>
      </w:r>
      <w:r>
        <w:rPr>
          <w:rFonts w:hint="eastAsia" w:eastAsia="宋体"/>
          <w:b/>
          <w:color w:val="auto"/>
          <w:sz w:val="28"/>
          <w:szCs w:val="28"/>
          <w:highlight w:val="none"/>
          <w:lang w:val="en-US" w:eastAsia="zh-CN"/>
        </w:rPr>
        <w:t>三</w:t>
      </w:r>
      <w:r>
        <w:rPr>
          <w:b/>
          <w:color w:val="auto"/>
          <w:sz w:val="28"/>
          <w:szCs w:val="28"/>
          <w:highlight w:val="none"/>
        </w:rPr>
        <w:t>：</w:t>
      </w:r>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32" w:name="_Toc32029"/>
      <w:r>
        <w:rPr>
          <w:rFonts w:hint="eastAsia"/>
          <w:b/>
          <w:color w:val="auto"/>
          <w:sz w:val="28"/>
          <w:szCs w:val="28"/>
          <w:highlight w:val="none"/>
        </w:rPr>
        <w:t>询问函、质疑函、投诉书格式</w:t>
      </w:r>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color w:val="auto"/>
          <w:sz w:val="24"/>
          <w:highlight w:val="none"/>
          <w:lang w:eastAsia="zh-CN"/>
        </w:rPr>
      </w:pPr>
      <w:r>
        <w:rPr>
          <w:rFonts w:hint="eastAsia" w:eastAsia="宋体"/>
          <w:b/>
          <w:color w:val="auto"/>
          <w:sz w:val="24"/>
          <w:highlight w:val="none"/>
          <w:lang w:eastAsia="zh-CN"/>
        </w:rPr>
        <w:t>国家税务总局博罗县税务局</w:t>
      </w:r>
      <w:r>
        <w:rPr>
          <w:rFonts w:hint="eastAsia"/>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我单位已登记并准备参与“</w:t>
      </w:r>
      <w:r>
        <w:rPr>
          <w:rFonts w:hint="eastAsia" w:ascii="宋体" w:hAnsi="宋体" w:eastAsia="宋体" w:cs="宋体"/>
          <w:color w:val="auto"/>
          <w:sz w:val="24"/>
          <w:szCs w:val="24"/>
          <w:highlight w:val="none"/>
          <w:lang w:eastAsia="zh-CN"/>
        </w:rPr>
        <w:t>国家税务总局博罗县税务局长宁和石湾税务分局篮球场修缮工程</w:t>
      </w:r>
      <w:r>
        <w:rPr>
          <w:rFonts w:hint="eastAsia" w:ascii="宋体" w:hAnsi="宋体" w:eastAsia="宋体" w:cs="宋体"/>
          <w:color w:val="auto"/>
          <w:sz w:val="24"/>
          <w:szCs w:val="24"/>
          <w:highlight w:val="none"/>
        </w:rPr>
        <w:t>”项目（采购项目编号：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采购人</w:t>
      </w:r>
      <w:r>
        <w:rPr>
          <w:rFonts w:hint="eastAsia" w:ascii="宋体" w:hAnsi="宋体" w:eastAsia="宋体" w:cs="宋体"/>
          <w:color w:val="auto"/>
          <w:sz w:val="24"/>
          <w:szCs w:val="24"/>
          <w:highlight w:val="none"/>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5"/>
        <w:rPr>
          <w:rFonts w:hint="eastAsia"/>
          <w:color w:val="auto"/>
          <w:highlight w:val="none"/>
          <w:lang w:val="en-US" w:eastAsia="zh-Hans"/>
        </w:rPr>
      </w:pPr>
    </w:p>
    <w:p>
      <w:pPr>
        <w:spacing w:before="166" w:line="211" w:lineRule="auto"/>
        <w:ind w:left="426"/>
        <w:rPr>
          <w:rFonts w:ascii="宋体" w:hAnsi="宋体" w:eastAsia="宋体" w:cs="宋体"/>
          <w:color w:val="auto"/>
          <w:sz w:val="19"/>
          <w:szCs w:val="19"/>
          <w:highlight w:val="none"/>
        </w:rPr>
      </w:pPr>
    </w:p>
    <w:sectPr>
      <w:headerReference r:id="rId9" w:type="default"/>
      <w:footerReference r:id="rId10"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500000000020000"/>
    <w:charset w:val="00"/>
    <w:family w:val="roman"/>
    <w:pitch w:val="default"/>
    <w:sig w:usb0="00000000" w:usb1="00000000" w:usb2="00000000" w:usb3="00000000" w:csb0="2000019F" w:csb1="4F01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7575C"/>
    <w:multiLevelType w:val="singleLevel"/>
    <w:tmpl w:val="97E7575C"/>
    <w:lvl w:ilvl="0" w:tentative="0">
      <w:start w:val="1"/>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CBC47C"/>
    <w:multiLevelType w:val="singleLevel"/>
    <w:tmpl w:val="3CCBC47C"/>
    <w:lvl w:ilvl="0" w:tentative="0">
      <w:start w:val="5"/>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hjNDgwY2JkOGZjZTRhMTYwYWYwY2U4MTk0YzA0YzUifQ=="/>
  </w:docVars>
  <w:rsids>
    <w:rsidRoot w:val="00000000"/>
    <w:rsid w:val="01234CD3"/>
    <w:rsid w:val="018936D3"/>
    <w:rsid w:val="018D3C56"/>
    <w:rsid w:val="02A5773D"/>
    <w:rsid w:val="041E3C07"/>
    <w:rsid w:val="042A125D"/>
    <w:rsid w:val="05C35F2A"/>
    <w:rsid w:val="06D8516B"/>
    <w:rsid w:val="08DF1D98"/>
    <w:rsid w:val="09252549"/>
    <w:rsid w:val="09D006DD"/>
    <w:rsid w:val="0C491DAF"/>
    <w:rsid w:val="0F056CD5"/>
    <w:rsid w:val="0FE703FF"/>
    <w:rsid w:val="10A50EAC"/>
    <w:rsid w:val="12341859"/>
    <w:rsid w:val="139F326B"/>
    <w:rsid w:val="14530ACA"/>
    <w:rsid w:val="14BE43A4"/>
    <w:rsid w:val="15A60087"/>
    <w:rsid w:val="15B004DB"/>
    <w:rsid w:val="1A647174"/>
    <w:rsid w:val="1BC065CE"/>
    <w:rsid w:val="22926D73"/>
    <w:rsid w:val="23546244"/>
    <w:rsid w:val="25E17F49"/>
    <w:rsid w:val="2AD46197"/>
    <w:rsid w:val="2E7C1D96"/>
    <w:rsid w:val="30C02BA8"/>
    <w:rsid w:val="32AF1409"/>
    <w:rsid w:val="33A312E7"/>
    <w:rsid w:val="33AE659A"/>
    <w:rsid w:val="345117AD"/>
    <w:rsid w:val="37301EB2"/>
    <w:rsid w:val="38624BAB"/>
    <w:rsid w:val="3937282B"/>
    <w:rsid w:val="3A8D2F8E"/>
    <w:rsid w:val="3CC850C2"/>
    <w:rsid w:val="3D7C63EA"/>
    <w:rsid w:val="4031309E"/>
    <w:rsid w:val="42092CD9"/>
    <w:rsid w:val="42F13637"/>
    <w:rsid w:val="43E36909"/>
    <w:rsid w:val="4416270A"/>
    <w:rsid w:val="44F4130A"/>
    <w:rsid w:val="45E665E0"/>
    <w:rsid w:val="46916165"/>
    <w:rsid w:val="48291627"/>
    <w:rsid w:val="4B0C0196"/>
    <w:rsid w:val="4C8B01D2"/>
    <w:rsid w:val="4D9973C1"/>
    <w:rsid w:val="4E261E88"/>
    <w:rsid w:val="4F5A498B"/>
    <w:rsid w:val="4FE57909"/>
    <w:rsid w:val="536D415B"/>
    <w:rsid w:val="541E149B"/>
    <w:rsid w:val="55544F19"/>
    <w:rsid w:val="55850237"/>
    <w:rsid w:val="57A908F1"/>
    <w:rsid w:val="57BB3B4E"/>
    <w:rsid w:val="58496E0E"/>
    <w:rsid w:val="59B273B0"/>
    <w:rsid w:val="5A89319F"/>
    <w:rsid w:val="5A9F044D"/>
    <w:rsid w:val="5AE92528"/>
    <w:rsid w:val="5B584AAE"/>
    <w:rsid w:val="5D255B25"/>
    <w:rsid w:val="5F5554BC"/>
    <w:rsid w:val="60F20726"/>
    <w:rsid w:val="614F59A1"/>
    <w:rsid w:val="658932D2"/>
    <w:rsid w:val="662E7FED"/>
    <w:rsid w:val="67D86BDE"/>
    <w:rsid w:val="68847A07"/>
    <w:rsid w:val="689A1C45"/>
    <w:rsid w:val="68BA2AD0"/>
    <w:rsid w:val="68DE4C1F"/>
    <w:rsid w:val="68EA7AE4"/>
    <w:rsid w:val="696C203A"/>
    <w:rsid w:val="6DF75E7E"/>
    <w:rsid w:val="70707B13"/>
    <w:rsid w:val="71AC0C8F"/>
    <w:rsid w:val="71D95A12"/>
    <w:rsid w:val="73020DAF"/>
    <w:rsid w:val="742E2DD1"/>
    <w:rsid w:val="751124F2"/>
    <w:rsid w:val="778F448A"/>
    <w:rsid w:val="786008D2"/>
    <w:rsid w:val="79EB1C69"/>
    <w:rsid w:val="7BC071D6"/>
    <w:rsid w:val="7F471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宋体 小四 行距: 1.5 倍行距"/>
    <w:basedOn w:val="1"/>
    <w:qFormat/>
    <w:uiPriority w:val="0"/>
    <w:rPr>
      <w:rFonts w:ascii="宋体" w:hAnsi="宋体" w:cs="宋体"/>
      <w:sz w:val="28"/>
    </w:rPr>
  </w:style>
  <w:style w:type="paragraph" w:styleId="4">
    <w:name w:val="annotation text"/>
    <w:basedOn w:val="1"/>
    <w:qFormat/>
    <w:uiPriority w:val="0"/>
    <w:pPr>
      <w:jc w:val="left"/>
    </w:pPr>
  </w:style>
  <w:style w:type="paragraph" w:styleId="5">
    <w:name w:val="Plain Text"/>
    <w:basedOn w:val="1"/>
    <w:qFormat/>
    <w:uiPriority w:val="99"/>
    <w:pPr>
      <w:spacing w:line="360" w:lineRule="auto"/>
    </w:pPr>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3">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4">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15">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6">
    <w:name w:val="p0"/>
    <w:basedOn w:val="1"/>
    <w:qFormat/>
    <w:uiPriority w:val="0"/>
    <w:pPr>
      <w:widowControl/>
      <w:jc w:val="left"/>
    </w:pPr>
    <w:rPr>
      <w:rFonts w:ascii="Calibri" w:hAnsi="Calibri"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25801</Words>
  <Characters>28925</Characters>
  <TotalTime>1</TotalTime>
  <ScaleCrop>false</ScaleCrop>
  <LinksUpToDate>false</LinksUpToDate>
  <CharactersWithSpaces>29836</CharactersWithSpaces>
  <Application>WPS Office_11.8.2.10158_F1E327BC-269C-435d-A152-05C5408002CA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杨明</cp:lastModifiedBy>
  <cp:lastPrinted>2023-07-14T03:10:00Z</cp:lastPrinted>
  <dcterms:modified xsi:type="dcterms:W3CDTF">2023-11-08T13:52:42Z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2052-11.8.2.10158</vt:lpwstr>
  </property>
  <property fmtid="{D5CDD505-2E9C-101B-9397-08002B2CF9AE}" pid="5" name="ICV">
    <vt:lpwstr>F5E2F39548F24021ABD8BDCE1C495C8E_13</vt:lpwstr>
  </property>
</Properties>
</file>