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6"/>
        <w:rPr>
          <w:rFonts w:hint="eastAsia"/>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jc w:val="center"/>
        <w:textAlignment w:val="auto"/>
        <w:outlineLvl w:val="9"/>
        <w:rPr>
          <w:rFonts w:hint="eastAsia" w:eastAsiaTheme="minorEastAsia"/>
          <w:b/>
          <w:color w:val="auto"/>
          <w:sz w:val="72"/>
          <w:szCs w:val="36"/>
          <w:highlight w:val="none"/>
          <w:lang w:eastAsia="zh-CN"/>
        </w:rPr>
      </w:pPr>
      <w:r>
        <w:rPr>
          <w:rFonts w:hint="eastAsia"/>
          <w:b/>
          <w:color w:val="auto"/>
          <w:sz w:val="72"/>
          <w:szCs w:val="36"/>
          <w:highlight w:val="none"/>
          <w:lang w:eastAsia="zh-CN"/>
        </w:rPr>
        <w:t>简</w:t>
      </w:r>
      <w:r>
        <w:rPr>
          <w:rFonts w:hint="eastAsia"/>
          <w:b/>
          <w:color w:val="auto"/>
          <w:sz w:val="72"/>
          <w:szCs w:val="36"/>
          <w:highlight w:val="none"/>
          <w:lang w:val="en-US" w:eastAsia="zh-CN"/>
        </w:rPr>
        <w:t xml:space="preserve"> </w:t>
      </w:r>
      <w:r>
        <w:rPr>
          <w:rFonts w:hint="eastAsia"/>
          <w:b/>
          <w:color w:val="auto"/>
          <w:sz w:val="72"/>
          <w:szCs w:val="36"/>
          <w:highlight w:val="none"/>
          <w:lang w:eastAsia="zh-CN"/>
        </w:rPr>
        <w:t>易</w:t>
      </w:r>
      <w:r>
        <w:rPr>
          <w:b/>
          <w:color w:val="auto"/>
          <w:sz w:val="72"/>
          <w:szCs w:val="36"/>
          <w:highlight w:val="none"/>
        </w:rPr>
        <w:t xml:space="preserve"> 磋 商 文 件</w:t>
      </w: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pStyle w:val="16"/>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jc w:val="center"/>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jc w:val="center"/>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jc w:val="center"/>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jc w:val="center"/>
        <w:textAlignment w:val="auto"/>
        <w:outlineLvl w:val="9"/>
        <w:rPr>
          <w:rFonts w:hint="eastAsia" w:eastAsiaTheme="minorEastAsia"/>
          <w:color w:val="auto"/>
          <w:highlight w:val="none"/>
          <w:lang w:eastAsia="zh-CN"/>
        </w:rPr>
      </w:pPr>
    </w:p>
    <w:p>
      <w:pPr>
        <w:pStyle w:val="16"/>
        <w:rPr>
          <w:rFonts w:hint="eastAsia"/>
          <w:color w:val="auto"/>
          <w:highlight w:val="none"/>
          <w:lang w:eastAsia="zh-CN"/>
        </w:rPr>
      </w:pPr>
    </w:p>
    <w:p>
      <w:pPr>
        <w:pStyle w:val="16"/>
        <w:ind w:left="0" w:leftChars="0"/>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val="0"/>
        <w:spacing w:line="480" w:lineRule="auto"/>
        <w:ind w:left="0" w:leftChars="0"/>
        <w:jc w:val="both"/>
        <w:textAlignment w:val="auto"/>
        <w:outlineLvl w:val="9"/>
        <w:rPr>
          <w:rFonts w:hint="default" w:eastAsia="宋体"/>
          <w:color w:val="auto"/>
          <w:highlight w:val="none"/>
          <w:lang w:val="en-US" w:eastAsia="zh-CN"/>
        </w:rPr>
      </w:pPr>
      <w:r>
        <w:rPr>
          <w:b/>
          <w:color w:val="auto"/>
          <w:sz w:val="24"/>
          <w:highlight w:val="none"/>
        </w:rPr>
        <w:t>采购项目</w:t>
      </w:r>
      <w:r>
        <w:rPr>
          <w:rFonts w:hint="eastAsia" w:ascii="宋体" w:hAnsi="宋体" w:eastAsia="宋体" w:cs="宋体"/>
          <w:b/>
          <w:color w:val="auto"/>
          <w:sz w:val="24"/>
          <w:highlight w:val="none"/>
        </w:rPr>
        <w:t>编号：</w:t>
      </w:r>
      <w:r>
        <w:rPr>
          <w:rFonts w:hint="eastAsia" w:ascii="宋体" w:hAnsi="宋体" w:eastAsia="宋体" w:cs="宋体"/>
          <w:b/>
          <w:color w:val="auto"/>
          <w:sz w:val="24"/>
          <w:highlight w:val="none"/>
          <w:lang w:val="en-US" w:eastAsia="zh-CN"/>
        </w:rPr>
        <w:t>ZKSW202301</w:t>
      </w:r>
    </w:p>
    <w:p>
      <w:pPr>
        <w:keepNext w:val="0"/>
        <w:keepLines w:val="0"/>
        <w:pageBreakBefore w:val="0"/>
        <w:widowControl w:val="0"/>
        <w:kinsoku/>
        <w:wordWrap/>
        <w:overflowPunct/>
        <w:topLinePunct w:val="0"/>
        <w:autoSpaceDE/>
        <w:autoSpaceDN/>
        <w:bidi w:val="0"/>
        <w:adjustRightInd/>
        <w:snapToGrid w:val="0"/>
        <w:spacing w:line="480" w:lineRule="auto"/>
        <w:ind w:left="0" w:leftChars="0"/>
        <w:jc w:val="both"/>
        <w:textAlignment w:val="auto"/>
        <w:outlineLvl w:val="9"/>
        <w:rPr>
          <w:rFonts w:hint="eastAsia" w:eastAsiaTheme="minorEastAsia"/>
          <w:color w:val="auto"/>
          <w:highlight w:val="none"/>
          <w:lang w:val="en-US" w:eastAsia="zh-CN"/>
        </w:rPr>
      </w:pPr>
      <w:r>
        <w:rPr>
          <w:rFonts w:hint="eastAsia"/>
          <w:b/>
          <w:color w:val="auto"/>
          <w:sz w:val="24"/>
          <w:highlight w:val="none"/>
          <w:lang w:val="en-US" w:eastAsia="zh-CN"/>
        </w:rPr>
        <w:t>采购</w:t>
      </w:r>
      <w:r>
        <w:rPr>
          <w:b/>
          <w:color w:val="auto"/>
          <w:sz w:val="24"/>
          <w:highlight w:val="none"/>
        </w:rPr>
        <w:t>项目名称：</w:t>
      </w:r>
      <w:r>
        <w:rPr>
          <w:rFonts w:hint="eastAsia"/>
          <w:b/>
          <w:color w:val="auto"/>
          <w:sz w:val="24"/>
          <w:highlight w:val="none"/>
          <w:lang w:eastAsia="zh-CN"/>
        </w:rPr>
        <w:t>国家税务总局惠州仲恺高新技术产业开发区税务局围墙修建项目</w:t>
      </w:r>
    </w:p>
    <w:p>
      <w:pPr>
        <w:keepNext w:val="0"/>
        <w:keepLines w:val="0"/>
        <w:pageBreakBefore w:val="0"/>
        <w:widowControl w:val="0"/>
        <w:kinsoku/>
        <w:wordWrap/>
        <w:overflowPunct/>
        <w:topLinePunct w:val="0"/>
        <w:autoSpaceDE/>
        <w:autoSpaceDN/>
        <w:bidi w:val="0"/>
        <w:adjustRightInd/>
        <w:snapToGrid w:val="0"/>
        <w:spacing w:line="480" w:lineRule="auto"/>
        <w:ind w:left="0" w:leftChars="0"/>
        <w:jc w:val="both"/>
        <w:textAlignment w:val="auto"/>
        <w:outlineLvl w:val="9"/>
        <w:rPr>
          <w:color w:val="auto"/>
          <w:highlight w:val="none"/>
        </w:rPr>
      </w:pPr>
      <w:r>
        <w:rPr>
          <w:b/>
          <w:color w:val="auto"/>
          <w:sz w:val="24"/>
          <w:highlight w:val="none"/>
        </w:rPr>
        <w:t>采</w:t>
      </w:r>
      <w:r>
        <w:rPr>
          <w:rFonts w:hint="eastAsia"/>
          <w:b/>
          <w:color w:val="auto"/>
          <w:sz w:val="24"/>
          <w:highlight w:val="none"/>
          <w:lang w:val="en-US" w:eastAsia="zh-CN"/>
        </w:rPr>
        <w:t xml:space="preserve">   </w:t>
      </w:r>
      <w:r>
        <w:rPr>
          <w:b/>
          <w:color w:val="auto"/>
          <w:sz w:val="24"/>
          <w:highlight w:val="none"/>
        </w:rPr>
        <w:t>购</w:t>
      </w:r>
      <w:r>
        <w:rPr>
          <w:rFonts w:hint="eastAsia"/>
          <w:b/>
          <w:color w:val="auto"/>
          <w:sz w:val="24"/>
          <w:highlight w:val="none"/>
          <w:lang w:val="en-US" w:eastAsia="zh-CN"/>
        </w:rPr>
        <w:t xml:space="preserve">   </w:t>
      </w:r>
      <w:r>
        <w:rPr>
          <w:b/>
          <w:color w:val="auto"/>
          <w:sz w:val="24"/>
          <w:highlight w:val="none"/>
        </w:rPr>
        <w:t>人：</w:t>
      </w:r>
      <w:r>
        <w:rPr>
          <w:rFonts w:hint="eastAsia"/>
          <w:b/>
          <w:color w:val="auto"/>
          <w:sz w:val="24"/>
          <w:highlight w:val="none"/>
        </w:rPr>
        <w:t>国家税务总局惠州仲恺高新技术产业开发区税务局</w:t>
      </w:r>
    </w:p>
    <w:p>
      <w:pPr>
        <w:pStyle w:val="16"/>
        <w:jc w:val="center"/>
        <w:rPr>
          <w:rFonts w:hint="eastAsia"/>
          <w:b/>
          <w:bCs/>
          <w:color w:val="auto"/>
          <w:sz w:val="32"/>
          <w:szCs w:val="32"/>
          <w:highlight w:val="none"/>
          <w:lang w:val="en-US" w:eastAsia="zh-CN"/>
        </w:rPr>
        <w:sectPr>
          <w:pgSz w:w="11906" w:h="16838"/>
          <w:pgMar w:top="1417" w:right="1417" w:bottom="1417" w:left="1417" w:header="851" w:footer="992" w:gutter="0"/>
          <w:pgNumType w:fmt="decimal"/>
          <w:cols w:space="0" w:num="1"/>
          <w:rtlGutter w:val="0"/>
          <w:docGrid w:type="lines" w:linePitch="312" w:charSpace="0"/>
        </w:sectPr>
      </w:pPr>
    </w:p>
    <w:p>
      <w:pPr>
        <w:pStyle w:val="16"/>
        <w:jc w:val="center"/>
        <w:rPr>
          <w:rFonts w:hint="eastAsia"/>
          <w:b/>
          <w:bCs/>
          <w:color w:val="auto"/>
          <w:sz w:val="32"/>
          <w:szCs w:val="32"/>
          <w:highlight w:val="none"/>
          <w:lang w:val="en-US" w:eastAsia="zh-CN"/>
        </w:rPr>
      </w:pPr>
      <w:r>
        <w:rPr>
          <w:rFonts w:hint="eastAsia"/>
          <w:b/>
          <w:bCs/>
          <w:color w:val="auto"/>
          <w:sz w:val="32"/>
          <w:szCs w:val="32"/>
          <w:highlight w:val="none"/>
          <w:lang w:val="en-US" w:eastAsia="zh-CN"/>
        </w:rPr>
        <w:t>目录</w:t>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TOC \o "1-3" \h \u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_Toc14333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第一章 磋商邀请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_Toc14333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_Toc3421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项目概述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_Toc3421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_Toc25937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供应商的资格要求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_Toc25937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_Toc1513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获取磋商文件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_Toc1513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_Toc22713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提交响应文件截止时间、开启时间和地点：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_Toc22713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_Toc30897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公告期限、发布公告的媒介：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_Toc30897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_Toc27905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本项目联系方式：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_Toc27905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_Toc31518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第二章 采购需求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_Toc31518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_Toc6286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一、项目概况</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_Toc6286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_Toc3608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1.主要商务要求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_Toc3608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_Toc5212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2.技术标准与要求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_Toc5212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_Toc7061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第三章 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_Toc7061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_Toc3022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一、名词解释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_Toc3022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_Toc28072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二、须知前附表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_Toc28072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_Toc9207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三、说明</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_Toc9207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_Toc21281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四、磋商文件的澄清和修改</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_Toc21281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_Toc24144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五、响应要求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_Toc24144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_Toc1521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六、磋商、评审和结果确定</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_Toc1521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_Toc14834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七、询问、质疑与投诉</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_Toc14834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_Toc18932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八、合同签订和履行</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_Toc18932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_Toc20430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第四章 评审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_Toc20430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_Toc11986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一、评审要求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_Toc11986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_Toc18811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、评审程序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_Toc18811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24</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_Toc30226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第五章 合同文本</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_Toc30226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_Toc20364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第六章 响应文件格式与要求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_Toc20364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_Toc26258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格式一：</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_Toc26258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_Toc13203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响 应 承 诺 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_Toc13203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_Toc24837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格式二：</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_Toc24837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_Toc31546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首轮</w:t>
      </w:r>
      <w:r>
        <w:rPr>
          <w:rFonts w:hint="eastAsia" w:ascii="宋体" w:hAnsi="宋体" w:eastAsia="宋体" w:cs="宋体"/>
          <w:color w:val="auto"/>
          <w:sz w:val="24"/>
          <w:szCs w:val="24"/>
          <w:highlight w:val="none"/>
        </w:rPr>
        <w:t>报价表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_Toc31546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_Toc25899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_Toc25899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_Toc23829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政策适用性说明</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_Toc23829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_Toc30162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_Toc30162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44</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_Toc1308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法定代表人证明书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_Toc1308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44</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_Toc31209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_Toc31209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_Toc26100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法定代表人授权书格式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_Toc26100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45</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_Toc27437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_Toc27437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_Toc17768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响应保证金</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_Toc17768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_Toc26420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_Toc26420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_Toc26052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提供具有独立承担民事责任的能力的证明材料</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_Toc26052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_Toc7657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八</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_Toc7657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48</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_Toc31472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资格性审查要求的其他资质证明文件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_Toc31472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48</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_Toc12458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_Toc12458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_Toc20860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承诺函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_Toc20860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_Toc28594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_Toc28594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_Toc32512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中小企业声明函（货物）</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_Toc32512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_Toc3954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_Toc3954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_Toc28282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监狱企业</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_Toc28282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_Toc32254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_Toc32254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_Toc28810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残疾人福利性单位声明函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_Toc28810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_Toc204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_Toc204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54</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_Toc30407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联合体共同响应协议书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_Toc30407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54</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_Toc17729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十四</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_Toc17729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_Toc6784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响应供应商业绩情况表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_Toc6784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56</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_Toc8940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十五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_Toc8940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_Toc21149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《技术和服务要求响应表》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_Toc21149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57</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_Toc1120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_Toc1120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58</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_Toc6530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《商务条件响应表》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_Toc6530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58</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_Toc21512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_Toc21512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_Toc2854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履约进度计划表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_Toc2854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59</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_Toc29801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格式十</w:t>
      </w:r>
      <w:r>
        <w:rPr>
          <w:rFonts w:hint="eastAsia" w:ascii="宋体" w:hAnsi="宋体" w:eastAsia="宋体" w:cs="宋体"/>
          <w:color w:val="auto"/>
          <w:sz w:val="24"/>
          <w:szCs w:val="24"/>
          <w:highlight w:val="none"/>
          <w:lang w:val="en-US" w:eastAsia="zh-CN"/>
        </w:rPr>
        <w:t>八</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_Toc29801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_Toc1209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各类证明材料</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60</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_Toc18352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十九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_Toc18352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61</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_Toc23175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需要采购人提供的附加条件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_Toc23175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61</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_Toc10369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二十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_Toc10369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_Toc7683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bCs/>
          <w:color w:val="auto"/>
          <w:sz w:val="24"/>
          <w:szCs w:val="24"/>
          <w:highlight w:val="none"/>
          <w:lang w:val="en-US" w:eastAsia="zh-CN"/>
        </w:rPr>
        <w:t>技术方案</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_Toc7683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1"/>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_Toc1630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格式二十</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_Toc1630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fldChar w:fldCharType="begin"/>
      </w:r>
      <w:r>
        <w:rPr>
          <w:rFonts w:hint="eastAsia" w:ascii="宋体" w:hAnsi="宋体" w:eastAsia="宋体" w:cs="宋体"/>
          <w:bCs/>
          <w:color w:val="auto"/>
          <w:sz w:val="24"/>
          <w:szCs w:val="24"/>
          <w:highlight w:val="none"/>
          <w:lang w:val="en-US" w:eastAsia="zh-CN"/>
        </w:rPr>
        <w:instrText xml:space="preserve"> HYPERLINK \l _Toc32029 </w:instrText>
      </w:r>
      <w:r>
        <w:rPr>
          <w:rFonts w:hint="eastAsia" w:ascii="宋体" w:hAnsi="宋体" w:eastAsia="宋体" w:cs="宋体"/>
          <w:bCs/>
          <w:color w:val="auto"/>
          <w:sz w:val="24"/>
          <w:szCs w:val="24"/>
          <w:highlight w:val="none"/>
          <w:lang w:val="en-US" w:eastAsia="zh-CN"/>
        </w:rPr>
        <w:fldChar w:fldCharType="separate"/>
      </w:r>
      <w:r>
        <w:rPr>
          <w:rFonts w:hint="eastAsia" w:ascii="宋体" w:hAnsi="宋体" w:eastAsia="宋体" w:cs="宋体"/>
          <w:color w:val="auto"/>
          <w:sz w:val="24"/>
          <w:szCs w:val="24"/>
          <w:highlight w:val="none"/>
        </w:rPr>
        <w:t>询问函、质疑函、投诉书格式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_Toc32029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fldChar w:fldCharType="end"/>
      </w:r>
      <w:r>
        <w:rPr>
          <w:rFonts w:hint="eastAsia" w:ascii="宋体" w:hAnsi="宋体" w:eastAsia="宋体" w:cs="宋体"/>
          <w:bCs/>
          <w:color w:val="auto"/>
          <w:sz w:val="24"/>
          <w:szCs w:val="24"/>
          <w:highlight w:val="none"/>
          <w:lang w:val="en-US" w:eastAsia="zh-CN"/>
        </w:rPr>
        <w:fldChar w:fldCharType="end"/>
      </w:r>
    </w:p>
    <w:p>
      <w:pPr>
        <w:pStyle w:val="16"/>
        <w:keepNext w:val="0"/>
        <w:keepLines w:val="0"/>
        <w:pageBreakBefore w:val="0"/>
        <w:widowControl w:val="0"/>
        <w:kinsoku/>
        <w:wordWrap/>
        <w:overflowPunct/>
        <w:topLinePunct w:val="0"/>
        <w:autoSpaceDE/>
        <w:autoSpaceDN/>
        <w:bidi w:val="0"/>
        <w:adjustRightInd/>
        <w:snapToGrid/>
        <w:spacing w:line="312" w:lineRule="auto"/>
        <w:jc w:val="center"/>
        <w:textAlignment w:val="auto"/>
        <w:rPr>
          <w:color w:val="auto"/>
          <w:highlight w:val="none"/>
        </w:rPr>
      </w:pPr>
      <w:r>
        <w:rPr>
          <w:rFonts w:hint="eastAsia" w:ascii="宋体" w:hAnsi="宋体" w:eastAsia="宋体" w:cs="宋体"/>
          <w:bCs/>
          <w:color w:val="auto"/>
          <w:sz w:val="24"/>
          <w:szCs w:val="24"/>
          <w:highlight w:val="none"/>
          <w:lang w:val="en-US" w:eastAsia="zh-CN"/>
        </w:rPr>
        <w:fldChar w:fldCharType="end"/>
      </w:r>
      <w:bookmarkStart w:id="0" w:name="_Toc14333"/>
      <w:r>
        <w:rPr>
          <w:b/>
          <w:color w:val="auto"/>
          <w:sz w:val="36"/>
          <w:highlight w:val="none"/>
        </w:rPr>
        <w:t>第一章 磋商邀请</w:t>
      </w:r>
      <w:bookmarkEnd w:id="0"/>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国家税务总局惠州仲恺高新技术产业开发区税务局</w:t>
      </w:r>
      <w:r>
        <w:rPr>
          <w:rFonts w:hint="eastAsia" w:ascii="宋体" w:hAnsi="宋体" w:eastAsia="宋体" w:cs="宋体"/>
          <w:color w:val="auto"/>
          <w:sz w:val="24"/>
          <w:szCs w:val="24"/>
          <w:highlight w:val="none"/>
        </w:rPr>
        <w:t>采用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方式组织采购</w:t>
      </w:r>
      <w:r>
        <w:rPr>
          <w:rFonts w:hint="eastAsia" w:ascii="宋体" w:hAnsi="宋体" w:eastAsia="宋体" w:cs="宋体"/>
          <w:color w:val="auto"/>
          <w:sz w:val="24"/>
          <w:szCs w:val="24"/>
          <w:highlight w:val="none"/>
          <w:lang w:eastAsia="zh-CN"/>
        </w:rPr>
        <w:t>国家税务总局惠州仲恺高新技术产业开发区税务局围墙修建项目采购项目</w:t>
      </w:r>
      <w:r>
        <w:rPr>
          <w:rFonts w:hint="eastAsia" w:ascii="宋体" w:hAnsi="宋体" w:eastAsia="宋体" w:cs="宋体"/>
          <w:color w:val="auto"/>
          <w:sz w:val="24"/>
          <w:szCs w:val="24"/>
          <w:highlight w:val="none"/>
        </w:rPr>
        <w:t>。欢迎符合资格条件的供应商参加。</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1" w:name="_Toc3421"/>
      <w:r>
        <w:rPr>
          <w:rFonts w:hint="eastAsia" w:ascii="宋体" w:hAnsi="宋体" w:eastAsia="宋体" w:cs="宋体"/>
          <w:b/>
          <w:color w:val="auto"/>
          <w:sz w:val="24"/>
          <w:szCs w:val="24"/>
          <w:highlight w:val="none"/>
        </w:rPr>
        <w:t>一</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项目概述</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1.名称与编号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lang w:eastAsia="zh-CN"/>
        </w:rPr>
        <w:t>国家税务总局惠州仲恺高新技术产业开发区税务局围墙修建项目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采购项目编号：</w:t>
      </w:r>
      <w:r>
        <w:rPr>
          <w:rFonts w:hint="eastAsia" w:ascii="宋体" w:hAnsi="宋体" w:eastAsia="宋体" w:cs="宋体"/>
          <w:b/>
          <w:color w:val="auto"/>
          <w:sz w:val="24"/>
          <w:highlight w:val="none"/>
          <w:lang w:val="en-US" w:eastAsia="zh-CN"/>
        </w:rPr>
        <w:t>ZKSW202301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采购方式：</w:t>
      </w:r>
      <w:r>
        <w:rPr>
          <w:rFonts w:hint="eastAsia" w:ascii="宋体" w:hAnsi="宋体" w:eastAsia="宋体" w:cs="宋体"/>
          <w:color w:val="auto"/>
          <w:sz w:val="24"/>
          <w:szCs w:val="24"/>
          <w:highlight w:val="none"/>
          <w:lang w:eastAsia="zh-CN"/>
        </w:rPr>
        <w:t>简易磋商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772352.71元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2.项目内容及需求情况（采购项目技术规格、参数及要求）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772352.71元</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0"/>
        <w:gridCol w:w="1220"/>
        <w:gridCol w:w="2991"/>
        <w:gridCol w:w="1326"/>
        <w:gridCol w:w="1475"/>
        <w:gridCol w:w="11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品目号</w:t>
            </w:r>
          </w:p>
        </w:tc>
        <w:tc>
          <w:tcPr>
            <w:tcW w:w="6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品目名称</w:t>
            </w:r>
          </w:p>
        </w:tc>
        <w:tc>
          <w:tcPr>
            <w:tcW w:w="1610"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采购标的</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79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技术规格、参数及要求</w:t>
            </w:r>
          </w:p>
        </w:tc>
        <w:tc>
          <w:tcPr>
            <w:tcW w:w="63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6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房屋附属设施施工</w:t>
            </w:r>
          </w:p>
        </w:tc>
        <w:tc>
          <w:tcPr>
            <w:tcW w:w="1610"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国家税务总局惠州仲恺高新技术产业开发区税务局围墙修建项目</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1.00(项)</w:t>
            </w:r>
          </w:p>
        </w:tc>
        <w:tc>
          <w:tcPr>
            <w:tcW w:w="79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详见第二章</w:t>
            </w:r>
          </w:p>
        </w:tc>
        <w:tc>
          <w:tcPr>
            <w:tcW w:w="634" w:type="pc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本采购包不接受联合体响应</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也</w:t>
      </w:r>
      <w:r>
        <w:rPr>
          <w:rFonts w:hint="eastAsia" w:ascii="宋体" w:hAnsi="宋体" w:eastAsia="宋体" w:cs="宋体"/>
          <w:b w:val="0"/>
          <w:bCs w:val="0"/>
          <w:color w:val="auto"/>
          <w:sz w:val="24"/>
          <w:szCs w:val="24"/>
          <w:highlight w:val="none"/>
          <w:lang w:val="zh-CN"/>
        </w:rPr>
        <w:t>不接受供应商对本招标服务进行非法分包和转包。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合同履行期限：</w:t>
      </w:r>
      <w:r>
        <w:rPr>
          <w:rFonts w:hint="eastAsia" w:ascii="宋体" w:hAnsi="宋体" w:eastAsia="宋体" w:cs="宋体"/>
          <w:color w:val="auto"/>
          <w:sz w:val="24"/>
          <w:szCs w:val="24"/>
          <w:highlight w:val="none"/>
          <w:lang w:val="hr-HR"/>
        </w:rPr>
        <w:t>本工程施工工期为</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lang w:val="hr-HR"/>
        </w:rPr>
        <w:t>日历天，具体开工、竣工日期以合同签订为准。</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2" w:name="_Toc25937"/>
      <w:r>
        <w:rPr>
          <w:rFonts w:hint="eastAsia" w:ascii="宋体" w:hAnsi="宋体" w:eastAsia="宋体" w:cs="宋体"/>
          <w:b/>
          <w:color w:val="auto"/>
          <w:sz w:val="24"/>
          <w:szCs w:val="24"/>
          <w:highlight w:val="none"/>
        </w:rPr>
        <w:t>二</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供应商的资格要求</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1.供应商应具备《中华人民共和国政府采购法》第二十二条规定的条件，提供下列材料：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有依法缴纳税收和社会保障资金的良好记录：提供投标截止日前6个月内任意1个月依法缴纳税收和社会保障资金的相关材料。如依法免税或不需要缴纳社会保障资金的，提供相应证明材料。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履行合同所必需的设备和专业技术能力：按投标（响应）文件格式填报设备及专业技术能力情况。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参照投标（报价）函相关承诺格式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落实采购政策需满足的资格要求：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本项目专门面向中小企业采购。供应商须符合本项目采购标的对应行业（建筑业）政策划分标准的中小企业。</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.本项目特定的资格要求：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（3）供应商具有</w:t>
      </w:r>
      <w:r>
        <w:rPr>
          <w:rFonts w:hint="eastAsia" w:ascii="宋体" w:hAnsi="宋体" w:eastAsia="宋体" w:cs="宋体"/>
          <w:b/>
          <w:bCs/>
          <w:color w:val="auto"/>
          <w:sz w:val="24"/>
          <w:szCs w:val="24"/>
          <w:highlight w:val="none"/>
        </w:rPr>
        <w:t>建筑工程施工总承包三级或以上资质</w:t>
      </w:r>
      <w:r>
        <w:rPr>
          <w:rFonts w:hint="eastAsia" w:ascii="宋体" w:hAnsi="宋体" w:eastAsia="宋体" w:cs="宋体"/>
          <w:b/>
          <w:bCs/>
          <w:color w:val="auto"/>
          <w:sz w:val="24"/>
          <w:szCs w:val="24"/>
          <w:highlight w:val="none"/>
          <w:lang w:val="en-US" w:eastAsia="zh-CN"/>
        </w:rPr>
        <w:t>，且具有建设行政主管部门颁发的有效期内的安全生产许可证</w:t>
      </w:r>
      <w:r>
        <w:rPr>
          <w:rFonts w:hint="eastAsia" w:ascii="宋体" w:hAnsi="宋体" w:eastAsia="宋体" w:cs="宋体"/>
          <w:b/>
          <w:bCs/>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项目负责人1人，具有建筑工程专业二级（含二级）以上注册建造师（省外须建筑工程专业一级注册建造师），具有注册建造师证书和建设行政主管部门颁发的安全生产考核合格证（B类）</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3" w:name="_Toc1513"/>
      <w:r>
        <w:rPr>
          <w:rFonts w:hint="eastAsia" w:ascii="宋体" w:hAnsi="宋体" w:eastAsia="宋体" w:cs="宋体"/>
          <w:b/>
          <w:color w:val="auto"/>
          <w:sz w:val="24"/>
          <w:szCs w:val="24"/>
          <w:highlight w:val="none"/>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获取磋商文件</w:t>
      </w:r>
      <w:bookmarkEnd w:id="3"/>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惠州市仲恺高新区和畅七路西</w:t>
      </w:r>
      <w:r>
        <w:rPr>
          <w:rFonts w:hint="eastAsia" w:ascii="宋体" w:hAnsi="宋体" w:eastAsia="宋体" w:cs="宋体"/>
          <w:color w:val="auto"/>
          <w:sz w:val="24"/>
          <w:szCs w:val="24"/>
          <w:highlight w:val="none"/>
          <w:lang w:val="en-US" w:eastAsia="zh-CN"/>
        </w:rPr>
        <w:t>40号骏涛华府6号楼</w:t>
      </w:r>
      <w:r>
        <w:rPr>
          <w:rFonts w:hint="eastAsia"/>
          <w:b w:val="0"/>
          <w:bCs/>
          <w:color w:val="auto"/>
          <w:sz w:val="24"/>
          <w:highlight w:val="none"/>
        </w:rPr>
        <w:t>国家税务总局惠州仲恺高新技术产业开发区税务局</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获取方式：</w:t>
      </w:r>
      <w:r>
        <w:rPr>
          <w:rFonts w:hint="eastAsia" w:ascii="宋体" w:hAnsi="宋体" w:eastAsia="宋体" w:cs="宋体"/>
          <w:color w:val="auto"/>
          <w:sz w:val="24"/>
          <w:szCs w:val="24"/>
          <w:highlight w:val="none"/>
          <w:lang w:eastAsia="zh-CN"/>
        </w:rPr>
        <w:t>在线</w:t>
      </w:r>
      <w:r>
        <w:rPr>
          <w:rFonts w:hint="eastAsia" w:ascii="宋体" w:hAnsi="宋体" w:eastAsia="宋体" w:cs="宋体"/>
          <w:color w:val="auto"/>
          <w:sz w:val="24"/>
          <w:szCs w:val="24"/>
          <w:highlight w:val="none"/>
        </w:rPr>
        <w:t>获取。</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报名</w:t>
      </w:r>
      <w:r>
        <w:rPr>
          <w:rFonts w:hint="eastAsia" w:ascii="宋体" w:hAnsi="宋体" w:eastAsia="宋体" w:cs="宋体"/>
          <w:color w:val="auto"/>
          <w:sz w:val="24"/>
          <w:szCs w:val="24"/>
          <w:highlight w:val="none"/>
        </w:rPr>
        <w:t>时需提供以下资料复印件，统一使用A4纸印制加封面装订成册，每页（包括封面）均需加盖响应供应商公章，并加盖骑缝章。封面须注明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项目名称及供应商名称，一式二份：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法定代表人或负责人证明书及授权委托书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格式自拟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法定代表人或负责人身份证及被授权人身份证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格式自拟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有效的营业执照副本或事业单位法人证书、税务登记证副本、组织机构代码证副本（三证合一的企业只需提供营业执照副本）；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（4）提供资质证书复印件；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（5）提供安全生产许可证复印件；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5"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（6）项目负责人建造师注册证及安全生产考核合格证（B类）。</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售价：免费</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4" w:name="_Toc22713"/>
      <w:r>
        <w:rPr>
          <w:rFonts w:hint="eastAsia" w:ascii="宋体" w:hAnsi="宋体" w:eastAsia="宋体" w:cs="宋体"/>
          <w:b/>
          <w:color w:val="auto"/>
          <w:sz w:val="24"/>
          <w:szCs w:val="24"/>
          <w:highlight w:val="none"/>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提交响应文件截止时间、开启时间和地点：</w:t>
      </w:r>
      <w:bookmarkEnd w:id="4"/>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提交响应文件截止时间和开启时间：</w:t>
      </w:r>
      <w:r>
        <w:rPr>
          <w:rFonts w:hint="eastAsia" w:ascii="宋体" w:hAnsi="宋体" w:eastAsia="宋体" w:cs="宋体"/>
          <w:color w:val="auto"/>
          <w:sz w:val="24"/>
          <w:highlight w:val="none"/>
        </w:rPr>
        <w:t>2023年06月13日 9点00分（北京时间）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惠州市仲恺高新区和畅七路西</w:t>
      </w:r>
      <w:r>
        <w:rPr>
          <w:rFonts w:hint="eastAsia" w:ascii="宋体" w:hAnsi="宋体" w:eastAsia="宋体" w:cs="宋体"/>
          <w:color w:val="auto"/>
          <w:sz w:val="24"/>
          <w:szCs w:val="24"/>
          <w:highlight w:val="none"/>
          <w:lang w:val="en-US" w:eastAsia="zh-CN"/>
        </w:rPr>
        <w:t>40号骏涛华府6号楼</w:t>
      </w:r>
      <w:r>
        <w:rPr>
          <w:rFonts w:hint="eastAsia"/>
          <w:b w:val="0"/>
          <w:bCs/>
          <w:color w:val="auto"/>
          <w:sz w:val="24"/>
          <w:highlight w:val="none"/>
        </w:rPr>
        <w:t>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5" w:name="_Toc30897"/>
      <w:r>
        <w:rPr>
          <w:rFonts w:hint="eastAsia" w:ascii="宋体" w:hAnsi="宋体" w:eastAsia="宋体" w:cs="宋体"/>
          <w:b/>
          <w:color w:val="auto"/>
          <w:sz w:val="24"/>
          <w:szCs w:val="24"/>
          <w:highlight w:val="none"/>
        </w:rPr>
        <w:t>五</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公告期限、发布公告的媒介：</w:t>
      </w:r>
      <w:bookmarkEnd w:id="5"/>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公告期限：自本公告发布之日起不得少于3个工作日。</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2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发布公告的媒介：</w:t>
      </w:r>
      <w:r>
        <w:rPr>
          <w:rFonts w:hint="eastAsia" w:ascii="宋体" w:hAnsi="宋体" w:eastAsia="宋体" w:cs="宋体"/>
          <w:color w:val="auto"/>
          <w:sz w:val="24"/>
          <w:szCs w:val="24"/>
          <w:highlight w:val="none"/>
          <w:lang w:eastAsia="zh-CN"/>
        </w:rPr>
        <w:t>国家税务总局惠州仲恺高新技术产业开发区税务局官方网站</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color w:val="auto"/>
          <w:sz w:val="24"/>
          <w:szCs w:val="24"/>
          <w:highlight w:val="none"/>
        </w:rPr>
      </w:pPr>
      <w:bookmarkStart w:id="6" w:name="_Toc27905"/>
      <w:r>
        <w:rPr>
          <w:rFonts w:hint="eastAsia" w:ascii="宋体" w:hAnsi="宋体" w:eastAsia="宋体" w:cs="宋体"/>
          <w:b/>
          <w:color w:val="auto"/>
          <w:sz w:val="24"/>
          <w:szCs w:val="24"/>
          <w:highlight w:val="none"/>
        </w:rPr>
        <w:t>六</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本项目联系方式：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国家税务总局惠州仲恺高新技术产业开发区税务局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惠州市仲恺高新区和畅七路西</w:t>
      </w:r>
      <w:r>
        <w:rPr>
          <w:rFonts w:hint="eastAsia" w:ascii="宋体" w:hAnsi="宋体" w:eastAsia="宋体" w:cs="宋体"/>
          <w:color w:val="auto"/>
          <w:sz w:val="24"/>
          <w:szCs w:val="24"/>
          <w:highlight w:val="none"/>
          <w:lang w:val="en-US" w:eastAsia="zh-CN"/>
        </w:rPr>
        <w:t>40号骏涛华府6号楼</w:t>
      </w:r>
      <w:r>
        <w:rPr>
          <w:rFonts w:hint="eastAsia"/>
          <w:b w:val="0"/>
          <w:bCs/>
          <w:color w:val="auto"/>
          <w:sz w:val="24"/>
          <w:highlight w:val="none"/>
        </w:rPr>
        <w:t>国家税务总局惠州仲恺高新技术产业开发区税务局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val="en-US" w:eastAsia="zh-CN"/>
        </w:rPr>
        <w:t>陈小姐，</w:t>
      </w:r>
      <w:r>
        <w:rPr>
          <w:rFonts w:hint="eastAsia" w:ascii="宋体" w:hAnsi="宋体" w:eastAsia="宋体" w:cs="宋体"/>
          <w:color w:val="auto"/>
          <w:sz w:val="24"/>
          <w:szCs w:val="24"/>
          <w:highlight w:val="none"/>
        </w:rPr>
        <w:t>0752-</w:t>
      </w:r>
      <w:r>
        <w:rPr>
          <w:rFonts w:hint="eastAsia" w:ascii="宋体" w:hAnsi="宋体" w:eastAsia="宋体" w:cs="宋体"/>
          <w:color w:val="auto"/>
          <w:sz w:val="24"/>
          <w:szCs w:val="24"/>
          <w:highlight w:val="none"/>
          <w:lang w:val="en-US" w:eastAsia="zh-CN"/>
        </w:rPr>
        <w:t>3702048</w:t>
      </w:r>
    </w:p>
    <w:p>
      <w:pPr>
        <w:keepNext w:val="0"/>
        <w:keepLines w:val="0"/>
        <w:pageBreakBefore/>
        <w:widowControl w:val="0"/>
        <w:kinsoku/>
        <w:wordWrap/>
        <w:overflowPunct/>
        <w:topLinePunct w:val="0"/>
        <w:autoSpaceDE/>
        <w:autoSpaceDN/>
        <w:bidi w:val="0"/>
        <w:adjustRightInd/>
        <w:snapToGrid/>
        <w:jc w:val="center"/>
        <w:textAlignment w:val="auto"/>
        <w:outlineLvl w:val="0"/>
        <w:rPr>
          <w:color w:val="auto"/>
          <w:highlight w:val="none"/>
        </w:rPr>
      </w:pPr>
      <w:bookmarkStart w:id="7" w:name="_Toc31518"/>
      <w:r>
        <w:rPr>
          <w:b/>
          <w:color w:val="auto"/>
          <w:sz w:val="36"/>
          <w:highlight w:val="none"/>
        </w:rPr>
        <w:t>第二章 采购需求</w:t>
      </w:r>
      <w:bookmarkEnd w:id="7"/>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8" w:name="_Toc6286"/>
      <w:r>
        <w:rPr>
          <w:rFonts w:hint="eastAsia" w:ascii="宋体" w:hAnsi="宋体" w:eastAsia="宋体" w:cs="宋体"/>
          <w:b/>
          <w:color w:val="auto"/>
          <w:sz w:val="24"/>
          <w:szCs w:val="24"/>
          <w:highlight w:val="none"/>
        </w:rPr>
        <w:t>一、项目概况</w:t>
      </w:r>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本次项目为</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lang w:val="en-US" w:eastAsia="zh-CN"/>
        </w:rPr>
        <w:t>，本工程为环桥北路税务所办公用地和潼湖税务所办公用地修建围墙，围墙总长约550米，预算金额：772352.71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包1（</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hint="eastAsia" w:ascii="宋体" w:hAnsi="宋体" w:eastAsia="宋体" w:cs="宋体"/>
          <w:color w:val="auto"/>
          <w:sz w:val="24"/>
          <w:szCs w:val="24"/>
          <w:highlight w:val="none"/>
        </w:rPr>
      </w:pPr>
      <w:bookmarkStart w:id="9" w:name="_Toc3608"/>
      <w:r>
        <w:rPr>
          <w:rFonts w:hint="eastAsia" w:ascii="宋体" w:hAnsi="宋体" w:eastAsia="宋体" w:cs="宋体"/>
          <w:b/>
          <w:color w:val="auto"/>
          <w:sz w:val="24"/>
          <w:szCs w:val="24"/>
          <w:highlight w:val="none"/>
        </w:rPr>
        <w:t>1.主要商务要求</w:t>
      </w:r>
      <w:bookmarkEnd w:id="9"/>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23"/>
        <w:gridCol w:w="74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标的提供的时间</w:t>
            </w:r>
          </w:p>
        </w:tc>
        <w:tc>
          <w:tcPr>
            <w:tcW w:w="4018"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hr-HR"/>
              </w:rPr>
              <w:t>本工程施工工期为</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lang w:val="hr-HR"/>
              </w:rPr>
              <w:t>日历天，具体开工、竣工日期以合同签订为准。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标的提供的地点</w:t>
            </w:r>
          </w:p>
        </w:tc>
        <w:tc>
          <w:tcPr>
            <w:tcW w:w="4018"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4018"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合同签订后采购人付合同价的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0%；</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工程竣工验收合格后十五天内采购人再支付至结算价的97%；</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剩余3%工程款作为质保金在验收合格后第13个月支付；</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采购人不承担因财政资金不能及时到位给成交</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造成的损失。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验收要求</w:t>
            </w:r>
          </w:p>
        </w:tc>
        <w:tc>
          <w:tcPr>
            <w:tcW w:w="4018"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（1）成交供应商</w:t>
            </w:r>
            <w:r>
              <w:rPr>
                <w:rFonts w:hint="eastAsia" w:ascii="宋体" w:hAnsi="宋体" w:eastAsia="宋体" w:cs="宋体"/>
                <w:color w:val="auto"/>
                <w:sz w:val="24"/>
                <w:szCs w:val="24"/>
                <w:highlight w:val="none"/>
              </w:rPr>
              <w:t>负责组织相关单位对工程进行竣工验收，并保证一次性验收合格。</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（2）成交供应商</w:t>
            </w:r>
            <w:r>
              <w:rPr>
                <w:rFonts w:hint="eastAsia" w:ascii="宋体" w:hAnsi="宋体" w:eastAsia="宋体" w:cs="宋体"/>
                <w:color w:val="auto"/>
                <w:sz w:val="24"/>
                <w:szCs w:val="24"/>
                <w:highlight w:val="none"/>
              </w:rPr>
              <w:t>竣工验收前向</w:t>
            </w:r>
            <w:r>
              <w:rPr>
                <w:rFonts w:hint="eastAsia" w:ascii="宋体" w:hAnsi="宋体" w:eastAsia="宋体" w:cs="宋体"/>
                <w:color w:val="auto"/>
                <w:sz w:val="24"/>
                <w:szCs w:val="24"/>
                <w:highlight w:val="none"/>
                <w:lang w:val="en-US" w:eastAsia="zh-CN"/>
              </w:rPr>
              <w:t>业主</w:t>
            </w:r>
            <w:r>
              <w:rPr>
                <w:rFonts w:hint="eastAsia" w:ascii="宋体" w:hAnsi="宋体" w:eastAsia="宋体" w:cs="宋体"/>
                <w:color w:val="auto"/>
                <w:sz w:val="24"/>
                <w:szCs w:val="24"/>
                <w:highlight w:val="none"/>
              </w:rPr>
              <w:t>提供合格和完整的竣工图及竣工资料一式两份。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4018" w:type="pct"/>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结算方式：</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本工程按总价包干方式进行结算。</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本工程经采购人委托的造价咨询单位审定的预算价作为本工程的最高限价值，其具体数额为：</w:t>
            </w:r>
            <w:r>
              <w:rPr>
                <w:rFonts w:hint="eastAsia" w:ascii="宋体" w:hAnsi="宋体" w:eastAsia="宋体" w:cs="宋体"/>
                <w:color w:val="auto"/>
                <w:sz w:val="24"/>
                <w:szCs w:val="24"/>
                <w:highlight w:val="none"/>
                <w:lang w:eastAsia="zh-CN"/>
              </w:rPr>
              <w:t>人民币</w:t>
            </w:r>
            <w:r>
              <w:rPr>
                <w:rFonts w:hint="eastAsia" w:ascii="宋体" w:hAnsi="宋体" w:eastAsia="宋体" w:cs="宋体"/>
                <w:color w:val="auto"/>
                <w:sz w:val="24"/>
                <w:szCs w:val="24"/>
                <w:highlight w:val="none"/>
                <w:lang w:val="en-US" w:eastAsia="zh-CN"/>
              </w:rPr>
              <w:t>772352.71元</w:t>
            </w:r>
            <w:r>
              <w:rPr>
                <w:rFonts w:hint="eastAsia" w:ascii="宋体" w:hAnsi="宋体" w:eastAsia="宋体" w:cs="宋体"/>
                <w:color w:val="auto"/>
                <w:sz w:val="24"/>
                <w:szCs w:val="24"/>
                <w:highlight w:val="none"/>
              </w:rPr>
              <w:t>。其中：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单位：元</w:t>
            </w:r>
            <w:r>
              <w:rPr>
                <w:rFonts w:hint="eastAsia" w:ascii="宋体" w:hAnsi="宋体" w:eastAsia="宋体" w:cs="宋体"/>
                <w:color w:val="auto"/>
                <w:sz w:val="24"/>
                <w:szCs w:val="24"/>
                <w:highlight w:val="none"/>
                <w:lang w:eastAsia="zh-CN"/>
              </w:rPr>
              <w:t>）</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461"/>
              <w:gridCol w:w="1296"/>
              <w:gridCol w:w="1297"/>
              <w:gridCol w:w="88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700"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分项项目</w:t>
                  </w:r>
                  <w:r>
                    <w:rPr>
                      <w:rFonts w:hint="eastAsia" w:ascii="宋体" w:hAnsi="宋体" w:eastAsia="宋体" w:cs="宋体"/>
                      <w:b/>
                      <w:color w:val="auto"/>
                      <w:sz w:val="24"/>
                      <w:szCs w:val="24"/>
                      <w:highlight w:val="none"/>
                    </w:rPr>
                    <w:t>名称</w:t>
                  </w:r>
                </w:p>
              </w:tc>
              <w:tc>
                <w:tcPr>
                  <w:tcW w:w="895"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工程造价</w:t>
                  </w:r>
                </w:p>
              </w:tc>
              <w:tc>
                <w:tcPr>
                  <w:tcW w:w="896"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绿色施工安全防护措施费</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暂列金额</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center"/>
                    <w:textAlignment w:val="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1700"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both"/>
                    <w:textAlignment w:val="auto"/>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环桥北路税务所办公用地围墙建设项目</w:t>
                  </w:r>
                </w:p>
              </w:tc>
              <w:tc>
                <w:tcPr>
                  <w:tcW w:w="895"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righ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642423.73</w:t>
                  </w:r>
                </w:p>
              </w:tc>
              <w:tc>
                <w:tcPr>
                  <w:tcW w:w="896"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33860.66</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center"/>
                    <w:textAlignment w:val="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700"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both"/>
                    <w:textAlignment w:val="auto"/>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潼湖税务所办公用地围墙建设项目</w:t>
                  </w:r>
                </w:p>
              </w:tc>
              <w:tc>
                <w:tcPr>
                  <w:tcW w:w="895"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righ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129928.98</w:t>
                  </w:r>
                </w:p>
              </w:tc>
              <w:tc>
                <w:tcPr>
                  <w:tcW w:w="896"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6595.15</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1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p>
              </w:tc>
              <w:tc>
                <w:tcPr>
                  <w:tcW w:w="895"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righ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772352.71</w:t>
                  </w:r>
                </w:p>
              </w:tc>
              <w:tc>
                <w:tcPr>
                  <w:tcW w:w="896" w:type="pct"/>
                  <w:noWrap w:val="0"/>
                  <w:vAlign w:val="center"/>
                </w:tcPr>
                <w:p>
                  <w:pPr>
                    <w:keepNext w:val="0"/>
                    <w:keepLines w:val="0"/>
                    <w:pageBreakBefore w:val="0"/>
                    <w:widowControl/>
                    <w:suppressLineNumbers w:val="0"/>
                    <w:kinsoku/>
                    <w:wordWrap/>
                    <w:overflowPunct/>
                    <w:topLinePunct w:val="0"/>
                    <w:autoSpaceDE/>
                    <w:autoSpaceDN/>
                    <w:bidi w:val="0"/>
                    <w:adjustRightInd/>
                    <w:spacing w:line="312" w:lineRule="auto"/>
                    <w:jc w:val="righ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40455.81</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c>
                <w:tcPr>
                  <w:tcW w:w="583" w:type="pct"/>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0.00</w:t>
                  </w:r>
                </w:p>
              </w:tc>
            </w:tr>
          </w:tbl>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当</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出现严重不平衡报价时，采购人保留调整单价的权利。本工程</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价为成交供应商所报投标价，</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价经确认无严重不平衡报价后作为合同价，作为工程付款的依据。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1" w:type="pct"/>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c>
          <w:tcPr>
            <w:tcW w:w="4018" w:type="pct"/>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打“★”号条款为实质性条款，若有任何一条负偏离或不满足则导致投标（响应）无效。</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打“▲”号条款为重要参数（如有），若有部分“▲”条款未响应或不满足，将根据评审要求影响其得分，但不作为无效投标（响应）条款。</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hint="eastAsia" w:ascii="宋体" w:hAnsi="宋体" w:eastAsia="宋体" w:cs="宋体"/>
          <w:color w:val="auto"/>
          <w:sz w:val="24"/>
          <w:szCs w:val="24"/>
          <w:highlight w:val="none"/>
        </w:rPr>
      </w:pPr>
      <w:bookmarkStart w:id="10" w:name="_Toc5212"/>
      <w:r>
        <w:rPr>
          <w:rFonts w:hint="eastAsia" w:ascii="宋体" w:hAnsi="宋体" w:eastAsia="宋体" w:cs="宋体"/>
          <w:b/>
          <w:color w:val="auto"/>
          <w:sz w:val="24"/>
          <w:szCs w:val="24"/>
          <w:highlight w:val="none"/>
        </w:rPr>
        <w:t>2.技术标准与要求</w:t>
      </w:r>
      <w:bookmarkEnd w:id="10"/>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31"/>
        <w:gridCol w:w="832"/>
        <w:gridCol w:w="2156"/>
        <w:gridCol w:w="736"/>
        <w:gridCol w:w="738"/>
        <w:gridCol w:w="1321"/>
        <w:gridCol w:w="1337"/>
        <w:gridCol w:w="734"/>
        <w:gridCol w:w="8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6"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48"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品目名称</w:t>
            </w:r>
          </w:p>
        </w:tc>
        <w:tc>
          <w:tcPr>
            <w:tcW w:w="1161"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标的名称</w:t>
            </w:r>
          </w:p>
        </w:tc>
        <w:tc>
          <w:tcPr>
            <w:tcW w:w="396"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397"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11"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分项预算单价（元）</w:t>
            </w:r>
          </w:p>
        </w:tc>
        <w:tc>
          <w:tcPr>
            <w:tcW w:w="720"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分项预算总价（元）</w:t>
            </w:r>
          </w:p>
        </w:tc>
        <w:tc>
          <w:tcPr>
            <w:tcW w:w="395"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所属行业</w:t>
            </w:r>
          </w:p>
        </w:tc>
        <w:tc>
          <w:tcPr>
            <w:tcW w:w="482"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6"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48"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房屋附属设施施工</w:t>
            </w:r>
          </w:p>
        </w:tc>
        <w:tc>
          <w:tcPr>
            <w:tcW w:w="116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国家税务总局惠州仲恺高新技术产业开发区税务局围墙修建项目</w:t>
            </w:r>
          </w:p>
        </w:tc>
        <w:tc>
          <w:tcPr>
            <w:tcW w:w="396"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397"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c>
          <w:tcPr>
            <w:tcW w:w="711"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772352.71</w:t>
            </w:r>
          </w:p>
        </w:tc>
        <w:tc>
          <w:tcPr>
            <w:tcW w:w="720"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772352.71</w:t>
            </w:r>
          </w:p>
        </w:tc>
        <w:tc>
          <w:tcPr>
            <w:tcW w:w="395"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建筑行业</w:t>
            </w:r>
          </w:p>
        </w:tc>
        <w:tc>
          <w:tcPr>
            <w:tcW w:w="482"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详见附表一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附表一：</w:t>
      </w:r>
      <w:r>
        <w:rPr>
          <w:rFonts w:hint="eastAsia" w:ascii="宋体" w:hAnsi="宋体" w:eastAsia="宋体" w:cs="宋体"/>
          <w:b/>
          <w:color w:val="auto"/>
          <w:sz w:val="24"/>
          <w:szCs w:val="24"/>
          <w:highlight w:val="none"/>
          <w:lang w:eastAsia="zh-CN"/>
        </w:rPr>
        <w:t>国家税务总局惠州仲恺高新技术产业开发区税务局围墙修建项目</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1"/>
        <w:gridCol w:w="719"/>
        <w:gridCol w:w="78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参数性质</w:t>
            </w:r>
          </w:p>
        </w:tc>
        <w:tc>
          <w:tcPr>
            <w:tcW w:w="387"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233"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387"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4233" w:type="pct"/>
            <w:vAlign w:val="center"/>
          </w:tcPr>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12" w:lineRule="auto"/>
              <w:ind w:left="0" w:leftChars="0" w:firstLine="420" w:firstLineChars="0"/>
              <w:textAlignment w:val="auto"/>
              <w:rPr>
                <w:rFonts w:hint="eastAsia" w:ascii="宋体" w:hAnsi="宋体" w:eastAsia="宋体" w:cs="宋体"/>
                <w:b/>
                <w:bCs/>
                <w:color w:val="auto"/>
                <w:sz w:val="24"/>
                <w:szCs w:val="24"/>
                <w:highlight w:val="none"/>
                <w:lang w:val="hr-HR"/>
              </w:rPr>
            </w:pPr>
            <w:r>
              <w:rPr>
                <w:rFonts w:hint="eastAsia" w:ascii="宋体" w:hAnsi="宋体" w:eastAsia="宋体" w:cs="宋体"/>
                <w:b/>
                <w:bCs/>
                <w:color w:val="auto"/>
                <w:sz w:val="24"/>
                <w:szCs w:val="24"/>
                <w:highlight w:val="none"/>
                <w:lang w:val="hr-HR"/>
              </w:rPr>
              <w:t>工程招标范围、内容和承包方式：</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lang w:val="hr-HR"/>
              </w:rPr>
            </w:pPr>
            <w:r>
              <w:rPr>
                <w:rFonts w:hint="eastAsia" w:ascii="宋体" w:hAnsi="宋体" w:eastAsia="宋体" w:cs="宋体"/>
                <w:color w:val="auto"/>
                <w:sz w:val="24"/>
                <w:szCs w:val="24"/>
                <w:highlight w:val="none"/>
                <w:lang w:val="hr-HR"/>
              </w:rPr>
              <w:t>1.工程招标范围及内容：</w:t>
            </w:r>
            <w:r>
              <w:rPr>
                <w:rFonts w:hint="eastAsia" w:ascii="宋体" w:hAnsi="宋体" w:eastAsia="宋体" w:cs="宋体"/>
                <w:b w:val="0"/>
                <w:bCs w:val="0"/>
                <w:color w:val="auto"/>
                <w:sz w:val="24"/>
                <w:szCs w:val="24"/>
                <w:highlight w:val="none"/>
              </w:rPr>
              <w:t>按</w:t>
            </w:r>
            <w:r>
              <w:rPr>
                <w:rFonts w:hint="eastAsia" w:ascii="宋体" w:hAnsi="宋体" w:eastAsia="宋体" w:cs="宋体"/>
                <w:b w:val="0"/>
                <w:bCs w:val="0"/>
                <w:color w:val="auto"/>
                <w:sz w:val="24"/>
                <w:szCs w:val="24"/>
                <w:highlight w:val="none"/>
                <w:lang w:eastAsia="zh-CN"/>
              </w:rPr>
              <w:t>采购</w:t>
            </w:r>
            <w:r>
              <w:rPr>
                <w:rFonts w:hint="eastAsia" w:ascii="宋体" w:hAnsi="宋体" w:eastAsia="宋体" w:cs="宋体"/>
                <w:b w:val="0"/>
                <w:bCs w:val="0"/>
                <w:color w:val="auto"/>
                <w:sz w:val="24"/>
                <w:szCs w:val="24"/>
                <w:highlight w:val="none"/>
              </w:rPr>
              <w:t>人提供的施工图纸和有关资料及说明进行施工及保修，具体以施工图纸、工程量清单及</w:t>
            </w:r>
            <w:r>
              <w:rPr>
                <w:rFonts w:hint="eastAsia" w:ascii="宋体" w:hAnsi="宋体" w:eastAsia="宋体" w:cs="宋体"/>
                <w:b w:val="0"/>
                <w:bCs w:val="0"/>
                <w:color w:val="auto"/>
                <w:sz w:val="24"/>
                <w:szCs w:val="24"/>
                <w:highlight w:val="none"/>
                <w:lang w:eastAsia="zh-CN"/>
              </w:rPr>
              <w:t>采购</w:t>
            </w:r>
            <w:r>
              <w:rPr>
                <w:rFonts w:hint="eastAsia" w:ascii="宋体" w:hAnsi="宋体" w:eastAsia="宋体" w:cs="宋体"/>
                <w:b w:val="0"/>
                <w:bCs w:val="0"/>
                <w:color w:val="auto"/>
                <w:sz w:val="24"/>
                <w:szCs w:val="24"/>
                <w:highlight w:val="none"/>
              </w:rPr>
              <w:t>人的书面通知为准，当施工图纸与工程量清单不一致时，以</w:t>
            </w:r>
            <w:r>
              <w:rPr>
                <w:rFonts w:hint="eastAsia" w:ascii="宋体" w:hAnsi="宋体" w:eastAsia="宋体" w:cs="宋体"/>
                <w:b w:val="0"/>
                <w:bCs w:val="0"/>
                <w:color w:val="auto"/>
                <w:sz w:val="24"/>
                <w:szCs w:val="24"/>
                <w:highlight w:val="none"/>
                <w:lang w:eastAsia="zh-CN"/>
              </w:rPr>
              <w:t>采购</w:t>
            </w:r>
            <w:r>
              <w:rPr>
                <w:rFonts w:hint="eastAsia" w:ascii="宋体" w:hAnsi="宋体" w:eastAsia="宋体" w:cs="宋体"/>
                <w:b w:val="0"/>
                <w:bCs w:val="0"/>
                <w:color w:val="auto"/>
                <w:sz w:val="24"/>
                <w:szCs w:val="24"/>
                <w:highlight w:val="none"/>
              </w:rPr>
              <w:t>人书面通知为准。</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hr-HR"/>
              </w:rPr>
              <w:t>2.工程承包方式：采用施工总承包的方式，包工、包料、包质量、包工期、包安全、包税费；本工程严禁转包，不得违法分包。对于承包单位不具有施工资质的专业工程或国家、广东省的法律法规允许分包的部分工程，承包单位在分包前，必须得到采购人同意，才能分包给具有相应施工资质的企业。成交供应商以采购人委托的造价咨询单位审定的工程量清单进行报价并按图纸范围内的工程量总价包干，图纸范围内的措施项目费按其所报措施项目费总价包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387"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4233" w:type="pct"/>
            <w:vAlign w:val="center"/>
          </w:tcPr>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12" w:lineRule="auto"/>
              <w:ind w:left="0" w:leftChars="0" w:firstLine="420" w:firstLineChars="0"/>
              <w:textAlignment w:val="auto"/>
              <w:rPr>
                <w:rFonts w:hint="eastAsia" w:ascii="宋体" w:hAnsi="宋体" w:eastAsia="宋体" w:cs="宋体"/>
                <w:b/>
                <w:bCs/>
                <w:color w:val="auto"/>
                <w:sz w:val="24"/>
                <w:szCs w:val="24"/>
                <w:highlight w:val="none"/>
                <w:lang w:val="hr-HR"/>
              </w:rPr>
            </w:pPr>
            <w:r>
              <w:rPr>
                <w:rFonts w:hint="eastAsia" w:ascii="宋体" w:hAnsi="宋体" w:eastAsia="宋体" w:cs="宋体"/>
                <w:b/>
                <w:bCs/>
                <w:color w:val="auto"/>
                <w:sz w:val="24"/>
                <w:szCs w:val="24"/>
                <w:highlight w:val="none"/>
                <w:lang w:val="hr-HR"/>
              </w:rPr>
              <w:t>工期要求和规定：</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lang w:val="hr-HR"/>
              </w:rPr>
            </w:pPr>
            <w:r>
              <w:rPr>
                <w:rFonts w:hint="eastAsia" w:ascii="宋体" w:hAnsi="宋体" w:eastAsia="宋体" w:cs="宋体"/>
                <w:color w:val="auto"/>
                <w:sz w:val="24"/>
                <w:szCs w:val="24"/>
                <w:highlight w:val="none"/>
                <w:lang w:val="hr-HR"/>
              </w:rPr>
              <w:t>1.本工程施工工期为</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lang w:val="hr-HR"/>
              </w:rPr>
              <w:t>日历天，具体开工、竣工日期以合同签订为准。</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lang w:val="hr-HR"/>
              </w:rPr>
            </w:pPr>
            <w:r>
              <w:rPr>
                <w:rFonts w:hint="eastAsia" w:ascii="宋体" w:hAnsi="宋体" w:eastAsia="宋体" w:cs="宋体"/>
                <w:color w:val="auto"/>
                <w:sz w:val="24"/>
                <w:szCs w:val="24"/>
                <w:highlight w:val="none"/>
                <w:lang w:val="hr-HR"/>
              </w:rPr>
              <w:t>2.采购人欢迎各响应供应商根据企业自身实际能力，在施工组织和施工方法合理、可行的前提下，对本工程的工期进行优化，缩短工期。其中雨天、节假日及因施工单位的施工质量不合格或施工工序颠倒造成的返工所耽误的工期，不能顺延。遇不可抗力因素影响，工期可以顺延；要求本工程全部按期完成，按期完成不予奖励。</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hr-HR"/>
              </w:rPr>
              <w:t>3.若因采购人的原因造成工期延误的，工期可相应顺延；若因成交供应商的原因造成工期延误的，从延期的第三天起，按</w:t>
            </w:r>
            <w:r>
              <w:rPr>
                <w:rFonts w:hint="eastAsia" w:ascii="宋体" w:hAnsi="宋体" w:eastAsia="宋体" w:cs="宋体"/>
                <w:color w:val="auto"/>
                <w:sz w:val="24"/>
                <w:szCs w:val="24"/>
                <w:highlight w:val="none"/>
                <w:lang w:val="hr-HR" w:eastAsia="zh-CN"/>
              </w:rPr>
              <w:t>成交</w:t>
            </w:r>
            <w:r>
              <w:rPr>
                <w:rFonts w:hint="eastAsia" w:ascii="宋体" w:hAnsi="宋体" w:eastAsia="宋体" w:cs="宋体"/>
                <w:color w:val="auto"/>
                <w:sz w:val="24"/>
                <w:szCs w:val="24"/>
                <w:highlight w:val="none"/>
                <w:lang w:val="hr-HR"/>
              </w:rPr>
              <w:t>价每天罚款1000.00元人民币。在施工期间，由于成交供应商原因造成工期延误，当工程实际施工进度比计划施工进度慢时，采购人对成交供应商提出书面警告，并要求成交供应商在规定的时间内将工期赶回，赶工产生的费用由成交供应商自行承担。若成交供应商在此期间不能将工期赶回，并被采购人认定不能按要求工期完工，则采购人有权单方终止施工承包合同。原成交供应商工期延误给采购人造成的损失及赶工产生的费用，由原成交供应商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387"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4233" w:type="pct"/>
            <w:vAlign w:val="center"/>
          </w:tcPr>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12" w:lineRule="auto"/>
              <w:ind w:left="0" w:leftChars="0" w:firstLine="420" w:firstLineChars="0"/>
              <w:textAlignment w:val="auto"/>
              <w:rPr>
                <w:rFonts w:hint="eastAsia" w:ascii="宋体" w:hAnsi="宋体" w:eastAsia="宋体" w:cs="宋体"/>
                <w:b/>
                <w:bCs/>
                <w:color w:val="auto"/>
                <w:sz w:val="24"/>
                <w:szCs w:val="24"/>
                <w:highlight w:val="none"/>
                <w:lang w:val="hr-HR"/>
              </w:rPr>
            </w:pPr>
            <w:r>
              <w:rPr>
                <w:rFonts w:hint="eastAsia" w:ascii="宋体" w:hAnsi="宋体" w:eastAsia="宋体" w:cs="宋体"/>
                <w:b/>
                <w:bCs/>
                <w:color w:val="auto"/>
                <w:sz w:val="24"/>
                <w:szCs w:val="24"/>
                <w:highlight w:val="none"/>
                <w:lang w:val="hr-HR"/>
              </w:rPr>
              <w:t>工程保修期：</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hr-HR"/>
              </w:rPr>
              <w:t>本工程的保修期限按国务院 [2000]279 号令《建设工程质量管理条例》规定执行。成交供应商在向采购人提交竣工验收报告时，应向采购人出具质量保修书。质量保修书中应当明确建设工程的保修范围，保修期限和保修责任等。保修期自竣工验收合格之日起计，为期壹年。在保修期内因施工质量而造成返修，其返修所有费用由成交供应商负责。本工程的质量保</w:t>
            </w:r>
            <w:r>
              <w:rPr>
                <w:rFonts w:hint="eastAsia" w:ascii="宋体" w:hAnsi="宋体" w:eastAsia="宋体" w:cs="宋体"/>
                <w:color w:val="auto"/>
                <w:sz w:val="24"/>
                <w:szCs w:val="24"/>
                <w:highlight w:val="none"/>
              </w:rPr>
              <w:t>修金为结算审定价的 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p>
        </w:tc>
        <w:tc>
          <w:tcPr>
            <w:tcW w:w="387" w:type="pct"/>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4233" w:type="pct"/>
            <w:vAlign w:val="center"/>
          </w:tcPr>
          <w:p>
            <w:pPr>
              <w:keepNext w:val="0"/>
              <w:keepLines w:val="0"/>
              <w:pageBreakBefore w:val="0"/>
              <w:widowControl w:val="0"/>
              <w:numPr>
                <w:ilvl w:val="0"/>
                <w:numId w:val="5"/>
              </w:numPr>
              <w:kinsoku/>
              <w:wordWrap/>
              <w:overflowPunct/>
              <w:topLinePunct w:val="0"/>
              <w:autoSpaceDE w:val="0"/>
              <w:autoSpaceDN w:val="0"/>
              <w:bidi w:val="0"/>
              <w:adjustRightInd w:val="0"/>
              <w:snapToGrid w:val="0"/>
              <w:spacing w:line="312" w:lineRule="auto"/>
              <w:ind w:left="0" w:leftChars="0" w:firstLine="420" w:firstLineChars="0"/>
              <w:textAlignment w:val="auto"/>
              <w:rPr>
                <w:rFonts w:hint="eastAsia" w:ascii="宋体" w:hAnsi="宋体" w:eastAsia="宋体" w:cs="宋体"/>
                <w:b/>
                <w:bCs/>
                <w:color w:val="auto"/>
                <w:sz w:val="24"/>
                <w:szCs w:val="24"/>
                <w:highlight w:val="none"/>
                <w:lang w:val="hr-HR"/>
              </w:rPr>
            </w:pPr>
            <w:r>
              <w:rPr>
                <w:rFonts w:hint="eastAsia" w:ascii="宋体" w:hAnsi="宋体" w:eastAsia="宋体" w:cs="宋体"/>
                <w:b/>
                <w:bCs/>
                <w:color w:val="auto"/>
                <w:sz w:val="24"/>
                <w:szCs w:val="24"/>
                <w:highlight w:val="none"/>
                <w:lang w:val="hr-HR"/>
              </w:rPr>
              <w:t>服务要求</w:t>
            </w:r>
          </w:p>
          <w:p>
            <w:pPr>
              <w:keepNext w:val="0"/>
              <w:keepLines w:val="0"/>
              <w:pageBreakBefore w:val="0"/>
              <w:widowControl w:val="0"/>
              <w:numPr>
                <w:ilvl w:val="0"/>
                <w:numId w:val="6"/>
              </w:numPr>
              <w:kinsoku/>
              <w:wordWrap/>
              <w:overflowPunct/>
              <w:topLinePunct w:val="0"/>
              <w:autoSpaceDE/>
              <w:autoSpaceDN/>
              <w:bidi w:val="0"/>
              <w:adjustRightInd w:val="0"/>
              <w:snapToGrid w:val="0"/>
              <w:spacing w:line="312"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成交供应商应配备满足项目要求的各类专业人员</w:t>
            </w:r>
            <w:r>
              <w:rPr>
                <w:rFonts w:hint="eastAsia" w:ascii="宋体" w:hAnsi="宋体" w:eastAsia="宋体" w:cs="宋体"/>
                <w:b w:val="0"/>
                <w:bCs/>
                <w:color w:val="auto"/>
                <w:sz w:val="24"/>
                <w:szCs w:val="24"/>
                <w:highlight w:val="none"/>
                <w:lang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12"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负责人必须亲自负责整个项目全过程管理及与采购人协调沟通，合同期内项目负责人不得更换。如确须更换，则事前须征得采购人同意，如有违反，一经发现取消中标资格，并赔偿由此造成的一切损失(包含质量安全事故、拖延工期、增加投资等损失)。在施工过程中，项目负责人如不到位，承担违约责任，造成损失的，须承担赔偿责任。</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在施工过程中，项目负责人在接到采购人书面或电话通知后的30分钟内须到达施工现场提供服务，特殊情况下应做到随叫随到。</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成交供应商在施工期间应严格遵守国家、省、市</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区</w:t>
            </w:r>
            <w:r>
              <w:rPr>
                <w:rFonts w:hint="eastAsia" w:ascii="宋体" w:hAnsi="宋体" w:eastAsia="宋体" w:cs="宋体"/>
                <w:b w:val="0"/>
                <w:bCs/>
                <w:color w:val="auto"/>
                <w:sz w:val="24"/>
                <w:szCs w:val="24"/>
                <w:highlight w:val="none"/>
              </w:rPr>
              <w:t>有关防火、爆破和施工安全以及文明施工、深夜施工、环卫和城管等规定，建立规章制度和防护措施。成交供应商在合同期内必须遵守采购人的有关规章制度。成交供应商应按安全施工的要求，采取严格科学的安全措施，确保施工安全和第三者的安全，承担由于自身安全措施不力所造成的事故责任、法律责任和经济责任。</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进场施工人员的人员配备在进场施工之前要明确，进场工作人员名单要以书面文件形式报采购人。进场的工作人员须要佩戴入场工作证（由供应商制做），工作证上要注明工程项目名称、施工地点、姓名、性别、照片、职务等信息，保证一人一证。</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施工人员须严格遵守一切规章制度，自觉接受检查，无证人员一律不得进入施工现场，施工期间采购人不提供住宿，由成交供应商自行解决食宿。施工人员未经批准不得进入其他区域。成交供应商须遵守采购人施工现场和人员管理的规定，安全生产，文明施工，负责将施工中产生的边角料等垃圾及时地清运到政府规定的堆放点，保持施工现场周边整洁卫生。成交供应商在施工过程中，如遇到需与外部相关单位协调的问题时，应自行解决，采购人只负责协助。</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成交供应商应负责现场全部作业的安全，严格遵守执行有关安全保卫、安全施工、消防条例等规范。成交供应商须注意施工安全，做好安全文明施工工作，如因措施不当造成人身财产安全事故的，一切责任由成交供应商负责。</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供应商需针对本项目提供施工程序总体设想及施工段划分方案、质量保证措施、安全生产、文明施工与环境保护措施、应急措施、进度计划保证措施、工期保证措施，技术服务方案应完整、具体、合理、可行，避免空话、套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8" w:type="pct"/>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c>
          <w:tcPr>
            <w:tcW w:w="4621" w:type="pct"/>
            <w:gridSpan w:val="2"/>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打“★”号条款为实质性条款，若有任何一条负偏离或不满足则导致投标无效。</w:t>
            </w:r>
          </w:p>
          <w:p>
            <w:pPr>
              <w:keepNext w:val="0"/>
              <w:keepLines w:val="0"/>
              <w:pageBreakBefore w:val="0"/>
              <w:widowControl w:val="0"/>
              <w:kinsoku/>
              <w:wordWrap/>
              <w:overflowPunct/>
              <w:topLinePunct w:val="0"/>
              <w:autoSpaceDE/>
              <w:autoSpaceDN/>
              <w:bidi w:val="0"/>
              <w:adjustRightInd/>
              <w:snapToGrid w:val="0"/>
              <w:spacing w:line="312"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打“▲”号条款为重要技术参数，若有部分“▲”条款未响应或不满足，将导致其响应性评审加重扣分，但不作为无效投标条款。</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723" w:firstLineChars="200"/>
        <w:jc w:val="center"/>
        <w:textAlignment w:val="auto"/>
        <w:outlineLvl w:val="0"/>
        <w:rPr>
          <w:rFonts w:hint="eastAsia" w:ascii="宋体" w:hAnsi="宋体" w:eastAsia="宋体" w:cs="宋体"/>
          <w:color w:val="auto"/>
          <w:sz w:val="36"/>
          <w:szCs w:val="36"/>
          <w:highlight w:val="none"/>
        </w:rPr>
      </w:pPr>
      <w:bookmarkStart w:id="11" w:name="_Toc7061"/>
      <w:r>
        <w:rPr>
          <w:rFonts w:hint="eastAsia" w:ascii="宋体" w:hAnsi="宋体" w:eastAsia="宋体" w:cs="宋体"/>
          <w:b/>
          <w:color w:val="auto"/>
          <w:sz w:val="36"/>
          <w:szCs w:val="36"/>
          <w:highlight w:val="none"/>
        </w:rPr>
        <w:t>第三章 供应商须知</w:t>
      </w:r>
      <w:bookmarkEnd w:id="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12" w:name="_Toc3022"/>
      <w:r>
        <w:rPr>
          <w:rFonts w:hint="eastAsia" w:ascii="宋体" w:hAnsi="宋体" w:eastAsia="宋体" w:cs="宋体"/>
          <w:b/>
          <w:color w:val="auto"/>
          <w:sz w:val="24"/>
          <w:szCs w:val="24"/>
          <w:highlight w:val="none"/>
        </w:rPr>
        <w:t>一、名词解释</w:t>
      </w:r>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采购人：本项目是指国家税务总局惠州仲恺高新技术产业开发区税务局，是采购活动当事人，负责项目的整体规划、技术方案可行性设计论证与实施，负责整个采购活动的组织，依法负责编制和发布磋商文件，对磋商文件拥有最终的解释权。作为合同采购方（用户）的主体承担质疑回复、履行合同、验收与评价等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是指</w:t>
      </w:r>
      <w:r>
        <w:rPr>
          <w:rFonts w:hint="eastAsia" w:ascii="宋体" w:hAnsi="宋体" w:eastAsia="宋体" w:cs="宋体"/>
          <w:color w:val="auto"/>
          <w:sz w:val="24"/>
          <w:szCs w:val="24"/>
          <w:highlight w:val="none"/>
        </w:rPr>
        <w:t>响应</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要求，参加磋商的法人或者其他组织、自然人。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.“磋商小组”是指根据《</w:t>
      </w:r>
      <w:r>
        <w:rPr>
          <w:rFonts w:hint="eastAsia" w:ascii="宋体" w:hAnsi="宋体" w:eastAsia="宋体" w:cs="宋体"/>
          <w:color w:val="auto"/>
          <w:sz w:val="24"/>
          <w:szCs w:val="24"/>
          <w:highlight w:val="none"/>
          <w:lang w:eastAsia="zh-CN"/>
        </w:rPr>
        <w:t>国家税务总局惠州仲恺</w:t>
      </w:r>
      <w:r>
        <w:rPr>
          <w:rFonts w:hint="eastAsia" w:ascii="宋体" w:hAnsi="宋体" w:eastAsia="宋体" w:cs="宋体"/>
          <w:color w:val="auto"/>
          <w:sz w:val="24"/>
          <w:szCs w:val="24"/>
          <w:highlight w:val="none"/>
          <w:lang w:val="en-US" w:eastAsia="zh-CN"/>
        </w:rPr>
        <w:t xml:space="preserve"> 高新技术产业开发区税务局目录外标准下采购管理暂行办法》</w:t>
      </w:r>
      <w:r>
        <w:rPr>
          <w:rFonts w:hint="eastAsia" w:ascii="宋体" w:hAnsi="宋体" w:eastAsia="宋体" w:cs="宋体"/>
          <w:color w:val="auto"/>
          <w:sz w:val="24"/>
          <w:szCs w:val="24"/>
          <w:highlight w:val="none"/>
        </w:rPr>
        <w:t>，由采购人代表组成以确定成交供应商或者推荐成交候选供应商的临时组织。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.“成交供应商”是指经磋商小组评审确定的对磋商文件做出实质性响应，经采购人按照规定在磋商小组推荐的成交候选供应商中确定的或磋商小组受采购人委托直接确认的供应商。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响应文件”是指供应商根据本文件要求，编制包含报价、技术和服务等所有内容的实质性响应文件。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.日期、天数、时间：未有特别说明时，均为公历日（天）及北京时间。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1"/>
        <w:rPr>
          <w:rFonts w:hint="eastAsia" w:ascii="宋体" w:hAnsi="宋体" w:eastAsia="宋体" w:cs="宋体"/>
          <w:color w:val="auto"/>
          <w:sz w:val="24"/>
          <w:szCs w:val="24"/>
          <w:highlight w:val="none"/>
        </w:rPr>
      </w:pPr>
      <w:bookmarkStart w:id="13" w:name="_Toc28072"/>
      <w:r>
        <w:rPr>
          <w:rFonts w:hint="eastAsia" w:ascii="宋体" w:hAnsi="宋体" w:eastAsia="宋体" w:cs="宋体"/>
          <w:b/>
          <w:color w:val="auto"/>
          <w:sz w:val="24"/>
          <w:szCs w:val="24"/>
          <w:highlight w:val="none"/>
        </w:rPr>
        <w:t>二、须知前附表</w:t>
      </w:r>
      <w:bookmarkEnd w:id="13"/>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0"/>
        <w:gridCol w:w="2879"/>
        <w:gridCol w:w="55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6"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550"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012"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14" w:name="_Toc9207"/>
      <w:r>
        <w:rPr>
          <w:rFonts w:hint="eastAsia" w:ascii="宋体" w:hAnsi="宋体" w:eastAsia="宋体" w:cs="宋体"/>
          <w:b/>
          <w:color w:val="auto"/>
          <w:sz w:val="24"/>
          <w:szCs w:val="24"/>
          <w:highlight w:val="none"/>
        </w:rPr>
        <w:t>三、说明</w:t>
      </w:r>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5.1联合体各方均应当满足《中华人民共和国政府采购法》第二十二条规定的条件，并在响应文件中提供联合体各方的相关证明材料。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联合体各方应当共同与采购人签订采购合同，就合同约定的事项对采购人承担连带责任。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中国残疾人联合会关于促进残疾人就业政府采购政策的通知》，在采购活动中，残疾人福利性单位视同小型、微型企业，享受采购支持政策的残疾人福利性单位应当同时满足《财政部 民政部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5" w:name="_Toc21281"/>
      <w:r>
        <w:rPr>
          <w:rFonts w:hint="eastAsia" w:ascii="宋体" w:hAnsi="宋体" w:eastAsia="宋体" w:cs="宋体"/>
          <w:b/>
          <w:color w:val="auto"/>
          <w:sz w:val="24"/>
          <w:szCs w:val="24"/>
          <w:highlight w:val="none"/>
        </w:rPr>
        <w:t>四、磋商文件的澄清和修改</w:t>
      </w:r>
      <w:bookmarkEnd w:id="1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6" w:name="_Toc24144"/>
      <w:r>
        <w:rPr>
          <w:rFonts w:hint="eastAsia" w:ascii="宋体" w:hAnsi="宋体" w:eastAsia="宋体" w:cs="宋体"/>
          <w:b/>
          <w:color w:val="auto"/>
          <w:sz w:val="24"/>
          <w:szCs w:val="24"/>
          <w:highlight w:val="none"/>
        </w:rPr>
        <w:t>五、响应要求</w:t>
      </w:r>
      <w:bookmarkEnd w:id="1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17" w:name="_Toc1521"/>
      <w:r>
        <w:rPr>
          <w:rFonts w:hint="eastAsia" w:ascii="宋体" w:hAnsi="宋体" w:eastAsia="宋体" w:cs="宋体"/>
          <w:b/>
          <w:color w:val="auto"/>
          <w:sz w:val="24"/>
          <w:szCs w:val="24"/>
          <w:highlight w:val="none"/>
        </w:rPr>
        <w:t>六、磋商、评审和结果确定</w:t>
      </w:r>
      <w:bookmarkEnd w:id="17"/>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成交供应商确定之日起2个工作日内，采购人将在国家税务总局惠州仲恺高新技术产业开发区税务局网(</w:t>
      </w:r>
      <w:r>
        <w:rPr>
          <w:rFonts w:hint="eastAsia" w:ascii="宋体" w:hAnsi="宋体" w:eastAsia="宋体" w:cs="宋体"/>
          <w:color w:val="auto"/>
          <w:sz w:val="24"/>
          <w:highlight w:val="none"/>
        </w:rPr>
        <w:t>https://guangdong.chinatax.gov.cn/hzgkml/hzzkgkml_zfcg/jczwgkbzml_lists.shtml</w:t>
      </w:r>
      <w:r>
        <w:rPr>
          <w:rFonts w:hint="eastAsia" w:ascii="宋体" w:hAnsi="宋体" w:eastAsia="宋体" w:cs="宋体"/>
          <w:color w:val="auto"/>
          <w:sz w:val="24"/>
          <w:szCs w:val="24"/>
          <w:highlight w:val="none"/>
        </w:rPr>
        <w:t>)公告的形式发布成交结果，结果公告的公告期限为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在成交供应商确定后2个工作日内，在国家税务总局惠州仲恺高新技术产业开发区税务局网(</w:t>
      </w:r>
      <w:r>
        <w:rPr>
          <w:rFonts w:hint="eastAsia" w:ascii="宋体" w:hAnsi="宋体" w:eastAsia="宋体" w:cs="宋体"/>
          <w:color w:val="auto"/>
          <w:sz w:val="24"/>
          <w:highlight w:val="none"/>
        </w:rPr>
        <w:t>https://guangdong.chinatax.gov.cn/hzgkml/hzzkgkml_zfcg/jczwgkbzml_lists.shtml</w:t>
      </w:r>
      <w:r>
        <w:rPr>
          <w:rFonts w:hint="eastAsia" w:ascii="宋体" w:hAnsi="宋体" w:eastAsia="宋体" w:cs="宋体"/>
          <w:color w:val="auto"/>
          <w:sz w:val="24"/>
          <w:szCs w:val="24"/>
          <w:highlight w:val="none"/>
        </w:rPr>
        <w:t>)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终止磋商采购活动后，采购人将在国家税务总局惠州仲恺高新技术产业开发区税务局网(https://guangdong.chinatax.gov.cn/hzgkml/hzzkgkml_zfcg/jczwgkbzml_lists.shtml)上发布终止公告，终止公告的公告期限为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18" w:name="_Toc14834"/>
      <w:r>
        <w:rPr>
          <w:rFonts w:hint="eastAsia" w:ascii="宋体" w:hAnsi="宋体" w:eastAsia="宋体" w:cs="宋体"/>
          <w:b/>
          <w:color w:val="auto"/>
          <w:sz w:val="24"/>
          <w:szCs w:val="24"/>
          <w:highlight w:val="none"/>
        </w:rPr>
        <w:t>七、询问、质疑与投诉</w:t>
      </w:r>
      <w:bookmarkEnd w:id="18"/>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国家税务总局惠州仲恺高新技术产业开发区税务局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电话：0752-3702048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惠州市仲恺区和畅七路西40号骏涛华府6号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邮编：516006</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19" w:name="_Toc18932"/>
      <w:r>
        <w:rPr>
          <w:rFonts w:hint="eastAsia" w:ascii="宋体" w:hAnsi="宋体" w:eastAsia="宋体" w:cs="宋体"/>
          <w:b/>
          <w:color w:val="auto"/>
          <w:sz w:val="24"/>
          <w:szCs w:val="24"/>
          <w:highlight w:val="none"/>
        </w:rPr>
        <w:t>八、合同签订和履行</w:t>
      </w:r>
      <w:bookmarkEnd w:id="19"/>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keepNext w:val="0"/>
        <w:keepLines w:val="0"/>
        <w:pageBreakBefore/>
        <w:widowControl w:val="0"/>
        <w:kinsoku/>
        <w:wordWrap/>
        <w:overflowPunct/>
        <w:topLinePunct w:val="0"/>
        <w:autoSpaceDE/>
        <w:autoSpaceDN/>
        <w:bidi w:val="0"/>
        <w:adjustRightInd/>
        <w:snapToGrid/>
        <w:jc w:val="center"/>
        <w:textAlignment w:val="auto"/>
        <w:outlineLvl w:val="0"/>
        <w:rPr>
          <w:color w:val="auto"/>
          <w:highlight w:val="none"/>
        </w:rPr>
      </w:pPr>
      <w:bookmarkStart w:id="20" w:name="_Toc20430"/>
      <w:r>
        <w:rPr>
          <w:b/>
          <w:color w:val="auto"/>
          <w:sz w:val="36"/>
          <w:highlight w:val="none"/>
        </w:rPr>
        <w:t>第四章 评审</w:t>
      </w:r>
      <w:bookmarkEnd w:id="20"/>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1" w:name="_Toc11986"/>
      <w:r>
        <w:rPr>
          <w:rFonts w:hint="eastAsia" w:ascii="宋体" w:hAnsi="宋体" w:eastAsia="宋体" w:cs="宋体"/>
          <w:b/>
          <w:color w:val="auto"/>
          <w:sz w:val="24"/>
          <w:szCs w:val="24"/>
          <w:highlight w:val="none"/>
        </w:rPr>
        <w:t>一、评审要求</w:t>
      </w:r>
      <w:bookmarkEnd w:id="2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2"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2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rPr>
        <w:t>）：</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4"/>
        <w:gridCol w:w="2542"/>
        <w:gridCol w:w="58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特定资格要求</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供应商具有建筑工程施工总承包三级或以上资质，且具有建设行政主管部门颁发的有效期内的安全生产许可证。</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color w:val="auto"/>
                <w:highlight w:val="none"/>
              </w:rPr>
            </w:pPr>
            <w:r>
              <w:rPr>
                <w:rFonts w:hint="eastAsia" w:ascii="宋体" w:hAnsi="宋体" w:eastAsia="宋体" w:cs="宋体"/>
                <w:color w:val="auto"/>
                <w:sz w:val="24"/>
                <w:szCs w:val="24"/>
                <w:highlight w:val="none"/>
              </w:rPr>
              <w:t>项目负责人1人，具有建筑工程专业二级（含二级）以上注册建造师（省外须建筑工程专业一级注册建造师），具有注册建造师证书和建设行政主管部门颁发的安全生产考核合格证（B类）。</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国家税务总局惠州仲恺高新技术产业开发区税务局围墙修建项目</w:t>
      </w:r>
      <w:r>
        <w:rPr>
          <w:rFonts w:hint="eastAsia" w:ascii="宋体" w:hAnsi="宋体" w:eastAsia="宋体" w:cs="宋体"/>
          <w:color w:val="auto"/>
          <w:sz w:val="24"/>
          <w:szCs w:val="24"/>
          <w:highlight w:val="none"/>
        </w:rPr>
        <w:t>）：</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1"/>
        <w:gridCol w:w="2588"/>
        <w:gridCol w:w="59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5.详细评审</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73"/>
        <w:gridCol w:w="1417"/>
        <w:gridCol w:w="64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40"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5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5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商务部分（29.0分）</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5" w:type="pct"/>
            <w:vAlign w:val="center"/>
          </w:tcPr>
          <w:p>
            <w:pPr>
              <w:pStyle w:val="18"/>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响应供应商自20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年1月1日以来</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时间以竣工验收报告时间为准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完成过合同金额70万元人民币的房建</w:t>
            </w:r>
            <w:r>
              <w:rPr>
                <w:rFonts w:hint="eastAsia" w:ascii="宋体" w:hAnsi="宋体" w:eastAsia="宋体" w:cs="宋体"/>
                <w:color w:val="auto"/>
                <w:sz w:val="24"/>
                <w:szCs w:val="24"/>
                <w:highlight w:val="none"/>
              </w:rPr>
              <w:t>工程业绩，每个得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分，最高得</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p>
            <w:pPr>
              <w:pStyle w:val="18"/>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注：响应供应商须提供</w:t>
            </w:r>
            <w:r>
              <w:rPr>
                <w:rFonts w:hint="eastAsia" w:ascii="宋体" w:hAnsi="宋体" w:cs="宋体"/>
                <w:color w:val="auto"/>
                <w:sz w:val="24"/>
                <w:szCs w:val="24"/>
                <w:highlight w:val="none"/>
                <w:lang w:val="en-US" w:eastAsia="zh-CN"/>
              </w:rPr>
              <w:t>中标通知书、</w:t>
            </w:r>
            <w:r>
              <w:rPr>
                <w:rFonts w:hint="eastAsia" w:ascii="宋体" w:hAnsi="宋体" w:eastAsia="宋体" w:cs="宋体"/>
                <w:color w:val="auto"/>
                <w:sz w:val="24"/>
                <w:szCs w:val="24"/>
                <w:highlight w:val="none"/>
              </w:rPr>
              <w:t>施工合同（关键页）</w:t>
            </w:r>
            <w:r>
              <w:rPr>
                <w:rFonts w:hint="eastAsia" w:ascii="宋体" w:hAnsi="宋体" w:cs="宋体"/>
                <w:color w:val="auto"/>
                <w:sz w:val="24"/>
                <w:szCs w:val="24"/>
                <w:highlight w:val="none"/>
                <w:lang w:val="en-US" w:eastAsia="zh-CN"/>
              </w:rPr>
              <w:t>和竣工验收报告扫描件或</w:t>
            </w:r>
            <w:r>
              <w:rPr>
                <w:rFonts w:hint="eastAsia" w:ascii="宋体" w:hAnsi="宋体" w:eastAsia="宋体" w:cs="宋体"/>
                <w:color w:val="auto"/>
                <w:sz w:val="24"/>
                <w:szCs w:val="24"/>
                <w:highlight w:val="none"/>
              </w:rPr>
              <w:t>复印件，</w:t>
            </w:r>
            <w:r>
              <w:rPr>
                <w:rFonts w:hint="eastAsia" w:ascii="宋体" w:hAnsi="宋体" w:eastAsia="宋体" w:cs="宋体"/>
                <w:color w:val="auto"/>
                <w:sz w:val="24"/>
                <w:szCs w:val="24"/>
                <w:highlight w:val="none"/>
                <w:lang w:val="en-US" w:eastAsia="zh-CN"/>
              </w:rPr>
              <w:t>无提供不得分</w:t>
            </w:r>
            <w:r>
              <w:rPr>
                <w:rFonts w:hint="eastAsia" w:ascii="宋体" w:hAnsi="宋体" w:eastAsia="宋体" w:cs="宋体"/>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现场施工班子人员（5.0分）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响应供应商拟投入现场的施工班子人员中有一人具有安全生产考核合格证书（C类）的得2分，若此人同时具有注册安全工程师资格的得3分。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注：本项最多得5分。须提供人员相关证书以及近三个月在供应商单位购买的社保证明扫描件或复印件或网页查询截图；注册安全工程师另需提供应急管理部的注册安全工程师查询网页截图。无提供不得分。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三大体系认证（4.0分）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响应供应商同时具有有效期内的质量管理体系、环境管理体系及职业健康安全管理体系认证证书的得4分。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color w:val="auto"/>
                <w:highlight w:val="none"/>
                <w:lang w:val="en-US" w:eastAsia="zh-CN"/>
              </w:rPr>
            </w:pPr>
            <w:r>
              <w:rPr>
                <w:rFonts w:hint="default" w:ascii="宋体" w:hAnsi="宋体" w:eastAsia="宋体" w:cs="宋体"/>
                <w:color w:val="auto"/>
                <w:sz w:val="24"/>
                <w:szCs w:val="24"/>
                <w:highlight w:val="none"/>
                <w:lang w:val="en-US" w:eastAsia="zh-CN"/>
              </w:rPr>
              <w:t xml:space="preserve">注：须提供相关证书扫描件或复印件。无提供不得分。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技术部分（41.0分）</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总体概述：施工程序总体设想及施工段划分（4.0分）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优：施工程序总体设想及施工段划分合理，符合规范要求。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良：施工程序总体设想及施工段划分较合理，符合规范要求。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中：施工程序总体设想及施工段划分基本合理，基本符合规范要求。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差：施工程序总体设想及施工段划分不合理，不符合规范要求。</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施工进度计划和各阶段进度的保证措施及违约责任承诺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优：关键线路清晰、准确、完整，计划编制合理、可行。关键节点的控制措施有力、合理、可行。进度违约责任承诺具体，经济赔偿最大。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良：关键线路清晰、准确、完整，计划编制可行。关键节点的控制措施合理、可行。进度违约责任承诺具体，经济赔偿次大。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中：关键线路基本准确，计划编制基本合理。关键节点的控制措施基本可行。进度违约责任承诺具体。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差：关键线路不准确，计划编制不合理。关键节点的控制不可行。没有违约责任承诺。</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劳动力和材料投入计划及其保证措施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优：投入计划与进度计划呼应，较好满足施工需要，调配投入计划合理、准确。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良：投入计划与进度计划呼应，基本满足施工需要，调配投入计划基本合理、准确。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中：投入计划与进度计划呼应，基本满足施工需要，调配投入计划基本合理。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差：投入计划与进度计划不呼应，不能满足施工需要。</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优：投入计划与进度计划呼应，较好满足施工需要，采用先进机械设备。</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良：投入计划与进度计划呼应，满足施工需要。中：投入计划与进度计划呼应，基本满足施工需要。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差：投入计划与进度计划不呼应，不能满足施工需要。</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bookmarkStart w:id="67" w:name="_GoBack"/>
            <w:bookmarkEnd w:id="67"/>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施工平面布置和临时设施布置（3分）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优3分，良2分，中1分，差0分。无提供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（6.0分）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优6分，良4分，中2分，差</w:t>
            </w:r>
            <w:r>
              <w:rPr>
                <w:rFonts w:hint="eastAsia"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扬尘污染防治方案</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优：扬尘污染防治方案科学、系统，可操作性强，保障措施得力。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良：扬尘污染防治方案比较科学、系统，可操作性比较强，保障措施比较得力。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中：扬尘污染防治方案基本科学、系统，具有可操作性，保障措施基本正确。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差：扬尘污染防治方案不科学、不系统，或可操作性不强，或保障措施不具体。</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用工实名管理方案</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优：用工实名管理方案科学、系统，可操作性强，保障措施得力。                        </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良：用工实名管理方案比较科学、系统，可操作性比较强，保障措施比较得力。       </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中：用工实名管理方案基本科学、系统，具有可操作性，保障措施基本正确。        </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差：用工实名管理方案不科学、不系统，或可操作性不强，或保障措施不具体。</w:t>
            </w:r>
          </w:p>
          <w:p>
            <w:pPr>
              <w:pStyle w:val="2"/>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优4分，良3分，中2分，差1分。无提供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0"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3"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5"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6.汇总、排序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评审结果按评审后总得分由高到低顺序排列。评审得分相同的，按最终报价由低到高顺序排列。得分且最终报价相同的，由</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小组采取随机抽取的方式确定。排名第一的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供应商为第一成交候选人，排名第二的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供应商为第二成交候选人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排名第</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供应商为第</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小组采取随机抽取方式确定，其他同品牌</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供应商不作为成交候选人）。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7.其他无效响应的情形：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（1）评审期间，供应商没有按磋商小组的要求提交法定代表人或其委托代理人签字的澄清、说明、补正或改变了响应文件的实质性内容的。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（2）响应文件提供虚假材料的。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（3）供应商以他人名义响应、串通响应、以行贿手段谋取成交或者以其他弄虚作假方式响应的。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（4）供应商对采购人、磋商小组及其工作人员施加影响，有碍招标公平、公正的。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（5）响应文件含有采购人不能接受的附加条件的。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（6）法律、法规和磋商文件规定的其他无效情形。</w:t>
      </w:r>
    </w:p>
    <w:p>
      <w:pPr>
        <w:ind w:firstLine="480"/>
        <w:rPr>
          <w:rFonts w:hint="eastAsia" w:ascii="宋体" w:hAnsi="宋体" w:eastAsia="宋体" w:cs="宋体"/>
          <w:color w:val="auto"/>
          <w:sz w:val="24"/>
          <w:szCs w:val="24"/>
          <w:highlight w:val="none"/>
        </w:rPr>
      </w:pPr>
    </w:p>
    <w:p>
      <w:pPr>
        <w:rPr>
          <w:color w:val="auto"/>
          <w:highlight w:val="none"/>
        </w:rPr>
      </w:pPr>
      <w:r>
        <w:rPr>
          <w:color w:val="auto"/>
          <w:highlight w:val="none"/>
        </w:rPr>
        <w:t xml:space="preserve"> </w:t>
      </w:r>
    </w:p>
    <w:p>
      <w:pPr>
        <w:rPr>
          <w:color w:val="auto"/>
          <w:highlight w:val="none"/>
        </w:rPr>
      </w:pPr>
    </w:p>
    <w:p>
      <w:pPr>
        <w:rPr>
          <w:b/>
          <w:color w:val="auto"/>
          <w:sz w:val="36"/>
          <w:highlight w:val="none"/>
        </w:rPr>
      </w:pPr>
      <w:r>
        <w:rPr>
          <w:b/>
          <w:color w:val="auto"/>
          <w:sz w:val="36"/>
          <w:highlight w:val="none"/>
        </w:rPr>
        <w:br w:type="page"/>
      </w:r>
    </w:p>
    <w:p>
      <w:pPr>
        <w:jc w:val="center"/>
        <w:outlineLvl w:val="0"/>
        <w:rPr>
          <w:color w:val="auto"/>
          <w:highlight w:val="none"/>
        </w:rPr>
      </w:pPr>
      <w:bookmarkStart w:id="23" w:name="_Toc30226"/>
      <w:r>
        <w:rPr>
          <w:b/>
          <w:color w:val="auto"/>
          <w:sz w:val="36"/>
          <w:highlight w:val="none"/>
        </w:rPr>
        <w:t>第五章 合同文本</w:t>
      </w:r>
      <w:bookmarkEnd w:id="23"/>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13"/>
        <w:tblpPr w:leftFromText="180" w:rightFromText="180" w:vertAnchor="text" w:horzAnchor="page" w:tblpX="3333" w:tblpY="738"/>
        <w:tblOverlap w:val="never"/>
        <w:tblW w:w="5400" w:type="dxa"/>
        <w:tblInd w:w="0" w:type="dxa"/>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400"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60" w:hRule="atLeast"/>
        </w:trPr>
        <w:tc>
          <w:tcPr>
            <w:tcW w:w="5400"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9"/>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天/工作日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（1）合同签订后十五天内</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（2）工程竣工验收合格后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再支付至结算价的97%；</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）剩余3%工程款作为质保金在验收合格后第13个月支付；</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color w:val="auto"/>
          <w:highlight w:val="none"/>
        </w:rPr>
      </w:pPr>
    </w:p>
    <w:p>
      <w:pPr>
        <w:rPr>
          <w:color w:val="auto"/>
          <w:highlight w:val="none"/>
        </w:rPr>
      </w:pP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36"/>
          <w:highlight w:val="none"/>
        </w:rPr>
      </w:pPr>
      <w:r>
        <w:rPr>
          <w:b/>
          <w:color w:val="auto"/>
          <w:sz w:val="36"/>
          <w:highlight w:val="none"/>
        </w:rPr>
        <w:br w:type="page"/>
      </w:r>
    </w:p>
    <w:p>
      <w:pPr>
        <w:jc w:val="center"/>
        <w:outlineLvl w:val="0"/>
        <w:rPr>
          <w:color w:val="auto"/>
          <w:highlight w:val="none"/>
        </w:rPr>
      </w:pPr>
      <w:bookmarkStart w:id="24" w:name="_Toc20364"/>
      <w:r>
        <w:rPr>
          <w:b/>
          <w:color w:val="auto"/>
          <w:sz w:val="36"/>
          <w:highlight w:val="none"/>
        </w:rPr>
        <w:t>第六章 响应文件格式与要求</w:t>
      </w:r>
      <w:bookmarkEnd w:id="24"/>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供应商应提交证明其有资格参加磋商和成交后有能力履行合同的相关文件，并作为其响应文件的一部分，所有文件必须真实可靠、不得伪造，否则将按相关规定予以处罚。</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这里所指“其他组织”不包括法人的分支机构，由于法人分支机构不能独立承担民事责任，不能以分支机构的身份参加采购，只能以法人身份参加。“但由于银行、保险、石油石化、电力、电信等行业具有其特殊性，如果能够提供其法人给予的相应授权证明材料，可以参加采购活动”。</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2.财务状况报告，依法缴纳税收和社会保障资金的相关材料（详见资格性审查表要求）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3.具有履行合同所必须的设备和专业技术能力的声明。</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4.供应商参加政府采购前三年内在经营活动中没有重大违法记录声明函。</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5.信用记录查询</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（1）查询渠道：通过“信用中国”网站(www.creditchina.gov.cn)和“中国政府采购网”（www.ccgp.gov.cn）进行查询；</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（2）查询截止时点：提交响应文件截止日当天；</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（3）查询记录：对列入失信被执行人、重大税收违法案件当事人名单、政府采购严重违法失信行为记录名单、信用报告进行查询；</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人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 按照磋商文件要求，供应商应当提交的资格、资信证明文件。</w:t>
      </w:r>
    </w:p>
    <w:p>
      <w:pPr>
        <w:keepNext w:val="0"/>
        <w:keepLines w:val="0"/>
        <w:pageBreakBefore w:val="0"/>
        <w:widowControl w:val="0"/>
        <w:kinsoku/>
        <w:wordWrap/>
        <w:overflowPunct/>
        <w:topLinePunct w:val="0"/>
        <w:autoSpaceDE/>
        <w:autoSpaceDN/>
        <w:bidi w:val="0"/>
        <w:ind w:firstLine="480"/>
        <w:textAlignment w:val="auto"/>
        <w:outlineLvl w:val="9"/>
        <w:rPr>
          <w:rFonts w:hint="eastAsia" w:ascii="宋体" w:hAnsi="宋体" w:eastAsia="宋体" w:cs="宋体"/>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48"/>
          <w:highlight w:val="none"/>
        </w:rPr>
      </w:pPr>
      <w:r>
        <w:rPr>
          <w:b/>
          <w:color w:val="auto"/>
          <w:sz w:val="48"/>
          <w:highlight w:val="none"/>
        </w:rPr>
        <w:br w:type="page"/>
      </w:r>
    </w:p>
    <w:p>
      <w:pPr>
        <w:rPr>
          <w:color w:val="auto"/>
          <w:highlight w:val="none"/>
        </w:rPr>
      </w:pPr>
    </w:p>
    <w:p>
      <w:pPr>
        <w:jc w:val="center"/>
        <w:rPr>
          <w:b/>
          <w:color w:val="auto"/>
          <w:sz w:val="48"/>
          <w:highlight w:val="none"/>
        </w:rPr>
      </w:pPr>
    </w:p>
    <w:p>
      <w:pPr>
        <w:jc w:val="center"/>
        <w:rPr>
          <w:b/>
          <w:color w:val="auto"/>
          <w:sz w:val="48"/>
          <w:highlight w:val="none"/>
        </w:rPr>
      </w:pP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6"/>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6258"/>
      <w:r>
        <w:rPr>
          <w:b/>
          <w:color w:val="auto"/>
          <w:sz w:val="28"/>
          <w:highlight w:val="none"/>
        </w:rPr>
        <w:t>格式一：</w:t>
      </w:r>
      <w:bookmarkEnd w:id="25"/>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6" w:name="_Toc13203"/>
      <w:r>
        <w:rPr>
          <w:b/>
          <w:color w:val="auto"/>
          <w:sz w:val="32"/>
          <w:szCs w:val="32"/>
          <w:highlight w:val="none"/>
        </w:rPr>
        <w:t>响 应 承 诺 函</w:t>
      </w:r>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rPr>
        <w:t>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国家税务总局惠州仲恺高新技术产业开发区税务局围墙修建项目</w:t>
      </w:r>
      <w:r>
        <w:rPr>
          <w:color w:val="auto"/>
          <w:sz w:val="24"/>
          <w:szCs w:val="32"/>
          <w:highlight w:val="none"/>
        </w:rPr>
        <w:t>的</w:t>
      </w:r>
      <w:r>
        <w:rPr>
          <w:rFonts w:hint="eastAsia"/>
          <w:color w:val="auto"/>
          <w:sz w:val="24"/>
          <w:szCs w:val="32"/>
          <w:highlight w:val="none"/>
          <w:lang w:eastAsia="zh-CN"/>
        </w:rPr>
        <w:t>简易</w:t>
      </w:r>
      <w:r>
        <w:rPr>
          <w:color w:val="auto"/>
          <w:sz w:val="24"/>
          <w:szCs w:val="32"/>
          <w:highlight w:val="none"/>
        </w:rPr>
        <w:t>磋商[采购项目编号为：</w:t>
      </w:r>
      <w:r>
        <w:rPr>
          <w:rFonts w:hint="eastAsia"/>
          <w:color w:val="auto"/>
          <w:sz w:val="24"/>
          <w:szCs w:val="32"/>
          <w:highlight w:val="none"/>
          <w:u w:val="single"/>
          <w:lang w:val="en-US" w:eastAsia="zh-CN"/>
        </w:rPr>
        <w:t>ZKSW202301</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国家税务总局惠州仲恺高新技术产业开发区税务局围墙修建项目</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24837"/>
      <w:r>
        <w:rPr>
          <w:b/>
          <w:color w:val="auto"/>
          <w:sz w:val="28"/>
          <w:highlight w:val="none"/>
        </w:rPr>
        <w:t>格式二：</w:t>
      </w:r>
      <w:bookmarkEnd w:id="27"/>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31546"/>
      <w:r>
        <w:rPr>
          <w:rFonts w:hint="eastAsia"/>
          <w:b/>
          <w:color w:val="auto"/>
          <w:sz w:val="32"/>
          <w:szCs w:val="32"/>
          <w:highlight w:val="none"/>
          <w:lang w:val="en-US" w:eastAsia="zh-CN"/>
        </w:rPr>
        <w:t>首轮</w:t>
      </w:r>
      <w:r>
        <w:rPr>
          <w:b/>
          <w:color w:val="auto"/>
          <w:sz w:val="32"/>
          <w:szCs w:val="32"/>
          <w:highlight w:val="none"/>
        </w:rPr>
        <w:t>报价表</w:t>
      </w:r>
      <w:bookmarkEnd w:id="28"/>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13"/>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29" w:name="_Toc25899"/>
      <w:r>
        <w:rPr>
          <w:b/>
          <w:color w:val="auto"/>
          <w:sz w:val="28"/>
          <w:szCs w:val="28"/>
          <w:highlight w:val="none"/>
        </w:rPr>
        <w:t>格式</w:t>
      </w:r>
      <w:r>
        <w:rPr>
          <w:rFonts w:hint="eastAsia"/>
          <w:b/>
          <w:color w:val="auto"/>
          <w:sz w:val="28"/>
          <w:szCs w:val="28"/>
          <w:highlight w:val="none"/>
          <w:lang w:val="en-US" w:eastAsia="zh-CN"/>
        </w:rPr>
        <w:t>三</w:t>
      </w:r>
      <w:r>
        <w:rPr>
          <w:b/>
          <w:color w:val="auto"/>
          <w:sz w:val="28"/>
          <w:szCs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b/>
          <w:color w:val="auto"/>
          <w:sz w:val="28"/>
          <w:szCs w:val="28"/>
          <w:highlight w:val="none"/>
        </w:rPr>
      </w:pPr>
      <w:bookmarkStart w:id="30" w:name="_Toc23829"/>
      <w:r>
        <w:rPr>
          <w:b/>
          <w:color w:val="auto"/>
          <w:sz w:val="28"/>
          <w:szCs w:val="28"/>
          <w:highlight w:val="none"/>
        </w:rPr>
        <w:t>政策适用性说明</w:t>
      </w:r>
      <w:bookmarkEnd w:id="30"/>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按照政府采购有关政策的要求，在本次的技术方案中，采用符合政策的小型或微型企业产品、节能产品、环境标志产品，主要产品与核心技术介绍说明如下：</w:t>
      </w:r>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30"/>
        <w:gridCol w:w="1786"/>
        <w:gridCol w:w="1251"/>
        <w:gridCol w:w="1464"/>
        <w:gridCol w:w="800"/>
        <w:gridCol w:w="1133"/>
        <w:gridCol w:w="1003"/>
        <w:gridCol w:w="13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961"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主要产品/技术名称（规格型号、注册商标）</w:t>
            </w:r>
          </w:p>
        </w:tc>
        <w:tc>
          <w:tcPr>
            <w:tcW w:w="67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制造商(开发商)</w:t>
            </w:r>
          </w:p>
        </w:tc>
        <w:tc>
          <w:tcPr>
            <w:tcW w:w="788"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制造商企业类型</w:t>
            </w:r>
          </w:p>
        </w:tc>
        <w:tc>
          <w:tcPr>
            <w:tcW w:w="43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w:t>
            </w:r>
          </w:p>
        </w:tc>
        <w:tc>
          <w:tcPr>
            <w:tcW w:w="60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环境标志产品</w:t>
            </w:r>
          </w:p>
        </w:tc>
        <w:tc>
          <w:tcPr>
            <w:tcW w:w="539"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认证证书编号</w:t>
            </w:r>
          </w:p>
        </w:tc>
        <w:tc>
          <w:tcPr>
            <w:tcW w:w="711"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961" w:type="pct"/>
            <w:vAlign w:val="center"/>
          </w:tcPr>
          <w:p>
            <w:pPr>
              <w:jc w:val="center"/>
              <w:rPr>
                <w:rFonts w:hint="eastAsia" w:ascii="宋体" w:hAnsi="宋体" w:eastAsia="宋体" w:cs="宋体"/>
                <w:color w:val="auto"/>
                <w:sz w:val="24"/>
                <w:szCs w:val="24"/>
                <w:highlight w:val="none"/>
              </w:rPr>
            </w:pPr>
          </w:p>
        </w:tc>
        <w:tc>
          <w:tcPr>
            <w:tcW w:w="673" w:type="pct"/>
            <w:vAlign w:val="center"/>
          </w:tcPr>
          <w:p>
            <w:pPr>
              <w:jc w:val="center"/>
              <w:rPr>
                <w:rFonts w:hint="eastAsia" w:ascii="宋体" w:hAnsi="宋体" w:eastAsia="宋体" w:cs="宋体"/>
                <w:color w:val="auto"/>
                <w:sz w:val="24"/>
                <w:szCs w:val="24"/>
                <w:highlight w:val="none"/>
              </w:rPr>
            </w:pPr>
          </w:p>
        </w:tc>
        <w:tc>
          <w:tcPr>
            <w:tcW w:w="788" w:type="pct"/>
            <w:vAlign w:val="center"/>
          </w:tcPr>
          <w:p>
            <w:pPr>
              <w:jc w:val="center"/>
              <w:rPr>
                <w:rFonts w:hint="eastAsia" w:ascii="宋体" w:hAnsi="宋体" w:eastAsia="宋体" w:cs="宋体"/>
                <w:color w:val="auto"/>
                <w:sz w:val="24"/>
                <w:szCs w:val="24"/>
                <w:highlight w:val="none"/>
              </w:rPr>
            </w:pPr>
          </w:p>
        </w:tc>
        <w:tc>
          <w:tcPr>
            <w:tcW w:w="430" w:type="pct"/>
            <w:vAlign w:val="center"/>
          </w:tcPr>
          <w:p>
            <w:pPr>
              <w:jc w:val="center"/>
              <w:rPr>
                <w:rFonts w:hint="eastAsia" w:ascii="宋体" w:hAnsi="宋体" w:eastAsia="宋体" w:cs="宋体"/>
                <w:color w:val="auto"/>
                <w:sz w:val="24"/>
                <w:szCs w:val="24"/>
                <w:highlight w:val="none"/>
              </w:rPr>
            </w:pPr>
          </w:p>
        </w:tc>
        <w:tc>
          <w:tcPr>
            <w:tcW w:w="609" w:type="pct"/>
            <w:vAlign w:val="center"/>
          </w:tcPr>
          <w:p>
            <w:pPr>
              <w:jc w:val="center"/>
              <w:rPr>
                <w:rFonts w:hint="eastAsia" w:ascii="宋体" w:hAnsi="宋体" w:eastAsia="宋体" w:cs="宋体"/>
                <w:color w:val="auto"/>
                <w:sz w:val="24"/>
                <w:szCs w:val="24"/>
                <w:highlight w:val="none"/>
              </w:rPr>
            </w:pPr>
          </w:p>
        </w:tc>
        <w:tc>
          <w:tcPr>
            <w:tcW w:w="539" w:type="pct"/>
            <w:vAlign w:val="center"/>
          </w:tcPr>
          <w:p>
            <w:pPr>
              <w:jc w:val="center"/>
              <w:rPr>
                <w:rFonts w:hint="eastAsia" w:ascii="宋体" w:hAnsi="宋体" w:eastAsia="宋体" w:cs="宋体"/>
                <w:color w:val="auto"/>
                <w:sz w:val="24"/>
                <w:szCs w:val="24"/>
                <w:highlight w:val="none"/>
              </w:rPr>
            </w:pPr>
          </w:p>
        </w:tc>
        <w:tc>
          <w:tcPr>
            <w:tcW w:w="711" w:type="pct"/>
            <w:vAlign w:val="center"/>
          </w:tcPr>
          <w:p>
            <w:pPr>
              <w:jc w:val="center"/>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1.制造商为小型或微型企业时才需要填“制造商企业类型”栏,填写内容为“小型”或“微型”；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2.“节能产品、环境标志产品”须填写认证证书编号，并在对应“节能产品”、“环境标志产品”栏中勾选，同时提供有效期内的证书复印件（加盖供应商公章）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1" w:name="_Toc30162"/>
      <w:r>
        <w:rPr>
          <w:b/>
          <w:sz w:val="28"/>
        </w:rPr>
        <w:t>格式</w:t>
      </w:r>
      <w:r>
        <w:rPr>
          <w:rFonts w:hint="eastAsia"/>
          <w:b/>
          <w:sz w:val="28"/>
          <w:lang w:val="en-US" w:eastAsia="zh-CN"/>
        </w:rPr>
        <w:t>四</w:t>
      </w:r>
      <w:r>
        <w:rPr>
          <w:b/>
          <w:sz w:val="28"/>
        </w:rPr>
        <w:t>：</w:t>
      </w:r>
      <w:bookmarkEnd w:id="31"/>
    </w:p>
    <w:p>
      <w:pPr>
        <w:keepNext w:val="0"/>
        <w:keepLines w:val="0"/>
        <w:pageBreakBefore w:val="0"/>
        <w:widowControl w:val="0"/>
        <w:kinsoku/>
        <w:wordWrap/>
        <w:overflowPunct/>
        <w:topLinePunct w:val="0"/>
        <w:autoSpaceDE/>
        <w:autoSpaceDN/>
        <w:bidi w:val="0"/>
        <w:adjustRightInd/>
        <w:snapToGrid/>
        <w:ind w:firstLine="480"/>
        <w:textAlignment w:val="auto"/>
        <w:outlineLvl w:val="9"/>
        <w:rPr>
          <w:sz w:val="24"/>
          <w:szCs w:val="24"/>
        </w:rPr>
      </w:pPr>
      <w:r>
        <w:rPr>
          <w:sz w:val="24"/>
          <w:szCs w:val="24"/>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32" w:name="_Toc1308"/>
      <w:r>
        <w:rPr>
          <w:b/>
          <w:sz w:val="32"/>
          <w:szCs w:val="32"/>
        </w:rPr>
        <w:t>法定代表人证明书</w:t>
      </w:r>
      <w:bookmarkEnd w:id="32"/>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r>
        <w:rPr>
          <w:sz w:val="24"/>
          <w:szCs w:val="24"/>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供应商</w:t>
      </w:r>
      <w:r>
        <w:rPr>
          <w:rFonts w:hint="eastAsia"/>
          <w:sz w:val="24"/>
          <w:szCs w:val="24"/>
          <w:lang w:val="en-US" w:eastAsia="zh-CN"/>
        </w:rPr>
        <w:t>名称</w:t>
      </w:r>
      <w:r>
        <w:rPr>
          <w:rFonts w:hint="eastAsia"/>
          <w:sz w:val="24"/>
          <w:szCs w:val="24"/>
          <w:lang w:eastAsia="zh-CN"/>
        </w:rPr>
        <w:t>（</w:t>
      </w:r>
      <w:r>
        <w:rPr>
          <w:rFonts w:hint="eastAsia"/>
          <w:sz w:val="24"/>
          <w:szCs w:val="24"/>
          <w:lang w:val="en-US" w:eastAsia="zh-CN"/>
        </w:rPr>
        <w:t>盖公章</w:t>
      </w:r>
      <w:r>
        <w:rPr>
          <w:rFonts w:hint="eastAsia"/>
          <w:sz w:val="24"/>
          <w:szCs w:val="24"/>
          <w:lang w:eastAsia="zh-CN"/>
        </w:rPr>
        <w:t>）</w:t>
      </w:r>
      <w:r>
        <w:rPr>
          <w:sz w:val="24"/>
          <w:szCs w:val="24"/>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24"/>
        </w:rPr>
      </w:pPr>
      <w:r>
        <w:rPr>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3" w:name="_Toc31209"/>
      <w:r>
        <w:rPr>
          <w:b/>
          <w:sz w:val="28"/>
        </w:rPr>
        <w:t>格式</w:t>
      </w:r>
      <w:r>
        <w:rPr>
          <w:rFonts w:hint="eastAsia"/>
          <w:b/>
          <w:sz w:val="28"/>
          <w:lang w:val="en-US" w:eastAsia="zh-CN"/>
        </w:rPr>
        <w:t>五</w:t>
      </w:r>
      <w:r>
        <w:rPr>
          <w:b/>
          <w:sz w:val="28"/>
        </w:rPr>
        <w:t>：</w:t>
      </w:r>
      <w:bookmarkEnd w:id="3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34" w:name="_Toc26100"/>
      <w:r>
        <w:rPr>
          <w:b/>
          <w:sz w:val="32"/>
          <w:szCs w:val="32"/>
        </w:rPr>
        <w:t>法定代表人授权书格式</w:t>
      </w:r>
      <w:bookmarkEnd w:id="34"/>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sz w:val="32"/>
          <w:szCs w:val="32"/>
        </w:rPr>
      </w:pPr>
      <w:r>
        <w:rPr>
          <w:b/>
          <w:sz w:val="32"/>
          <w:szCs w:val="32"/>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szCs w:val="32"/>
          <w:lang w:eastAsia="zh-CN"/>
        </w:rPr>
      </w:pPr>
      <w:r>
        <w:rPr>
          <w:sz w:val="24"/>
          <w:szCs w:val="32"/>
        </w:rPr>
        <w:t>致：</w:t>
      </w:r>
      <w:r>
        <w:rPr>
          <w:rFonts w:hint="eastAsia"/>
          <w:sz w:val="24"/>
          <w:szCs w:val="32"/>
          <w:lang w:eastAsia="zh-CN"/>
        </w:rPr>
        <w:t>国家税务总局惠州仲恺高新技术产业开发区税务局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本授权书声明：________是注册于</w:t>
      </w:r>
      <w:r>
        <w:rPr>
          <w:sz w:val="24"/>
          <w:szCs w:val="32"/>
          <w:u w:val="single"/>
        </w:rPr>
        <w:t>（国家或地区）</w:t>
      </w:r>
      <w:r>
        <w:rPr>
          <w:sz w:val="24"/>
          <w:szCs w:val="32"/>
        </w:rPr>
        <w:t>的</w:t>
      </w:r>
      <w:r>
        <w:rPr>
          <w:sz w:val="24"/>
          <w:szCs w:val="32"/>
          <w:u w:val="single"/>
        </w:rPr>
        <w:t>（供应商名称）</w:t>
      </w:r>
      <w:r>
        <w:rPr>
          <w:sz w:val="24"/>
          <w:szCs w:val="32"/>
        </w:rPr>
        <w:t>的法定代表人，现任________职务，有效证件号码：________________。现授权</w:t>
      </w:r>
      <w:r>
        <w:rPr>
          <w:sz w:val="24"/>
          <w:szCs w:val="32"/>
          <w:u w:val="single"/>
        </w:rPr>
        <w:t>（姓名、职务）</w:t>
      </w:r>
      <w:r>
        <w:rPr>
          <w:sz w:val="24"/>
          <w:szCs w:val="32"/>
        </w:rPr>
        <w:t>作为我公司的全权代理人，就</w:t>
      </w:r>
      <w:r>
        <w:rPr>
          <w:rFonts w:hint="eastAsia"/>
          <w:sz w:val="24"/>
          <w:szCs w:val="32"/>
          <w:lang w:eastAsia="zh-CN"/>
        </w:rPr>
        <w:t>国家税务总局惠州仲恺高新技术产业开发区税务局围墙修建项目</w:t>
      </w:r>
      <w:r>
        <w:rPr>
          <w:sz w:val="24"/>
          <w:szCs w:val="32"/>
        </w:rPr>
        <w:t>采购</w:t>
      </w:r>
      <w:r>
        <w:rPr>
          <w:sz w:val="24"/>
          <w:szCs w:val="32"/>
          <w:highlight w:val="yellow"/>
        </w:rPr>
        <w:t>[采购项目编号为</w:t>
      </w:r>
      <w:r>
        <w:rPr>
          <w:rFonts w:hint="eastAsia"/>
          <w:sz w:val="24"/>
          <w:szCs w:val="32"/>
          <w:highlight w:val="yellow"/>
          <w:lang w:val="en-US" w:eastAsia="zh-CN"/>
        </w:rPr>
        <w:t xml:space="preserve">    </w:t>
      </w:r>
      <w:r>
        <w:rPr>
          <w:sz w:val="24"/>
          <w:szCs w:val="32"/>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供应商</w:t>
      </w:r>
      <w:r>
        <w:rPr>
          <w:rFonts w:hint="eastAsia"/>
          <w:sz w:val="24"/>
          <w:szCs w:val="32"/>
          <w:lang w:val="en-US" w:eastAsia="zh-CN"/>
        </w:rPr>
        <w:t>名称</w:t>
      </w:r>
      <w:r>
        <w:rPr>
          <w:rFonts w:hint="eastAsia"/>
          <w:sz w:val="24"/>
          <w:szCs w:val="32"/>
          <w:lang w:eastAsia="zh-CN"/>
        </w:rPr>
        <w:t>（</w:t>
      </w:r>
      <w:r>
        <w:rPr>
          <w:rFonts w:hint="eastAsia"/>
          <w:sz w:val="24"/>
          <w:szCs w:val="32"/>
          <w:lang w:val="en-US" w:eastAsia="zh-CN"/>
        </w:rPr>
        <w:t>盖公章</w:t>
      </w:r>
      <w:r>
        <w:rPr>
          <w:rFonts w:hint="eastAsia"/>
          <w:sz w:val="24"/>
          <w:szCs w:val="32"/>
          <w:lang w:eastAsia="zh-CN"/>
        </w:rPr>
        <w:t>）</w:t>
      </w:r>
      <w:r>
        <w:rPr>
          <w:sz w:val="24"/>
          <w:szCs w:val="32"/>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sz w:val="24"/>
          <w:szCs w:val="32"/>
        </w:rPr>
      </w:pPr>
      <w:r>
        <w:rPr>
          <w:sz w:val="24"/>
          <w:szCs w:val="32"/>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5" w:name="_Toc27437"/>
      <w:r>
        <w:rPr>
          <w:b/>
          <w:sz w:val="28"/>
        </w:rPr>
        <w:t>格式</w:t>
      </w:r>
      <w:r>
        <w:rPr>
          <w:rFonts w:hint="eastAsia"/>
          <w:b/>
          <w:sz w:val="28"/>
          <w:lang w:val="en-US" w:eastAsia="zh-CN"/>
        </w:rPr>
        <w:t>六</w:t>
      </w:r>
      <w:r>
        <w:rPr>
          <w:b/>
          <w:sz w:val="28"/>
        </w:rPr>
        <w:t>：</w:t>
      </w:r>
      <w:bookmarkEnd w:id="3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36" w:name="_Toc17768"/>
      <w:r>
        <w:rPr>
          <w:b/>
          <w:sz w:val="32"/>
          <w:szCs w:val="32"/>
        </w:rPr>
        <w:t>响应保证金</w:t>
      </w:r>
      <w:bookmarkEnd w:id="3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32"/>
        </w:rPr>
      </w:pPr>
      <w:r>
        <w:rPr>
          <w:sz w:val="24"/>
          <w:szCs w:val="32"/>
        </w:rPr>
        <w:t>响应文件要求递交响应保证金的，供应商应在此提供保证金的凭证的复印件。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7" w:name="_Toc26420"/>
      <w:r>
        <w:rPr>
          <w:b/>
          <w:sz w:val="28"/>
        </w:rPr>
        <w:t>格式</w:t>
      </w:r>
      <w:r>
        <w:rPr>
          <w:rFonts w:hint="eastAsia"/>
          <w:b/>
          <w:sz w:val="28"/>
          <w:lang w:val="en-US" w:eastAsia="zh-CN"/>
        </w:rPr>
        <w:t>七</w:t>
      </w:r>
      <w:r>
        <w:rPr>
          <w:b/>
          <w:sz w:val="28"/>
        </w:rPr>
        <w:t>：</w:t>
      </w:r>
      <w:bookmarkEnd w:id="37"/>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38" w:name="_Toc26052"/>
      <w:r>
        <w:rPr>
          <w:b/>
          <w:sz w:val="32"/>
          <w:szCs w:val="32"/>
        </w:rPr>
        <w:t>提供具有独立承担民事责任的能力的证明材料</w:t>
      </w:r>
      <w:bookmarkEnd w:id="38"/>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39" w:name="_Toc7657"/>
      <w:r>
        <w:rPr>
          <w:b/>
          <w:sz w:val="28"/>
        </w:rPr>
        <w:t>格式</w:t>
      </w:r>
      <w:r>
        <w:rPr>
          <w:rFonts w:hint="eastAsia"/>
          <w:b/>
          <w:sz w:val="28"/>
          <w:lang w:val="en-US" w:eastAsia="zh-CN"/>
        </w:rPr>
        <w:t>八</w:t>
      </w:r>
      <w:r>
        <w:rPr>
          <w:b/>
          <w:sz w:val="28"/>
        </w:rPr>
        <w:t>：</w:t>
      </w:r>
      <w:bookmarkEnd w:id="39"/>
    </w:p>
    <w:p>
      <w:pPr>
        <w:keepNext w:val="0"/>
        <w:keepLines w:val="0"/>
        <w:pageBreakBefore w:val="0"/>
        <w:widowControl w:val="0"/>
        <w:kinsoku/>
        <w:wordWrap/>
        <w:overflowPunct/>
        <w:topLinePunct w:val="0"/>
        <w:autoSpaceDE/>
        <w:autoSpaceDN/>
        <w:bidi w:val="0"/>
        <w:adjustRightInd/>
        <w:snapToGrid/>
        <w:jc w:val="center"/>
        <w:textAlignment w:val="auto"/>
        <w:outlineLvl w:val="2"/>
      </w:pPr>
      <w:bookmarkStart w:id="40" w:name="_Toc31472"/>
      <w:r>
        <w:rPr>
          <w:b/>
          <w:sz w:val="32"/>
          <w:szCs w:val="32"/>
        </w:rPr>
        <w:t>资格性审查要求的其他资质证明文件</w:t>
      </w:r>
      <w:bookmarkEnd w:id="4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设备和专业技术能力情况表</w:t>
      </w:r>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24"/>
              </w:rPr>
            </w:pPr>
            <w:r>
              <w:rPr>
                <w:rFonts w:hint="eastAsia" w:ascii="宋体" w:hAnsi="宋体" w:eastAsia="宋体" w:cs="宋体"/>
                <w:sz w:val="24"/>
                <w:szCs w:val="24"/>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outlineLvl w:val="1"/>
        <w:rPr>
          <w:b/>
          <w:sz w:val="28"/>
          <w:szCs w:val="28"/>
        </w:rPr>
      </w:pPr>
      <w:r>
        <w:rPr>
          <w:b/>
          <w:sz w:val="28"/>
        </w:rPr>
        <w:br w:type="page"/>
      </w:r>
      <w:bookmarkStart w:id="41" w:name="_Toc12458"/>
      <w:r>
        <w:rPr>
          <w:b/>
          <w:sz w:val="28"/>
          <w:szCs w:val="28"/>
        </w:rPr>
        <w:t>格式</w:t>
      </w:r>
      <w:r>
        <w:rPr>
          <w:rFonts w:hint="eastAsia"/>
          <w:b/>
          <w:sz w:val="28"/>
          <w:szCs w:val="28"/>
          <w:lang w:val="en-US" w:eastAsia="zh-CN"/>
        </w:rPr>
        <w:t>九</w:t>
      </w:r>
      <w:r>
        <w:rPr>
          <w:b/>
          <w:sz w:val="28"/>
          <w:szCs w:val="28"/>
        </w:rPr>
        <w:t>：</w:t>
      </w:r>
      <w:bookmarkEnd w:id="4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（对于采购需求写明“提供承诺”的条款，供应商可参照以下格式提供承诺）</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42" w:name="_Toc20860"/>
      <w:r>
        <w:rPr>
          <w:rFonts w:hint="eastAsia"/>
          <w:b/>
          <w:sz w:val="28"/>
          <w:szCs w:val="28"/>
        </w:rPr>
        <w:t>承诺函</w:t>
      </w:r>
      <w:bookmarkEnd w:id="4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致：国家税务总局惠州仲恺高新技术产业开发区税务局</w:t>
      </w:r>
      <w:r>
        <w:rPr>
          <w:rFonts w:hint="eastAsia"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对于__________________项目（项目编号：__________________），我方郑重承诺如下：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如中标/成交，我方承诺严格落实采购文件以下条款：(建议逐条复制采购文件相关条款原文)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（一）星号条款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（二）三角号条款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（三）非星号、非三角号条款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特此承诺。</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供应商名称（盖章）：__________________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  期：__________________</w:t>
      </w:r>
    </w:p>
    <w:p>
      <w:pPr>
        <w:ind w:firstLine="480"/>
      </w:pPr>
    </w:p>
    <w:p>
      <w:r>
        <w:t xml:space="preserve"> </w:t>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3" w:name="_Toc28594"/>
      <w:r>
        <w:rPr>
          <w:b/>
          <w:sz w:val="28"/>
          <w:szCs w:val="28"/>
        </w:rPr>
        <w:t>格式</w:t>
      </w:r>
      <w:r>
        <w:rPr>
          <w:rFonts w:hint="eastAsia"/>
          <w:b/>
          <w:sz w:val="28"/>
          <w:szCs w:val="28"/>
          <w:lang w:val="en-US" w:eastAsia="zh-CN"/>
        </w:rPr>
        <w:t>十</w:t>
      </w:r>
      <w:r>
        <w:rPr>
          <w:b/>
          <w:sz w:val="28"/>
          <w:szCs w:val="28"/>
        </w:rPr>
        <w:t>：</w:t>
      </w:r>
      <w:bookmarkEnd w:id="43"/>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中小企业声明函（所投产品制造商为中小企业时提交本函，所属行业应符合磋商文件中明确的本项目所属行业）</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44" w:name="_Toc32512"/>
      <w:r>
        <w:rPr>
          <w:rFonts w:hint="eastAsia"/>
          <w:b/>
          <w:sz w:val="28"/>
          <w:szCs w:val="28"/>
        </w:rPr>
        <w:t>中小企业声明函（货物）</w:t>
      </w:r>
      <w:bookmarkEnd w:id="44"/>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标的名称），属于（磋商文件中明确的所属行业）行业；制造商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标的名称），属于（磋商文件中明确的所属行业）行业；制造商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企业名称（盖章）：__________________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中小企业声明函（承建本项目工程为中小企业或者承接本项目服务为中小企业时提交本函，所属行业应符合磋商文件中明确的本项目所属行业）</w:t>
      </w:r>
      <w:r>
        <w:rPr>
          <w:rFonts w:hint="eastAsia" w:ascii="宋体" w:hAnsi="宋体" w:eastAsia="宋体" w:cs="宋体"/>
          <w:sz w:val="24"/>
          <w:szCs w:val="24"/>
          <w:lang w:eastAsia="zh-CN"/>
        </w:rPr>
        <w:t>。</w:t>
      </w:r>
    </w:p>
    <w:p>
      <w:pPr>
        <w:rPr>
          <w:b/>
          <w:sz w:val="24"/>
        </w:rPr>
      </w:pPr>
      <w:r>
        <w:rPr>
          <w:b/>
          <w:sz w:val="24"/>
        </w:rPr>
        <w:br w:type="page"/>
      </w:r>
    </w:p>
    <w:p>
      <w:pPr>
        <w:jc w:val="center"/>
        <w:rPr>
          <w:sz w:val="28"/>
          <w:szCs w:val="28"/>
        </w:rPr>
      </w:pPr>
      <w:r>
        <w:rPr>
          <w:b/>
          <w:sz w:val="28"/>
          <w:szCs w:val="28"/>
        </w:rPr>
        <w:t>中小企业声明函（工程、服务）</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标的名称），属于（磋商文件中明确的所属行业）行业；承建（承接）企业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标的名称），属于（磋商文件中明确的所属行业）行业；承建（承接）企业为（企业名称），从业人员__________________人，营业收入为__________________万元，资产总额为__________________万元1，属于（中型企业、小型企业、微型企业）；</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企业名称（盖章）：__________________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2：供应商应当自行核实是否属于小微企业，并认真填写声明函，若有虚假将追究其责任。</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5" w:name="_Toc3954"/>
      <w:r>
        <w:rPr>
          <w:b/>
          <w:sz w:val="28"/>
          <w:szCs w:val="28"/>
        </w:rPr>
        <w:t>格式十</w:t>
      </w:r>
      <w:r>
        <w:rPr>
          <w:rFonts w:hint="eastAsia"/>
          <w:b/>
          <w:sz w:val="28"/>
          <w:szCs w:val="28"/>
          <w:lang w:val="en-US" w:eastAsia="zh-CN"/>
        </w:rPr>
        <w:t>一</w:t>
      </w:r>
      <w:r>
        <w:rPr>
          <w:b/>
          <w:sz w:val="28"/>
          <w:szCs w:val="28"/>
        </w:rPr>
        <w:t>：</w:t>
      </w:r>
      <w:bookmarkEnd w:id="45"/>
    </w:p>
    <w:p>
      <w:pPr>
        <w:spacing w:line="360" w:lineRule="auto"/>
        <w:ind w:firstLine="480"/>
        <w:rPr>
          <w:sz w:val="24"/>
          <w:szCs w:val="24"/>
        </w:rPr>
      </w:pPr>
      <w:r>
        <w:rPr>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b/>
          <w:sz w:val="28"/>
          <w:szCs w:val="28"/>
        </w:rPr>
      </w:pPr>
      <w:bookmarkStart w:id="46" w:name="_Toc28282"/>
      <w:r>
        <w:rPr>
          <w:b/>
          <w:sz w:val="28"/>
          <w:szCs w:val="28"/>
        </w:rPr>
        <w:t>监狱企业</w:t>
      </w:r>
      <w:bookmarkEnd w:id="46"/>
    </w:p>
    <w:p>
      <w:pPr>
        <w:spacing w:line="360" w:lineRule="auto"/>
        <w:ind w:firstLine="480"/>
        <w:rPr>
          <w:sz w:val="24"/>
          <w:szCs w:val="24"/>
        </w:rPr>
      </w:pPr>
      <w:r>
        <w:rPr>
          <w:sz w:val="24"/>
          <w:szCs w:val="24"/>
        </w:rPr>
        <w:t>提供由监狱管理局、戒毒管理局（含新疆生产建设兵团）出具的属于监狱企业的证明文件。</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7" w:name="_Toc32254"/>
      <w:r>
        <w:rPr>
          <w:b/>
          <w:sz w:val="28"/>
          <w:szCs w:val="28"/>
        </w:rPr>
        <w:t>格式十</w:t>
      </w:r>
      <w:r>
        <w:rPr>
          <w:rFonts w:hint="eastAsia"/>
          <w:b/>
          <w:sz w:val="28"/>
          <w:szCs w:val="28"/>
          <w:lang w:val="en-US" w:eastAsia="zh-CN"/>
        </w:rPr>
        <w:t>二</w:t>
      </w:r>
      <w:r>
        <w:rPr>
          <w:b/>
          <w:sz w:val="28"/>
          <w:szCs w:val="28"/>
        </w:rPr>
        <w:t>：</w:t>
      </w:r>
      <w:bookmarkEnd w:id="47"/>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48" w:name="_Toc28810"/>
      <w:r>
        <w:rPr>
          <w:rFonts w:hint="eastAsia"/>
          <w:b/>
          <w:sz w:val="28"/>
          <w:szCs w:val="28"/>
        </w:rPr>
        <w:t>残疾人福利性单位声明函</w:t>
      </w:r>
      <w:bookmarkEnd w:id="48"/>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单位名称（盖章）：__________________</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注：本函未填写或未勾选视作未做声明。</w:t>
      </w:r>
    </w:p>
    <w:p>
      <w:pPr>
        <w:ind w:firstLine="480"/>
      </w:pPr>
    </w:p>
    <w:p>
      <w:r>
        <w:t xml:space="preserve"> </w:t>
      </w:r>
    </w:p>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49" w:name="_Toc204"/>
      <w:r>
        <w:rPr>
          <w:b/>
          <w:sz w:val="28"/>
          <w:szCs w:val="28"/>
        </w:rPr>
        <w:t>格式十</w:t>
      </w:r>
      <w:r>
        <w:rPr>
          <w:rFonts w:hint="eastAsia"/>
          <w:b/>
          <w:sz w:val="28"/>
          <w:szCs w:val="28"/>
          <w:lang w:val="en-US" w:eastAsia="zh-CN"/>
        </w:rPr>
        <w:t>三</w:t>
      </w:r>
      <w:r>
        <w:rPr>
          <w:b/>
          <w:sz w:val="28"/>
          <w:szCs w:val="28"/>
        </w:rPr>
        <w:t>：</w:t>
      </w:r>
      <w:bookmarkEnd w:id="49"/>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50" w:name="_Toc30407"/>
      <w:r>
        <w:rPr>
          <w:rFonts w:hint="eastAsia"/>
          <w:b/>
          <w:sz w:val="28"/>
          <w:szCs w:val="28"/>
        </w:rPr>
        <w:t>联合体共同响应协议书</w:t>
      </w:r>
      <w:bookmarkEnd w:id="50"/>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立约方：</w:t>
      </w:r>
      <w:r>
        <w:rPr>
          <w:rFonts w:hint="eastAsia" w:ascii="宋体" w:hAnsi="宋体" w:eastAsia="宋体" w:cs="宋体"/>
          <w:sz w:val="24"/>
          <w:szCs w:val="24"/>
          <w:u w:val="single"/>
        </w:rPr>
        <w:t>（甲公司全称）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（乙公司全称）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（……公司全称）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自愿组成联合体，以一个供应商的身份共同参加（采购项目名称）（采购项目编号）的响应活动。经各方充分协商一致，就项目的响应和合同实施阶段的有关事务协商一致订立协议如下：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一、联合体各方关系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（甲公司全称）、（乙公司全称）、（……公司全称）</w:t>
      </w:r>
      <w:r>
        <w:rPr>
          <w:rFonts w:hint="eastAsia" w:ascii="宋体" w:hAnsi="宋体" w:eastAsia="宋体" w:cs="宋体"/>
          <w:sz w:val="24"/>
          <w:szCs w:val="24"/>
        </w:rPr>
        <w:t>共同组成一个联合体，以一个供应商的身份共同参加本项目的响应。（甲公司全称）、（乙公司全称）、（……公司全称）作为联合体成员，若成交，联合体各方共同与（采购人）签订政府采购合同。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二、联合体内部有关事项约定如下：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1.（甲公司全称）作为联合体的牵头单位，代表联合体双方负责响应和合同实施阶段的主办、协调工作。</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2.联合体将严格按照文件的各项要求，递交响应文件，切实执行一切合同文件，共同承担合同规定的一切义务和责任，同时按照内部职责的划分，承担自身所负的责任和风险，在法律在承担连带责任。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3.如果本联合体成交，（甲公司全称）负责本项目___________部分，（乙公司全称）负责本项目___________部分。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4.如成交，联合体各方共同与（采购人）签订合同书，并就成交项目向采购人负责有连带的和各自的法律责任；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5.联合体成员（公司全称）为（请填写：小型、微型）企业，将承担合同总金额____%的工作内容（联合体成员中有小型、微型企业时适用）。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四、联合体如因违约过失责任而导致采购人经济损失或被索赔时，本联合体任何一方均同意无条件优先清偿采购人的一切债务和经济赔偿。</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五、本协议在自签署之日起生效，有效期内有效，如获成交资格，合同有效期延续至合同履行完毕之日。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六、本协议书正本一式____份，随响应文件装订____份，送采购人____份，联合体成员各一份；副本一式____份，联合体成员各执____份。</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甲公司全称：____（盖章）________，乙公司全称：____（盖章）________，……公司全称：____（盖章）________，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____年____月____日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注：1．联合响应时需签本协议，联合体各方成员应在本协议上共同盖章确认。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2．本协议内容不得擅自修改。此协议将作为签订合同的附件之一。</w:t>
      </w:r>
    </w:p>
    <w:p>
      <w:pPr>
        <w:pStyle w:val="2"/>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51" w:name="_Toc17729"/>
      <w:r>
        <w:rPr>
          <w:b/>
          <w:sz w:val="28"/>
        </w:rPr>
        <w:t>格式</w:t>
      </w:r>
      <w:r>
        <w:rPr>
          <w:rFonts w:hint="eastAsia"/>
          <w:b/>
          <w:sz w:val="28"/>
          <w:lang w:val="en-US" w:eastAsia="zh-CN"/>
        </w:rPr>
        <w:t>十四</w:t>
      </w:r>
      <w:r>
        <w:rPr>
          <w:b/>
          <w:sz w:val="28"/>
        </w:rPr>
        <w:t>：</w:t>
      </w:r>
      <w:bookmarkEnd w:id="51"/>
    </w:p>
    <w:p>
      <w:pPr>
        <w:keepNext w:val="0"/>
        <w:keepLines w:val="0"/>
        <w:pageBreakBefore w:val="0"/>
        <w:widowControl w:val="0"/>
        <w:kinsoku/>
        <w:wordWrap/>
        <w:overflowPunct/>
        <w:topLinePunct w:val="0"/>
        <w:autoSpaceDE/>
        <w:autoSpaceDN/>
        <w:bidi w:val="0"/>
        <w:adjustRightInd/>
        <w:snapToGrid/>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52" w:name="_Toc6784"/>
      <w:r>
        <w:rPr>
          <w:b/>
          <w:sz w:val="32"/>
          <w:szCs w:val="32"/>
        </w:rPr>
        <w:t>响应供应商业绩情况表</w:t>
      </w:r>
      <w:bookmarkEnd w:id="52"/>
    </w:p>
    <w:tbl>
      <w:tblPr>
        <w:tblStyle w:val="13"/>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53" w:name="_Toc8940"/>
      <w:r>
        <w:rPr>
          <w:b/>
          <w:sz w:val="28"/>
        </w:rPr>
        <w:t>格式</w:t>
      </w:r>
      <w:r>
        <w:rPr>
          <w:rFonts w:hint="eastAsia"/>
          <w:b/>
          <w:sz w:val="28"/>
          <w:lang w:val="en-US" w:eastAsia="zh-CN"/>
        </w:rPr>
        <w:t>十五</w:t>
      </w:r>
      <w:r>
        <w:rPr>
          <w:b/>
          <w:sz w:val="28"/>
        </w:rPr>
        <w:t>：</w:t>
      </w:r>
      <w:bookmarkEnd w:id="53"/>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54" w:name="_Toc21149"/>
      <w:r>
        <w:rPr>
          <w:b/>
          <w:sz w:val="32"/>
          <w:szCs w:val="32"/>
        </w:rPr>
        <w:t>《技术和服务要求响应表》</w:t>
      </w:r>
      <w:bookmarkEnd w:id="54"/>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1032"/>
        <w:gridCol w:w="1032"/>
        <w:gridCol w:w="1032"/>
        <w:gridCol w:w="1032"/>
        <w:gridCol w:w="1032"/>
        <w:gridCol w:w="1032"/>
        <w:gridCol w:w="1032"/>
        <w:gridCol w:w="10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标的名称</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参数性质</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磋商文件规定的技术和服务要求</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响应文件响应的具体内容</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型号</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是否偏离</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证明文件所在位置</w:t>
            </w:r>
          </w:p>
        </w:tc>
        <w:tc>
          <w:tcPr>
            <w:tcW w:w="555"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4</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5</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6</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w:t>
            </w: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c>
          <w:tcPr>
            <w:tcW w:w="555"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1.“磋商文件规定的技术和服务要求”项下填写的内容应与磋商文件中采购需求的</w:t>
      </w:r>
      <w:r>
        <w:tab/>
      </w:r>
      <w:r>
        <w:tab/>
      </w:r>
      <w:r>
        <w:t xml:space="preserve"> “技术</w:t>
      </w:r>
      <w:r>
        <w:rPr>
          <w:rFonts w:hint="eastAsia"/>
          <w:lang w:val="en-US" w:eastAsia="zh-CN"/>
        </w:rPr>
        <w:t>标准与</w:t>
      </w:r>
      <w:r>
        <w:t>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3.“是否偏离”项下应按下列规定填写：优于的，填写“正偏离”；符合的，填写“无偏离”；低于的，填写“负偏离”。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4.“备注”处可填写偏离情况的说明。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55" w:name="_Toc1120"/>
      <w:r>
        <w:rPr>
          <w:b/>
          <w:sz w:val="28"/>
        </w:rPr>
        <w:t>格式十</w:t>
      </w:r>
      <w:r>
        <w:rPr>
          <w:rFonts w:hint="eastAsia"/>
          <w:b/>
          <w:sz w:val="28"/>
          <w:lang w:val="en-US" w:eastAsia="zh-CN"/>
        </w:rPr>
        <w:t>六</w:t>
      </w:r>
      <w:r>
        <w:rPr>
          <w:b/>
          <w:sz w:val="28"/>
        </w:rPr>
        <w:t>：</w:t>
      </w:r>
      <w:bookmarkEnd w:id="55"/>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56" w:name="_Toc6530"/>
      <w:r>
        <w:rPr>
          <w:b/>
          <w:sz w:val="32"/>
          <w:szCs w:val="32"/>
        </w:rPr>
        <w:t>《商务条件响应表》</w:t>
      </w:r>
      <w:bookmarkEnd w:id="56"/>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5"/>
        <w:gridCol w:w="1326"/>
        <w:gridCol w:w="1326"/>
        <w:gridCol w:w="1326"/>
        <w:gridCol w:w="1326"/>
        <w:gridCol w:w="1326"/>
        <w:gridCol w:w="13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参数性质</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磋商文件规定的商务条件</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响应文件响应的具体内容</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是否偏离</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证明文件所在位置</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4</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5</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6</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7</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8</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9</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w:t>
            </w: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c>
          <w:tcPr>
            <w:tcW w:w="714"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1.“磋商文件规定的商务条件”项下填写的内容应与磋商文件中采购需求的 “</w:t>
      </w:r>
      <w:r>
        <w:rPr>
          <w:rFonts w:hint="eastAsia"/>
          <w:lang w:val="en-US" w:eastAsia="zh-CN"/>
        </w:rPr>
        <w:t>主要</w:t>
      </w:r>
      <w:r>
        <w:t>商务要求”的内容保持一致。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3.参数性质栏标注“★”、“▲”号条款标志，</w:t>
      </w:r>
      <w:r>
        <w:tab/>
      </w:r>
      <w:r>
        <w:tab/>
      </w:r>
      <w:r>
        <w:t xml:space="preserve"> 打“★”号条款为实质性条款，若有任何一条负偏离或不满足则导致响应无效。打“▲”号条款为重要技术参数（如有），若有部分“▲”条款未响应或不满足，将根据评审要求影响其得分，但不作为无效响应条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4.“是否偏离”项下应按下列规定填写：优于的，填写“正偏离”；符合的，填写“无偏离”；低于的，填写“负偏离”。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5.“备注”处可填写偏离情况的说明。</w:t>
      </w:r>
    </w:p>
    <w:p>
      <w: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57" w:name="_Toc21512"/>
      <w:r>
        <w:rPr>
          <w:b/>
          <w:sz w:val="28"/>
          <w:szCs w:val="28"/>
        </w:rPr>
        <w:t>格式十</w:t>
      </w:r>
      <w:r>
        <w:rPr>
          <w:rFonts w:hint="eastAsia"/>
          <w:b/>
          <w:sz w:val="28"/>
          <w:szCs w:val="28"/>
          <w:lang w:val="en-US" w:eastAsia="zh-CN"/>
        </w:rPr>
        <w:t>七</w:t>
      </w:r>
      <w:r>
        <w:rPr>
          <w:b/>
          <w:sz w:val="28"/>
          <w:szCs w:val="28"/>
        </w:rPr>
        <w:t>：</w:t>
      </w:r>
      <w:bookmarkEnd w:id="57"/>
    </w:p>
    <w:p>
      <w:pPr>
        <w:ind w:firstLine="480"/>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58" w:name="_Toc2854"/>
      <w:r>
        <w:rPr>
          <w:rFonts w:hint="eastAsia"/>
          <w:b/>
          <w:sz w:val="28"/>
          <w:szCs w:val="28"/>
        </w:rPr>
        <w:t>履约进度计划表</w:t>
      </w:r>
      <w:bookmarkEnd w:id="58"/>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拟定时间安排</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计划完成的工作内容</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拟定___年___月___日</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签订合同并生效</w:t>
            </w: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p>
        </w:tc>
        <w:tc>
          <w:tcPr>
            <w:tcW w:w="1250" w:type="pct"/>
            <w:vAlign w:val="center"/>
          </w:tcPr>
          <w:p>
            <w:pPr>
              <w:jc w:val="cente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003"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___月___日—___月___日</w:t>
            </w:r>
          </w:p>
        </w:tc>
        <w:tc>
          <w:tcPr>
            <w:tcW w:w="1250"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1250" w:type="pct"/>
            <w:vAlign w:val="center"/>
          </w:tcPr>
          <w:p>
            <w:pPr>
              <w:jc w:val="center"/>
              <w:rPr>
                <w:rFonts w:hint="eastAsia" w:ascii="宋体" w:hAnsi="宋体" w:eastAsia="宋体" w:cs="宋体"/>
                <w:sz w:val="24"/>
                <w:szCs w:val="24"/>
              </w:rPr>
            </w:pPr>
          </w:p>
        </w:tc>
      </w:tr>
    </w:tbl>
    <w:p>
      <w:pPr>
        <w:ind w:firstLine="480"/>
      </w:pPr>
    </w:p>
    <w:p>
      <w:pPr>
        <w:pStyle w:val="2"/>
      </w:pP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59" w:name="_Toc29801"/>
      <w:r>
        <w:rPr>
          <w:b/>
          <w:sz w:val="28"/>
        </w:rPr>
        <w:t>格式十</w:t>
      </w:r>
      <w:r>
        <w:rPr>
          <w:rFonts w:hint="eastAsia"/>
          <w:b/>
          <w:sz w:val="28"/>
          <w:lang w:val="en-US" w:eastAsia="zh-CN"/>
        </w:rPr>
        <w:t>八</w:t>
      </w:r>
      <w:r>
        <w:rPr>
          <w:b/>
          <w:sz w:val="28"/>
        </w:rPr>
        <w:t>：</w:t>
      </w:r>
      <w:bookmarkEnd w:id="5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sz w:val="32"/>
          <w:szCs w:val="32"/>
        </w:rPr>
      </w:pPr>
      <w:bookmarkStart w:id="60" w:name="_Toc1209"/>
      <w:r>
        <w:rPr>
          <w:b/>
          <w:sz w:val="32"/>
          <w:szCs w:val="32"/>
        </w:rPr>
        <w:t>各类证明材料</w:t>
      </w:r>
      <w:bookmarkEnd w:id="60"/>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p>
      <w:pPr>
        <w:spacing w:line="360" w:lineRule="auto"/>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61" w:name="_Toc18352"/>
      <w:r>
        <w:rPr>
          <w:b/>
          <w:sz w:val="28"/>
        </w:rPr>
        <w:t>格式</w:t>
      </w:r>
      <w:r>
        <w:rPr>
          <w:rFonts w:hint="eastAsia"/>
          <w:b/>
          <w:sz w:val="28"/>
          <w:lang w:val="en-US" w:eastAsia="zh-CN"/>
        </w:rPr>
        <w:t>十九</w:t>
      </w:r>
      <w:r>
        <w:rPr>
          <w:b/>
          <w:sz w:val="28"/>
        </w:rPr>
        <w:t>：</w:t>
      </w:r>
      <w:bookmarkEnd w:id="61"/>
    </w:p>
    <w:p>
      <w:pPr>
        <w:keepNext w:val="0"/>
        <w:keepLines w:val="0"/>
        <w:pageBreakBefore w:val="0"/>
        <w:widowControl w:val="0"/>
        <w:kinsoku/>
        <w:wordWrap/>
        <w:overflowPunct/>
        <w:topLinePunct w:val="0"/>
        <w:autoSpaceDE/>
        <w:autoSpaceDN/>
        <w:bidi w:val="0"/>
        <w:adjustRightInd/>
        <w:snapToGrid/>
        <w:ind w:firstLine="480"/>
        <w:textAlignment w:val="auto"/>
        <w:outlineLvl w:val="9"/>
      </w:pPr>
      <w: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sz w:val="32"/>
          <w:szCs w:val="32"/>
        </w:rPr>
      </w:pPr>
      <w:bookmarkStart w:id="62" w:name="_Toc23175"/>
      <w:r>
        <w:rPr>
          <w:b/>
          <w:sz w:val="32"/>
          <w:szCs w:val="32"/>
        </w:rPr>
        <w:t>需要采购人提供的附加条件</w:t>
      </w:r>
      <w:bookmarkEnd w:id="62"/>
    </w:p>
    <w:tbl>
      <w:tblPr>
        <w:tblStyle w:val="13"/>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r>
              <w:rPr>
                <w:rFonts w:hint="eastAsia" w:ascii="宋体" w:hAnsi="宋体" w:eastAsia="宋体" w:cs="宋体"/>
                <w:sz w:val="24"/>
                <w:szCs w:val="32"/>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32"/>
              </w:rPr>
            </w:pPr>
            <w:r>
              <w:rPr>
                <w:rFonts w:hint="eastAsia" w:ascii="宋体" w:hAnsi="宋体" w:eastAsia="宋体" w:cs="宋体"/>
                <w:sz w:val="24"/>
                <w:szCs w:val="32"/>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4"/>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pPr>
      <w: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pP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b/>
          <w:sz w:val="28"/>
        </w:rPr>
      </w:pPr>
      <w:r>
        <w:rPr>
          <w:b/>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1"/>
      </w:pPr>
      <w:bookmarkStart w:id="63" w:name="_Toc10369"/>
      <w:r>
        <w:rPr>
          <w:b/>
          <w:sz w:val="28"/>
        </w:rPr>
        <w:t>格式</w:t>
      </w:r>
      <w:r>
        <w:rPr>
          <w:rFonts w:hint="eastAsia"/>
          <w:b/>
          <w:sz w:val="28"/>
          <w:lang w:val="en-US" w:eastAsia="zh-CN"/>
        </w:rPr>
        <w:t>二十</w:t>
      </w:r>
      <w:r>
        <w:rPr>
          <w:b/>
          <w:sz w:val="28"/>
        </w:rPr>
        <w:t>：</w:t>
      </w:r>
      <w:bookmarkEnd w:id="63"/>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sz w:val="32"/>
          <w:szCs w:val="32"/>
          <w:lang w:val="en-US" w:eastAsia="zh-CN"/>
        </w:rPr>
      </w:pPr>
      <w:bookmarkStart w:id="64" w:name="_Toc7683"/>
      <w:r>
        <w:rPr>
          <w:rFonts w:hint="eastAsia"/>
          <w:b/>
          <w:bCs/>
          <w:sz w:val="32"/>
          <w:szCs w:val="32"/>
          <w:lang w:val="en-US" w:eastAsia="zh-CN"/>
        </w:rPr>
        <w:t>技术方案</w:t>
      </w:r>
      <w:bookmarkEnd w:id="64"/>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sz w:val="24"/>
          <w:szCs w:val="32"/>
        </w:rPr>
      </w:pPr>
      <w:r>
        <w:rPr>
          <w:rFonts w:hint="eastAsia" w:ascii="宋体" w:hAnsi="宋体" w:eastAsia="宋体" w:cs="宋体"/>
          <w:sz w:val="24"/>
          <w:szCs w:val="32"/>
          <w:lang w:val="en-US" w:eastAsia="zh-CN"/>
        </w:rPr>
        <w:t>自行</w:t>
      </w:r>
      <w:r>
        <w:rPr>
          <w:rFonts w:hint="eastAsia" w:ascii="宋体" w:hAnsi="宋体" w:eastAsia="宋体" w:cs="宋体"/>
          <w:sz w:val="24"/>
          <w:szCs w:val="32"/>
        </w:rPr>
        <w:t>编制</w:t>
      </w:r>
      <w:r>
        <w:rPr>
          <w:rFonts w:hint="eastAsia" w:ascii="宋体" w:hAnsi="宋体" w:eastAsia="宋体" w:cs="宋体"/>
          <w:sz w:val="24"/>
          <w:szCs w:val="32"/>
          <w:lang w:val="en-US" w:eastAsia="zh-CN"/>
        </w:rPr>
        <w:t>技术方案</w:t>
      </w:r>
      <w:r>
        <w:rPr>
          <w:rFonts w:hint="eastAsia" w:ascii="宋体" w:hAnsi="宋体" w:eastAsia="宋体" w:cs="宋体"/>
          <w:sz w:val="24"/>
          <w:szCs w:val="32"/>
        </w:rPr>
        <w:t>(格式自拟，应控制在</w:t>
      </w:r>
      <w:r>
        <w:rPr>
          <w:rFonts w:hint="eastAsia" w:ascii="宋体" w:hAnsi="宋体" w:eastAsia="宋体" w:cs="宋体"/>
          <w:sz w:val="24"/>
          <w:szCs w:val="32"/>
          <w:lang w:val="en-US" w:eastAsia="zh-CN"/>
        </w:rPr>
        <w:t>2</w:t>
      </w:r>
      <w:r>
        <w:rPr>
          <w:rFonts w:hint="eastAsia" w:ascii="宋体" w:hAnsi="宋体" w:eastAsia="宋体" w:cs="宋体"/>
          <w:sz w:val="24"/>
          <w:szCs w:val="32"/>
        </w:rPr>
        <w:t>00页以内)</w:t>
      </w:r>
    </w:p>
    <w:p>
      <w:pPr>
        <w:keepNext w:val="0"/>
        <w:keepLines w:val="0"/>
        <w:pageBreakBefore w:val="0"/>
        <w:widowControl w:val="0"/>
        <w:kinsoku/>
        <w:wordWrap/>
        <w:overflowPunct/>
        <w:topLinePunct w:val="0"/>
        <w:autoSpaceDE/>
        <w:autoSpaceDN/>
        <w:bidi w:val="0"/>
        <w:adjustRightInd/>
        <w:snapToGrid/>
        <w:textAlignment w:val="auto"/>
        <w:outlineLvl w:val="9"/>
      </w:pPr>
      <w:r>
        <w:t xml:space="preserve"> </w:t>
      </w:r>
    </w:p>
    <w:p>
      <w:pPr>
        <w:keepNext w:val="0"/>
        <w:keepLines w:val="0"/>
        <w:pageBreakBefore w:val="0"/>
        <w:widowControl w:val="0"/>
        <w:kinsoku/>
        <w:wordWrap/>
        <w:overflowPunct/>
        <w:topLinePunct w:val="0"/>
        <w:autoSpaceDE/>
        <w:autoSpaceDN/>
        <w:bidi w:val="0"/>
        <w:adjustRightInd/>
        <w:snapToGrid/>
        <w:textAlignment w:val="auto"/>
        <w:outlineLvl w:val="9"/>
      </w:pPr>
    </w:p>
    <w:p>
      <w:pPr>
        <w:rPr>
          <w:rFonts w:hint="eastAsia"/>
          <w:lang w:val="en-US" w:eastAsia="zh-Hans"/>
        </w:rPr>
      </w:pPr>
      <w:r>
        <w:rPr>
          <w:rFonts w:hint="eastAsia"/>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sz w:val="28"/>
          <w:szCs w:val="28"/>
        </w:rPr>
      </w:pPr>
      <w:bookmarkStart w:id="65" w:name="_Toc1630"/>
      <w:r>
        <w:rPr>
          <w:b/>
          <w:sz w:val="28"/>
          <w:szCs w:val="28"/>
        </w:rPr>
        <w:t>格式二十</w:t>
      </w:r>
      <w:r>
        <w:rPr>
          <w:rFonts w:hint="eastAsia"/>
          <w:b/>
          <w:sz w:val="28"/>
          <w:szCs w:val="28"/>
          <w:lang w:val="en-US" w:eastAsia="zh-CN"/>
        </w:rPr>
        <w:t>一</w:t>
      </w:r>
      <w:r>
        <w:rPr>
          <w:b/>
          <w:sz w:val="28"/>
          <w:szCs w:val="28"/>
        </w:rPr>
        <w:t>：</w:t>
      </w:r>
      <w:bookmarkEnd w:id="65"/>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sz w:val="28"/>
          <w:szCs w:val="28"/>
        </w:rPr>
      </w:pPr>
      <w:bookmarkStart w:id="66" w:name="_Toc32029"/>
      <w:r>
        <w:rPr>
          <w:rFonts w:hint="eastAsia"/>
          <w:b/>
          <w:sz w:val="28"/>
          <w:szCs w:val="28"/>
        </w:rPr>
        <w:t>询问函、质疑函、投诉书格式</w:t>
      </w:r>
      <w:bookmarkEnd w:id="66"/>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sz w:val="24"/>
          <w:lang w:eastAsia="zh-CN"/>
        </w:rPr>
      </w:pPr>
      <w:r>
        <w:rPr>
          <w:rFonts w:hint="eastAsia"/>
          <w:b/>
          <w:sz w:val="24"/>
        </w:rPr>
        <w:t>国家税务总局惠州仲恺高新技术产业开发区税务局</w:t>
      </w:r>
      <w:r>
        <w:rPr>
          <w:rFonts w:hint="eastAsia"/>
          <w:b/>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我单位已登记并准备参与“国家税务总局惠州仲恺高新技术产业开发区税务局围墙修建项目”项目（采购项目编号：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日  期：__________________</w:t>
      </w:r>
    </w:p>
    <w:p>
      <w:pPr>
        <w:ind w:firstLine="480"/>
      </w:pPr>
    </w:p>
    <w:p>
      <w:r>
        <w:t xml:space="preserve"> </w:t>
      </w:r>
    </w:p>
    <w:p/>
    <w:p>
      <w:pPr>
        <w:rPr>
          <w:b/>
          <w:sz w:val="24"/>
        </w:rPr>
      </w:pPr>
      <w:r>
        <w:rPr>
          <w:b/>
          <w:sz w:val="24"/>
        </w:rPr>
        <w:br w:type="page"/>
      </w:r>
    </w:p>
    <w:p>
      <w:pPr>
        <w:jc w:val="center"/>
      </w:pPr>
      <w:r>
        <w:rPr>
          <w:b/>
          <w:sz w:val="24"/>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ind w:firstLine="480"/>
      </w:pPr>
    </w:p>
    <w:p>
      <w:r>
        <w:t xml:space="preserve"> </w:t>
      </w:r>
    </w:p>
    <w:p/>
    <w:p>
      <w:pPr>
        <w:rPr>
          <w:b/>
          <w:sz w:val="24"/>
        </w:rPr>
      </w:pPr>
      <w:r>
        <w:rPr>
          <w:b/>
          <w:sz w:val="24"/>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磋商文件公告: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采购结果公告:</w:t>
      </w:r>
      <w:r>
        <w:rPr>
          <w:rFonts w:hint="eastAsia" w:ascii="宋体" w:hAnsi="宋体" w:eastAsia="宋体" w:cs="宋体"/>
          <w:sz w:val="24"/>
          <w:szCs w:val="24"/>
          <w:u w:val="single"/>
        </w:rPr>
        <w:t>是/否</w:t>
      </w:r>
      <w:r>
        <w:rPr>
          <w:rFonts w:hint="eastAsia" w:ascii="宋体" w:hAnsi="宋体" w:eastAsia="宋体" w:cs="宋体"/>
          <w:sz w:val="24"/>
          <w:szCs w:val="24"/>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u w:val="single"/>
        </w:rPr>
        <w:t>采购人</w:t>
      </w:r>
      <w:r>
        <w:rPr>
          <w:rFonts w:hint="eastAsia" w:ascii="宋体" w:hAnsi="宋体" w:eastAsia="宋体" w:cs="宋体"/>
          <w:sz w:val="24"/>
          <w:szCs w:val="24"/>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7.投诉人为自然人的，投诉书应当由本人签字；投诉人为法人或者其他组织的，投诉书应当由法定代表人、主要负责人，或者其授权代表签字或者盖章，并加盖公章。</w:t>
      </w:r>
    </w:p>
    <w:p>
      <w:pPr>
        <w:pStyle w:val="2"/>
        <w:rPr>
          <w:rFonts w:hint="eastAsia"/>
          <w:lang w:val="en-US" w:eastAsia="zh-Hans"/>
        </w:rPr>
      </w:pPr>
    </w:p>
    <w:sectPr>
      <w:footerReference r:id="rId3" w:type="default"/>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0000500000000020000"/>
    <w:charset w:val="00"/>
    <w:family w:val="roman"/>
    <w:pitch w:val="default"/>
    <w:sig w:usb0="00000000" w:usb1="00000000"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608B6"/>
    <w:multiLevelType w:val="singleLevel"/>
    <w:tmpl w:val="AC8608B6"/>
    <w:lvl w:ilvl="0" w:tentative="0">
      <w:start w:val="1"/>
      <w:numFmt w:val="chineseCounting"/>
      <w:suff w:val="nothing"/>
      <w:lvlText w:val="（%1）"/>
      <w:lvlJc w:val="left"/>
      <w:pPr>
        <w:ind w:left="0" w:firstLine="420"/>
      </w:pPr>
      <w:rPr>
        <w:rFonts w:hint="eastAsia"/>
      </w:rPr>
    </w:lvl>
  </w:abstractNum>
  <w:abstractNum w:abstractNumId="1">
    <w:nsid w:val="D02B6876"/>
    <w:multiLevelType w:val="singleLevel"/>
    <w:tmpl w:val="D02B6876"/>
    <w:lvl w:ilvl="0" w:tentative="0">
      <w:start w:val="1"/>
      <w:numFmt w:val="decimal"/>
      <w:lvlText w:val="%1."/>
      <w:lvlJc w:val="left"/>
      <w:pPr>
        <w:ind w:left="425" w:hanging="425"/>
      </w:pPr>
      <w:rPr>
        <w:rFonts w:hint="default"/>
      </w:rPr>
    </w:lvl>
  </w:abstractNum>
  <w:abstractNum w:abstractNumId="2">
    <w:nsid w:val="032E9245"/>
    <w:multiLevelType w:val="singleLevel"/>
    <w:tmpl w:val="032E9245"/>
    <w:lvl w:ilvl="0" w:tentative="0">
      <w:start w:val="2"/>
      <w:numFmt w:val="decimal"/>
      <w:lvlText w:val="%1."/>
      <w:lvlJc w:val="left"/>
      <w:pPr>
        <w:tabs>
          <w:tab w:val="left" w:pos="312"/>
        </w:tabs>
      </w:pPr>
    </w:lvl>
  </w:abstractNum>
  <w:abstractNum w:abstractNumId="3">
    <w:nsid w:val="0B6603DE"/>
    <w:multiLevelType w:val="singleLevel"/>
    <w:tmpl w:val="0B6603DE"/>
    <w:lvl w:ilvl="0" w:tentative="0">
      <w:start w:val="1"/>
      <w:numFmt w:val="decimal"/>
      <w:lvlText w:val="(%1)"/>
      <w:lvlJc w:val="left"/>
      <w:pPr>
        <w:ind w:left="425" w:hanging="425"/>
      </w:pPr>
      <w:rPr>
        <w:rFonts w:hint="default"/>
      </w:rPr>
    </w:lvl>
  </w:abstractNum>
  <w:abstractNum w:abstractNumId="4">
    <w:nsid w:val="2F2D3AAD"/>
    <w:multiLevelType w:val="singleLevel"/>
    <w:tmpl w:val="2F2D3AAD"/>
    <w:lvl w:ilvl="0" w:tentative="0">
      <w:start w:val="1"/>
      <w:numFmt w:val="decimal"/>
      <w:lvlText w:val="%1."/>
      <w:lvlJc w:val="left"/>
      <w:pPr>
        <w:ind w:left="425" w:hanging="425"/>
      </w:pPr>
      <w:rPr>
        <w:rFonts w:hint="default"/>
      </w:rPr>
    </w:lvl>
  </w:abstractNum>
  <w:abstractNum w:abstractNumId="5">
    <w:nsid w:val="4FB15FAD"/>
    <w:multiLevelType w:val="singleLevel"/>
    <w:tmpl w:val="4FB15FAD"/>
    <w:lvl w:ilvl="0" w:tentative="0">
      <w:start w:val="1"/>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TZmMjBlNmYzZjUzNzAyNGIwYmY4ZTExMTI4ODQifQ=="/>
  </w:docVars>
  <w:rsids>
    <w:rsidRoot w:val="53B52B8D"/>
    <w:rsid w:val="00732204"/>
    <w:rsid w:val="01CB1818"/>
    <w:rsid w:val="02FE598B"/>
    <w:rsid w:val="04267C9B"/>
    <w:rsid w:val="04A2573B"/>
    <w:rsid w:val="056B601D"/>
    <w:rsid w:val="06085010"/>
    <w:rsid w:val="061213B6"/>
    <w:rsid w:val="07690DCB"/>
    <w:rsid w:val="07F10204"/>
    <w:rsid w:val="08D82E6B"/>
    <w:rsid w:val="08FF0EA4"/>
    <w:rsid w:val="0AB100FE"/>
    <w:rsid w:val="0C2F3745"/>
    <w:rsid w:val="0C86092C"/>
    <w:rsid w:val="0D3E316B"/>
    <w:rsid w:val="0F645140"/>
    <w:rsid w:val="0F977B31"/>
    <w:rsid w:val="1012606B"/>
    <w:rsid w:val="10160EC0"/>
    <w:rsid w:val="10E13D97"/>
    <w:rsid w:val="12015CDD"/>
    <w:rsid w:val="132A5641"/>
    <w:rsid w:val="1436105B"/>
    <w:rsid w:val="14B716E1"/>
    <w:rsid w:val="172021DF"/>
    <w:rsid w:val="17681D16"/>
    <w:rsid w:val="177F50ED"/>
    <w:rsid w:val="17BF5E77"/>
    <w:rsid w:val="17D271A4"/>
    <w:rsid w:val="1949582C"/>
    <w:rsid w:val="19DA5E06"/>
    <w:rsid w:val="1A6878E4"/>
    <w:rsid w:val="1AFA2F67"/>
    <w:rsid w:val="1B4B61C8"/>
    <w:rsid w:val="1DC815E8"/>
    <w:rsid w:val="1EC868BB"/>
    <w:rsid w:val="1F5F3A9B"/>
    <w:rsid w:val="1F9951FF"/>
    <w:rsid w:val="204F5360"/>
    <w:rsid w:val="213A47C0"/>
    <w:rsid w:val="27897907"/>
    <w:rsid w:val="29556BD2"/>
    <w:rsid w:val="2B8E1410"/>
    <w:rsid w:val="2BE71BF9"/>
    <w:rsid w:val="2C1C252C"/>
    <w:rsid w:val="2EAB679D"/>
    <w:rsid w:val="2EED4AA2"/>
    <w:rsid w:val="2FDB4D1E"/>
    <w:rsid w:val="31AA6DF8"/>
    <w:rsid w:val="322445E7"/>
    <w:rsid w:val="32865459"/>
    <w:rsid w:val="32F206C8"/>
    <w:rsid w:val="33A63E33"/>
    <w:rsid w:val="34EB1C02"/>
    <w:rsid w:val="366F3C27"/>
    <w:rsid w:val="36FC314E"/>
    <w:rsid w:val="37B62A59"/>
    <w:rsid w:val="38082ACA"/>
    <w:rsid w:val="392B0CEC"/>
    <w:rsid w:val="3BBF41B3"/>
    <w:rsid w:val="3C261771"/>
    <w:rsid w:val="3E66679D"/>
    <w:rsid w:val="3F2B1E22"/>
    <w:rsid w:val="3F421540"/>
    <w:rsid w:val="3FCB2F92"/>
    <w:rsid w:val="424729C0"/>
    <w:rsid w:val="4278617C"/>
    <w:rsid w:val="42C85330"/>
    <w:rsid w:val="443864E5"/>
    <w:rsid w:val="460C47E4"/>
    <w:rsid w:val="46157D08"/>
    <w:rsid w:val="487F381C"/>
    <w:rsid w:val="48CD25B5"/>
    <w:rsid w:val="49407340"/>
    <w:rsid w:val="496E7ABE"/>
    <w:rsid w:val="49BF5BD8"/>
    <w:rsid w:val="4AA23FC0"/>
    <w:rsid w:val="4D094EC3"/>
    <w:rsid w:val="4F4677C9"/>
    <w:rsid w:val="53AD0A04"/>
    <w:rsid w:val="53B52B8D"/>
    <w:rsid w:val="53F3019D"/>
    <w:rsid w:val="540025C3"/>
    <w:rsid w:val="54DB1853"/>
    <w:rsid w:val="576F626A"/>
    <w:rsid w:val="58962850"/>
    <w:rsid w:val="59213594"/>
    <w:rsid w:val="59B44408"/>
    <w:rsid w:val="5A9D25FF"/>
    <w:rsid w:val="5AF06A16"/>
    <w:rsid w:val="5BBF408B"/>
    <w:rsid w:val="5DFA5B93"/>
    <w:rsid w:val="5E2F041B"/>
    <w:rsid w:val="5EBF1C0B"/>
    <w:rsid w:val="60EA6016"/>
    <w:rsid w:val="610655B4"/>
    <w:rsid w:val="62297564"/>
    <w:rsid w:val="63E12015"/>
    <w:rsid w:val="66C8050F"/>
    <w:rsid w:val="6BAF5459"/>
    <w:rsid w:val="6CEA1EDF"/>
    <w:rsid w:val="6D7812AC"/>
    <w:rsid w:val="6E4C58AE"/>
    <w:rsid w:val="6F557CA8"/>
    <w:rsid w:val="6FFE7675"/>
    <w:rsid w:val="72BA2638"/>
    <w:rsid w:val="73020DC6"/>
    <w:rsid w:val="75256005"/>
    <w:rsid w:val="75DC624C"/>
    <w:rsid w:val="77F79321"/>
    <w:rsid w:val="782002B2"/>
    <w:rsid w:val="79BC0A44"/>
    <w:rsid w:val="7A4D6EF3"/>
    <w:rsid w:val="7A5275FA"/>
    <w:rsid w:val="7B7C1372"/>
    <w:rsid w:val="7BCE76B2"/>
    <w:rsid w:val="7C2905DD"/>
    <w:rsid w:val="7D562F5D"/>
    <w:rsid w:val="7E2243FB"/>
    <w:rsid w:val="7F9949D8"/>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仿宋_GB2312"/>
      <w:b/>
      <w:kern w:val="0"/>
      <w:sz w:val="32"/>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szCs w:val="21"/>
    </w:rPr>
  </w:style>
  <w:style w:type="paragraph" w:styleId="4">
    <w:name w:val="Normal Indent"/>
    <w:basedOn w:val="1"/>
    <w:qFormat/>
    <w:uiPriority w:val="0"/>
    <w:pPr>
      <w:autoSpaceDE w:val="0"/>
      <w:autoSpaceDN w:val="0"/>
      <w:spacing w:line="360" w:lineRule="auto"/>
      <w:ind w:left="181" w:firstLine="420"/>
    </w:pPr>
    <w:rPr>
      <w:rFonts w:ascii="Times New Roman" w:hAnsi="Times New Roman"/>
      <w:szCs w:val="20"/>
    </w:rPr>
  </w:style>
  <w:style w:type="paragraph" w:styleId="5">
    <w:name w:val="annotation text"/>
    <w:basedOn w:val="1"/>
    <w:qFormat/>
    <w:uiPriority w:val="0"/>
    <w:pPr>
      <w:jc w:val="left"/>
    </w:pPr>
  </w:style>
  <w:style w:type="paragraph" w:styleId="6">
    <w:name w:val="Body Text"/>
    <w:basedOn w:val="1"/>
    <w:next w:val="1"/>
    <w:qFormat/>
    <w:uiPriority w:val="0"/>
    <w:pPr>
      <w:spacing w:after="120" w:afterLines="0"/>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Body Text First Indent"/>
    <w:basedOn w:val="6"/>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表格文字"/>
    <w:basedOn w:val="1"/>
    <w:qFormat/>
    <w:uiPriority w:val="0"/>
    <w:pPr>
      <w:spacing w:before="25" w:beforeLines="0" w:after="25" w:afterLines="0" w:line="300" w:lineRule="auto"/>
    </w:pPr>
    <w:rPr>
      <w:rFonts w:ascii="Times" w:hAnsi="Times"/>
      <w:spacing w:val="10"/>
      <w:kern w:val="0"/>
      <w:szCs w:val="20"/>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9">
    <w:name w:val="样式 首行缩进:  2 字符"/>
    <w:basedOn w:val="1"/>
    <w:qFormat/>
    <w:uiPriority w:val="0"/>
    <w:pPr>
      <w:spacing w:line="400" w:lineRule="exact"/>
      <w:ind w:firstLine="200" w:firstLineChars="200"/>
    </w:pPr>
    <w:rPr>
      <w:rFonts w:ascii="Times New Roman" w:hAnsi="Times New Roman"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31811</Words>
  <Characters>35301</Characters>
  <Lines>0</Lines>
  <Paragraphs>0</Paragraphs>
  <TotalTime>137</TotalTime>
  <ScaleCrop>false</ScaleCrop>
  <LinksUpToDate>false</LinksUpToDate>
  <CharactersWithSpaces>36594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陈裕文</cp:lastModifiedBy>
  <dcterms:modified xsi:type="dcterms:W3CDTF">2023-06-13T07:32:30Z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05CC4F17DE75459FA1D6F76DC3CFCDD6_13</vt:lpwstr>
  </property>
</Properties>
</file>