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autoSpaceDN w:val="0"/>
        <w:jc w:val="center"/>
        <w:rPr>
          <w:rFonts w:ascii="黑体" w:eastAsia="黑体"/>
          <w:b/>
          <w:color w:val="auto"/>
          <w:sz w:val="32"/>
          <w:szCs w:val="32"/>
          <w:highlight w:val="none"/>
        </w:rPr>
      </w:pPr>
    </w:p>
    <w:p>
      <w:pPr>
        <w:pStyle w:val="7"/>
        <w:rPr>
          <w:rFonts w:ascii="黑体" w:eastAsia="黑体"/>
          <w:b/>
          <w:color w:val="auto"/>
          <w:sz w:val="32"/>
          <w:szCs w:val="32"/>
          <w:highlight w:val="none"/>
        </w:rPr>
      </w:pPr>
    </w:p>
    <w:p>
      <w:pPr>
        <w:rPr>
          <w:color w:val="auto"/>
          <w:highlight w:val="none"/>
        </w:rPr>
      </w:pPr>
    </w:p>
    <w:p>
      <w:pPr>
        <w:topLinePunct/>
        <w:autoSpaceDE w:val="0"/>
        <w:autoSpaceDN w:val="0"/>
        <w:jc w:val="center"/>
        <w:rPr>
          <w:rFonts w:hint="eastAsia" w:ascii="华文中宋" w:hAnsi="华文中宋" w:eastAsia="华文中宋" w:cs="华文中宋"/>
          <w:b w:val="0"/>
          <w:bCs/>
          <w:color w:val="auto"/>
          <w:sz w:val="48"/>
          <w:szCs w:val="48"/>
          <w:highlight w:val="none"/>
        </w:rPr>
      </w:pPr>
      <w:r>
        <w:rPr>
          <w:rFonts w:hint="eastAsia" w:ascii="华文中宋" w:hAnsi="华文中宋" w:eastAsia="华文中宋" w:cs="华文中宋"/>
          <w:b w:val="0"/>
          <w:bCs/>
          <w:color w:val="auto"/>
          <w:sz w:val="48"/>
          <w:szCs w:val="48"/>
          <w:highlight w:val="none"/>
        </w:rPr>
        <w:t>招 标 文 件</w:t>
      </w:r>
    </w:p>
    <w:p>
      <w:pPr>
        <w:topLinePunct/>
        <w:autoSpaceDE w:val="0"/>
        <w:autoSpaceDN w:val="0"/>
        <w:spacing w:line="60" w:lineRule="exact"/>
        <w:jc w:val="center"/>
        <w:rPr>
          <w:rFonts w:hint="eastAsia" w:ascii="华文中宋" w:hAnsi="华文中宋" w:eastAsia="华文中宋" w:cs="华文中宋"/>
          <w:b w:val="0"/>
          <w:bCs/>
          <w:color w:val="auto"/>
          <w:sz w:val="32"/>
          <w:szCs w:val="32"/>
          <w:highlight w:val="none"/>
        </w:rPr>
      </w:pPr>
    </w:p>
    <w:p>
      <w:pPr>
        <w:topLinePunct/>
        <w:autoSpaceDE w:val="0"/>
        <w:autoSpaceDN w:val="0"/>
        <w:snapToGrid w:val="0"/>
        <w:jc w:val="center"/>
        <w:rPr>
          <w:rFonts w:hint="eastAsia" w:ascii="华文中宋" w:hAnsi="华文中宋" w:eastAsia="华文中宋" w:cs="华文中宋"/>
          <w:b w:val="0"/>
          <w:bCs/>
          <w:color w:val="auto"/>
          <w:sz w:val="32"/>
          <w:szCs w:val="32"/>
          <w:highlight w:val="none"/>
        </w:rPr>
      </w:pPr>
      <w:r>
        <w:rPr>
          <w:rFonts w:hint="eastAsia" w:ascii="华文中宋" w:hAnsi="华文中宋" w:eastAsia="华文中宋" w:cs="华文中宋"/>
          <w:b w:val="0"/>
          <w:bCs/>
          <w:color w:val="auto"/>
          <w:sz w:val="32"/>
          <w:szCs w:val="32"/>
          <w:highlight w:val="none"/>
        </w:rPr>
        <w:t>（商务部分）</w:t>
      </w:r>
    </w:p>
    <w:p>
      <w:pPr>
        <w:topLinePunct/>
        <w:autoSpaceDE w:val="0"/>
        <w:autoSpaceDN w:val="0"/>
        <w:snapToGrid w:val="0"/>
        <w:rPr>
          <w:rFonts w:hint="eastAsia" w:ascii="华文中宋" w:hAnsi="华文中宋" w:eastAsia="华文中宋" w:cs="华文中宋"/>
          <w:b w:val="0"/>
          <w:bCs/>
          <w:color w:val="auto"/>
          <w:sz w:val="32"/>
          <w:szCs w:val="32"/>
          <w:highlight w:val="none"/>
        </w:rPr>
      </w:pPr>
    </w:p>
    <w:p>
      <w:pPr>
        <w:jc w:val="center"/>
        <w:rPr>
          <w:rFonts w:hint="eastAsia" w:ascii="方正小标宋简体" w:hAnsi="方正小标宋简体" w:eastAsia="方正小标宋简体" w:cs="方正小标宋简体"/>
          <w:b w:val="0"/>
          <w:bCs w:val="0"/>
          <w:color w:val="auto"/>
          <w:sz w:val="24"/>
          <w:szCs w:val="24"/>
          <w:highlight w:val="none"/>
        </w:rPr>
      </w:pPr>
    </w:p>
    <w:p>
      <w:pPr>
        <w:jc w:val="center"/>
        <w:rPr>
          <w:rFonts w:hint="eastAsia" w:ascii="方正小标宋简体" w:hAnsi="方正小标宋简体" w:eastAsia="方正小标宋简体" w:cs="方正小标宋简体"/>
          <w:b w:val="0"/>
          <w:bCs w:val="0"/>
          <w:color w:val="auto"/>
          <w:sz w:val="24"/>
          <w:szCs w:val="24"/>
          <w:highlight w:val="none"/>
        </w:rPr>
      </w:pPr>
    </w:p>
    <w:p>
      <w:pPr>
        <w:ind w:left="0" w:leftChars="0" w:firstLine="420" w:firstLineChars="175"/>
        <w:jc w:val="both"/>
        <w:rPr>
          <w:rFonts w:hint="eastAsia" w:ascii="方正小标宋简体" w:hAnsi="方正小标宋简体" w:eastAsia="方正小标宋简体" w:cs="方正小标宋简体"/>
          <w:b w:val="0"/>
          <w:bCs w:val="0"/>
          <w:color w:val="auto"/>
          <w:sz w:val="24"/>
          <w:szCs w:val="24"/>
          <w:highlight w:val="none"/>
          <w:u w:val="none"/>
        </w:rPr>
      </w:pPr>
      <w:r>
        <w:rPr>
          <w:rFonts w:hint="eastAsia" w:ascii="方正小标宋简体" w:hAnsi="方正小标宋简体" w:eastAsia="方正小标宋简体" w:cs="方正小标宋简体"/>
          <w:b w:val="0"/>
          <w:bCs w:val="0"/>
          <w:color w:val="auto"/>
          <w:sz w:val="24"/>
          <w:szCs w:val="24"/>
          <w:highlight w:val="none"/>
        </w:rPr>
        <w:t>项目名称：国家税务总局茂名市电白区税务局2024至2025年饭堂后勤服务</w:t>
      </w:r>
    </w:p>
    <w:p>
      <w:pPr>
        <w:ind w:left="0" w:leftChars="0" w:firstLine="420" w:firstLineChars="175"/>
        <w:jc w:val="both"/>
        <w:rPr>
          <w:rFonts w:hint="eastAsia" w:ascii="方正小标宋简体" w:hAnsi="方正小标宋简体" w:eastAsia="方正小标宋简体" w:cs="方正小标宋简体"/>
          <w:b w:val="0"/>
          <w:bCs w:val="0"/>
          <w:color w:val="auto"/>
          <w:sz w:val="24"/>
          <w:szCs w:val="24"/>
          <w:highlight w:val="none"/>
        </w:rPr>
      </w:pPr>
      <w:r>
        <w:rPr>
          <w:rFonts w:hint="eastAsia" w:ascii="方正小标宋简体" w:hAnsi="方正小标宋简体" w:eastAsia="方正小标宋简体" w:cs="方正小标宋简体"/>
          <w:b w:val="0"/>
          <w:bCs w:val="0"/>
          <w:color w:val="auto"/>
          <w:sz w:val="24"/>
          <w:szCs w:val="24"/>
          <w:highlight w:val="none"/>
        </w:rPr>
        <w:t>项目编号：0835-240ZA9301081</w:t>
      </w:r>
    </w:p>
    <w:p>
      <w:pPr>
        <w:ind w:left="0" w:leftChars="0" w:firstLine="420" w:firstLineChars="175"/>
        <w:jc w:val="both"/>
        <w:rPr>
          <w:rFonts w:hint="eastAsia" w:ascii="方正小标宋简体" w:hAnsi="方正小标宋简体" w:eastAsia="方正小标宋简体" w:cs="方正小标宋简体"/>
          <w:b w:val="0"/>
          <w:bCs w:val="0"/>
          <w:color w:val="auto"/>
          <w:sz w:val="24"/>
          <w:szCs w:val="24"/>
          <w:highlight w:val="none"/>
        </w:rPr>
      </w:pPr>
      <w:r>
        <w:rPr>
          <w:rFonts w:hint="eastAsia" w:ascii="方正小标宋简体" w:hAnsi="方正小标宋简体" w:eastAsia="方正小标宋简体" w:cs="方正小标宋简体"/>
          <w:b w:val="0"/>
          <w:bCs w:val="0"/>
          <w:color w:val="auto"/>
          <w:sz w:val="24"/>
          <w:szCs w:val="24"/>
          <w:highlight w:val="none"/>
        </w:rPr>
        <w:t>采 购 人：国家税务总局茂名市电白区税务局</w:t>
      </w:r>
    </w:p>
    <w:p>
      <w:pPr>
        <w:ind w:left="0" w:leftChars="0" w:firstLine="420" w:firstLineChars="175"/>
        <w:jc w:val="both"/>
        <w:rPr>
          <w:rFonts w:hint="eastAsia" w:ascii="方正小标宋简体" w:hAnsi="方正小标宋简体" w:eastAsia="方正小标宋简体" w:cs="方正小标宋简体"/>
          <w:b w:val="0"/>
          <w:bCs w:val="0"/>
          <w:color w:val="auto"/>
          <w:sz w:val="24"/>
          <w:szCs w:val="24"/>
          <w:highlight w:val="none"/>
          <w:u w:val="none"/>
        </w:rPr>
      </w:pPr>
      <w:r>
        <w:rPr>
          <w:rFonts w:hint="eastAsia" w:ascii="方正小标宋简体" w:hAnsi="方正小标宋简体" w:eastAsia="方正小标宋简体" w:cs="方正小标宋简体"/>
          <w:b w:val="0"/>
          <w:bCs w:val="0"/>
          <w:color w:val="auto"/>
          <w:sz w:val="24"/>
          <w:szCs w:val="24"/>
          <w:highlight w:val="none"/>
        </w:rPr>
        <w:t>采购代理机构：广东元正招标采购有限公司</w:t>
      </w:r>
    </w:p>
    <w:p>
      <w:pPr>
        <w:topLinePunct/>
        <w:autoSpaceDE w:val="0"/>
        <w:autoSpaceDN w:val="0"/>
        <w:spacing w:line="460" w:lineRule="exact"/>
        <w:rPr>
          <w:rFonts w:hint="eastAsia" w:ascii="方正小标宋简体" w:hAnsi="方正小标宋简体" w:eastAsia="方正小标宋简体" w:cs="方正小标宋简体"/>
          <w:b w:val="0"/>
          <w:bCs w:val="0"/>
          <w:color w:val="auto"/>
          <w:sz w:val="24"/>
          <w:szCs w:val="24"/>
          <w:highlight w:val="none"/>
        </w:rPr>
      </w:pPr>
    </w:p>
    <w:p>
      <w:pPr>
        <w:topLinePunct/>
        <w:autoSpaceDE w:val="0"/>
        <w:autoSpaceDN w:val="0"/>
        <w:spacing w:line="460" w:lineRule="exact"/>
        <w:jc w:val="center"/>
        <w:rPr>
          <w:rFonts w:hint="eastAsia" w:ascii="方正小标宋简体" w:hAnsi="方正小标宋简体" w:eastAsia="方正小标宋简体" w:cs="方正小标宋简体"/>
          <w:b w:val="0"/>
          <w:bCs w:val="0"/>
          <w:color w:val="auto"/>
          <w:sz w:val="24"/>
          <w:szCs w:val="24"/>
          <w:highlight w:val="none"/>
        </w:rPr>
      </w:pPr>
    </w:p>
    <w:p>
      <w:pPr>
        <w:topLinePunct/>
        <w:autoSpaceDE w:val="0"/>
        <w:autoSpaceDN w:val="0"/>
        <w:spacing w:line="240" w:lineRule="auto"/>
        <w:jc w:val="center"/>
        <w:rPr>
          <w:rFonts w:hint="eastAsia" w:ascii="方正小标宋简体" w:hAnsi="方正小标宋简体" w:eastAsia="方正小标宋简体" w:cs="方正小标宋简体"/>
          <w:b w:val="0"/>
          <w:bCs w:val="0"/>
          <w:color w:val="auto"/>
          <w:sz w:val="24"/>
          <w:szCs w:val="24"/>
          <w:highlight w:val="none"/>
        </w:rPr>
      </w:pPr>
      <w:r>
        <w:rPr>
          <w:rFonts w:hint="eastAsia" w:ascii="方正小标宋简体" w:hAnsi="方正小标宋简体" w:eastAsia="方正小标宋简体" w:cs="方正小标宋简体"/>
          <w:b w:val="0"/>
          <w:bCs w:val="0"/>
          <w:color w:val="auto"/>
          <w:sz w:val="24"/>
          <w:szCs w:val="24"/>
          <w:highlight w:val="none"/>
        </w:rPr>
        <w:t>国家税务总局茂名市电白区税务局</w:t>
      </w:r>
    </w:p>
    <w:p>
      <w:pPr>
        <w:topLinePunct/>
        <w:autoSpaceDE w:val="0"/>
        <w:autoSpaceDN w:val="0"/>
        <w:spacing w:line="240" w:lineRule="auto"/>
        <w:jc w:val="center"/>
        <w:rPr>
          <w:rFonts w:hint="eastAsia" w:ascii="方正小标宋简体" w:hAnsi="方正小标宋简体" w:eastAsia="方正小标宋简体" w:cs="方正小标宋简体"/>
          <w:b w:val="0"/>
          <w:bCs w:val="0"/>
          <w:color w:val="auto"/>
          <w:sz w:val="24"/>
          <w:szCs w:val="24"/>
          <w:highlight w:val="none"/>
        </w:rPr>
      </w:pPr>
      <w:r>
        <w:rPr>
          <w:rFonts w:hint="eastAsia" w:ascii="方正小标宋简体" w:hAnsi="方正小标宋简体" w:eastAsia="方正小标宋简体" w:cs="方正小标宋简体"/>
          <w:b w:val="0"/>
          <w:bCs w:val="0"/>
          <w:color w:val="auto"/>
          <w:sz w:val="24"/>
          <w:szCs w:val="24"/>
          <w:highlight w:val="none"/>
        </w:rPr>
        <w:t>2024年07月05日</w:t>
      </w:r>
    </w:p>
    <w:p>
      <w:pPr>
        <w:rPr>
          <w:color w:val="auto"/>
          <w:sz w:val="32"/>
          <w:szCs w:val="32"/>
          <w:highlight w:val="none"/>
        </w:rPr>
      </w:pPr>
    </w:p>
    <w:p>
      <w:pPr>
        <w:rPr>
          <w:color w:val="auto"/>
          <w:sz w:val="32"/>
          <w:szCs w:val="32"/>
          <w:highlight w:val="none"/>
        </w:rPr>
        <w:sectPr>
          <w:footerReference r:id="rId3" w:type="default"/>
          <w:pgSz w:w="11906" w:h="16838"/>
          <w:pgMar w:top="1440" w:right="1752" w:bottom="1440" w:left="1752"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bidi w:val="0"/>
        <w:jc w:val="center"/>
        <w:rPr>
          <w:rFonts w:hint="eastAsia" w:ascii="华文中宋" w:hAnsi="华文中宋" w:eastAsia="华文中宋" w:cs="华文中宋"/>
          <w:color w:val="auto"/>
          <w:sz w:val="28"/>
          <w:szCs w:val="28"/>
          <w:highlight w:val="none"/>
        </w:rPr>
      </w:pPr>
      <w:r>
        <w:rPr>
          <w:rFonts w:hint="eastAsia" w:ascii="华文中宋" w:hAnsi="华文中宋" w:eastAsia="华文中宋" w:cs="华文中宋"/>
          <w:color w:val="auto"/>
          <w:sz w:val="28"/>
          <w:szCs w:val="28"/>
          <w:highlight w:val="none"/>
          <w:lang w:val="zh-CN"/>
        </w:rPr>
        <w:t>目  录</w:t>
      </w:r>
    </w:p>
    <w:p>
      <w:pPr>
        <w:pStyle w:val="11"/>
        <w:tabs>
          <w:tab w:val="right" w:leader="dot" w:pos="9060"/>
        </w:tabs>
        <w:rPr>
          <w:rFonts w:hint="eastAsia" w:ascii="Calibri" w:hAnsi="Calibri" w:eastAsia="宋体" w:cs="Times New Roman"/>
          <w:b w:val="0"/>
          <w:bCs w:val="0"/>
          <w:caps w:val="0"/>
          <w:color w:val="auto"/>
          <w:sz w:val="21"/>
          <w:szCs w:val="21"/>
          <w:highlight w:val="none"/>
          <w:lang w:val="en-US" w:eastAsia="zh-CN"/>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sz w:val="21"/>
          <w:szCs w:val="21"/>
          <w:highlight w:val="none"/>
        </w:rPr>
        <w:fldChar w:fldCharType="begin"/>
      </w:r>
      <w:r>
        <w:rPr>
          <w:color w:val="auto"/>
          <w:sz w:val="21"/>
          <w:szCs w:val="21"/>
          <w:highlight w:val="none"/>
        </w:rPr>
        <w:instrText xml:space="preserve"> HYPERLINK \l "_Toc132880271" </w:instrText>
      </w:r>
      <w:r>
        <w:rPr>
          <w:color w:val="auto"/>
          <w:sz w:val="21"/>
          <w:szCs w:val="21"/>
          <w:highlight w:val="none"/>
        </w:rPr>
        <w:fldChar w:fldCharType="separate"/>
      </w:r>
      <w:r>
        <w:rPr>
          <w:rStyle w:val="17"/>
          <w:rFonts w:hint="eastAsia"/>
          <w:color w:val="auto"/>
          <w:sz w:val="21"/>
          <w:szCs w:val="21"/>
          <w:highlight w:val="none"/>
        </w:rPr>
        <w:t>第一章</w:t>
      </w:r>
      <w:r>
        <w:rPr>
          <w:rStyle w:val="17"/>
          <w:color w:val="auto"/>
          <w:sz w:val="21"/>
          <w:szCs w:val="21"/>
          <w:highlight w:val="none"/>
        </w:rPr>
        <w:t xml:space="preserve">  </w:t>
      </w:r>
      <w:r>
        <w:rPr>
          <w:rStyle w:val="17"/>
          <w:rFonts w:hint="eastAsia"/>
          <w:color w:val="auto"/>
          <w:sz w:val="21"/>
          <w:szCs w:val="21"/>
          <w:highlight w:val="none"/>
        </w:rPr>
        <w:t>投标邀请</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w:t>
      </w:r>
    </w:p>
    <w:p>
      <w:pPr>
        <w:pStyle w:val="11"/>
        <w:tabs>
          <w:tab w:val="right" w:leader="dot" w:pos="9060"/>
        </w:tabs>
        <w:rPr>
          <w:rFonts w:hint="eastAsia"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"_Toc132880272" </w:instrText>
      </w:r>
      <w:r>
        <w:rPr>
          <w:color w:val="auto"/>
          <w:sz w:val="21"/>
          <w:szCs w:val="21"/>
          <w:highlight w:val="none"/>
        </w:rPr>
        <w:fldChar w:fldCharType="separate"/>
      </w:r>
      <w:r>
        <w:rPr>
          <w:rStyle w:val="17"/>
          <w:rFonts w:hint="eastAsia"/>
          <w:color w:val="auto"/>
          <w:sz w:val="21"/>
          <w:szCs w:val="21"/>
          <w:highlight w:val="none"/>
        </w:rPr>
        <w:t>第二章　投标人须知</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5</w:t>
      </w:r>
    </w:p>
    <w:p>
      <w:pPr>
        <w:pStyle w:val="12"/>
        <w:tabs>
          <w:tab w:val="right" w:leader="dot" w:pos="9060"/>
        </w:tabs>
        <w:rPr>
          <w:rFonts w:hint="eastAsia"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"_Toc132880273" </w:instrText>
      </w:r>
      <w:r>
        <w:rPr>
          <w:color w:val="auto"/>
          <w:sz w:val="21"/>
          <w:szCs w:val="21"/>
          <w:highlight w:val="none"/>
        </w:rPr>
        <w:fldChar w:fldCharType="separate"/>
      </w:r>
      <w:r>
        <w:rPr>
          <w:rStyle w:val="17"/>
          <w:rFonts w:hint="eastAsia"/>
          <w:color w:val="auto"/>
          <w:sz w:val="21"/>
          <w:szCs w:val="21"/>
          <w:highlight w:val="none"/>
        </w:rPr>
        <w:t>投标人须知前附表</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5</w:t>
      </w:r>
    </w:p>
    <w:p>
      <w:pPr>
        <w:pStyle w:val="12"/>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"_Toc132880274" </w:instrText>
      </w:r>
      <w:r>
        <w:rPr>
          <w:color w:val="auto"/>
          <w:sz w:val="21"/>
          <w:szCs w:val="21"/>
          <w:highlight w:val="none"/>
        </w:rPr>
        <w:fldChar w:fldCharType="separate"/>
      </w:r>
      <w:r>
        <w:rPr>
          <w:rStyle w:val="17"/>
          <w:rFonts w:hint="eastAsia"/>
          <w:color w:val="auto"/>
          <w:sz w:val="21"/>
          <w:szCs w:val="21"/>
          <w:highlight w:val="none"/>
        </w:rPr>
        <w:t>一、总则</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15</w:t>
      </w:r>
    </w:p>
    <w:p>
      <w:pPr>
        <w:pStyle w:val="12"/>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"_Toc132880275" </w:instrText>
      </w:r>
      <w:r>
        <w:rPr>
          <w:color w:val="auto"/>
          <w:sz w:val="21"/>
          <w:szCs w:val="21"/>
          <w:highlight w:val="none"/>
        </w:rPr>
        <w:fldChar w:fldCharType="separate"/>
      </w:r>
      <w:r>
        <w:rPr>
          <w:rStyle w:val="17"/>
          <w:rFonts w:hint="eastAsia"/>
          <w:color w:val="auto"/>
          <w:sz w:val="21"/>
          <w:szCs w:val="21"/>
          <w:highlight w:val="none"/>
        </w:rPr>
        <w:t>二、招标文件</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15</w:t>
      </w:r>
    </w:p>
    <w:p>
      <w:pPr>
        <w:pStyle w:val="12"/>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"_Toc132880276" </w:instrText>
      </w:r>
      <w:r>
        <w:rPr>
          <w:color w:val="auto"/>
          <w:sz w:val="21"/>
          <w:szCs w:val="21"/>
          <w:highlight w:val="none"/>
        </w:rPr>
        <w:fldChar w:fldCharType="separate"/>
      </w:r>
      <w:r>
        <w:rPr>
          <w:rStyle w:val="17"/>
          <w:rFonts w:hint="eastAsia"/>
          <w:color w:val="auto"/>
          <w:sz w:val="21"/>
          <w:szCs w:val="21"/>
          <w:highlight w:val="none"/>
        </w:rPr>
        <w:t>三、投标文件</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16</w:t>
      </w:r>
    </w:p>
    <w:p>
      <w:pPr>
        <w:pStyle w:val="12"/>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"_Toc132880277" </w:instrText>
      </w:r>
      <w:r>
        <w:rPr>
          <w:color w:val="auto"/>
          <w:sz w:val="21"/>
          <w:szCs w:val="21"/>
          <w:highlight w:val="none"/>
        </w:rPr>
        <w:fldChar w:fldCharType="separate"/>
      </w:r>
      <w:r>
        <w:rPr>
          <w:rStyle w:val="17"/>
          <w:rFonts w:hint="eastAsia"/>
          <w:color w:val="auto"/>
          <w:sz w:val="21"/>
          <w:szCs w:val="21"/>
          <w:highlight w:val="none"/>
        </w:rPr>
        <w:t>四、投标文件递交</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18</w:t>
      </w:r>
    </w:p>
    <w:p>
      <w:pPr>
        <w:pStyle w:val="12"/>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"_Toc132880278" </w:instrText>
      </w:r>
      <w:r>
        <w:rPr>
          <w:color w:val="auto"/>
          <w:sz w:val="21"/>
          <w:szCs w:val="21"/>
          <w:highlight w:val="none"/>
        </w:rPr>
        <w:fldChar w:fldCharType="separate"/>
      </w:r>
      <w:r>
        <w:rPr>
          <w:rStyle w:val="17"/>
          <w:rFonts w:hint="eastAsia"/>
          <w:color w:val="auto"/>
          <w:sz w:val="21"/>
          <w:szCs w:val="21"/>
          <w:highlight w:val="none"/>
        </w:rPr>
        <w:t>五、开标与评标</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18</w:t>
      </w:r>
    </w:p>
    <w:p>
      <w:pPr>
        <w:pStyle w:val="12"/>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"_Toc132880279" </w:instrText>
      </w:r>
      <w:r>
        <w:rPr>
          <w:color w:val="auto"/>
          <w:sz w:val="21"/>
          <w:szCs w:val="21"/>
          <w:highlight w:val="none"/>
        </w:rPr>
        <w:fldChar w:fldCharType="separate"/>
      </w:r>
      <w:r>
        <w:rPr>
          <w:rStyle w:val="17"/>
          <w:rFonts w:hint="eastAsia"/>
          <w:color w:val="auto"/>
          <w:sz w:val="21"/>
          <w:szCs w:val="21"/>
          <w:highlight w:val="none"/>
        </w:rPr>
        <w:t>六、中标和合同</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22</w:t>
      </w:r>
    </w:p>
    <w:p>
      <w:pPr>
        <w:pStyle w:val="12"/>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"_Toc132880280" </w:instrText>
      </w:r>
      <w:r>
        <w:rPr>
          <w:color w:val="auto"/>
          <w:sz w:val="21"/>
          <w:szCs w:val="21"/>
          <w:highlight w:val="none"/>
        </w:rPr>
        <w:fldChar w:fldCharType="separate"/>
      </w:r>
      <w:r>
        <w:rPr>
          <w:rStyle w:val="17"/>
          <w:rFonts w:hint="eastAsia"/>
          <w:color w:val="auto"/>
          <w:sz w:val="21"/>
          <w:szCs w:val="21"/>
          <w:highlight w:val="none"/>
        </w:rPr>
        <w:t>七、询问和质疑</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23</w:t>
      </w:r>
    </w:p>
    <w:p>
      <w:pPr>
        <w:pStyle w:val="12"/>
        <w:tabs>
          <w:tab w:val="right" w:leader="dot" w:pos="9060"/>
        </w:tabs>
        <w:rPr>
          <w:rFonts w:hint="default" w:ascii="Calibri" w:hAnsi="Calibri" w:eastAsia="宋体" w:cs="Times New Roman"/>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"_Toc132880281" </w:instrText>
      </w:r>
      <w:r>
        <w:rPr>
          <w:color w:val="auto"/>
          <w:sz w:val="21"/>
          <w:szCs w:val="21"/>
          <w:highlight w:val="none"/>
        </w:rPr>
        <w:fldChar w:fldCharType="separate"/>
      </w:r>
      <w:r>
        <w:rPr>
          <w:rStyle w:val="17"/>
          <w:rFonts w:hint="eastAsia"/>
          <w:color w:val="auto"/>
          <w:sz w:val="21"/>
          <w:szCs w:val="21"/>
          <w:highlight w:val="none"/>
        </w:rPr>
        <w:t>八、其他</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23</w:t>
      </w:r>
    </w:p>
    <w:p>
      <w:pPr>
        <w:pStyle w:val="11"/>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"_Toc132880282" </w:instrText>
      </w:r>
      <w:r>
        <w:rPr>
          <w:color w:val="auto"/>
          <w:sz w:val="21"/>
          <w:szCs w:val="21"/>
          <w:highlight w:val="none"/>
        </w:rPr>
        <w:fldChar w:fldCharType="separate"/>
      </w:r>
      <w:r>
        <w:rPr>
          <w:rStyle w:val="17"/>
          <w:rFonts w:hint="eastAsia"/>
          <w:color w:val="auto"/>
          <w:sz w:val="21"/>
          <w:szCs w:val="21"/>
          <w:highlight w:val="none"/>
        </w:rPr>
        <w:t>第三章</w:t>
      </w:r>
      <w:r>
        <w:rPr>
          <w:rStyle w:val="17"/>
          <w:color w:val="auto"/>
          <w:sz w:val="21"/>
          <w:szCs w:val="21"/>
          <w:highlight w:val="none"/>
        </w:rPr>
        <w:t xml:space="preserve">  </w:t>
      </w:r>
      <w:r>
        <w:rPr>
          <w:rStyle w:val="17"/>
          <w:rFonts w:hint="eastAsia"/>
          <w:color w:val="auto"/>
          <w:sz w:val="21"/>
          <w:szCs w:val="21"/>
          <w:highlight w:val="none"/>
        </w:rPr>
        <w:t>评标方法及标准</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25</w:t>
      </w:r>
    </w:p>
    <w:p>
      <w:pPr>
        <w:pStyle w:val="11"/>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"_Toc132880283" </w:instrText>
      </w:r>
      <w:r>
        <w:rPr>
          <w:color w:val="auto"/>
          <w:sz w:val="21"/>
          <w:szCs w:val="21"/>
          <w:highlight w:val="none"/>
        </w:rPr>
        <w:fldChar w:fldCharType="separate"/>
      </w:r>
      <w:r>
        <w:rPr>
          <w:rStyle w:val="17"/>
          <w:rFonts w:hint="eastAsia"/>
          <w:color w:val="auto"/>
          <w:sz w:val="21"/>
          <w:szCs w:val="21"/>
          <w:highlight w:val="none"/>
        </w:rPr>
        <w:t>第四章</w:t>
      </w:r>
      <w:r>
        <w:rPr>
          <w:rStyle w:val="17"/>
          <w:color w:val="auto"/>
          <w:sz w:val="21"/>
          <w:szCs w:val="21"/>
          <w:highlight w:val="none"/>
        </w:rPr>
        <w:t xml:space="preserve">  </w:t>
      </w:r>
      <w:r>
        <w:rPr>
          <w:rStyle w:val="17"/>
          <w:rFonts w:hint="eastAsia"/>
          <w:color w:val="auto"/>
          <w:sz w:val="21"/>
          <w:szCs w:val="21"/>
          <w:highlight w:val="none"/>
        </w:rPr>
        <w:t>政府采购合同文本</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29</w:t>
      </w:r>
    </w:p>
    <w:p>
      <w:pPr>
        <w:pStyle w:val="11"/>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"_Toc132880284" </w:instrText>
      </w:r>
      <w:r>
        <w:rPr>
          <w:color w:val="auto"/>
          <w:sz w:val="21"/>
          <w:szCs w:val="21"/>
          <w:highlight w:val="none"/>
        </w:rPr>
        <w:fldChar w:fldCharType="separate"/>
      </w:r>
      <w:r>
        <w:rPr>
          <w:rStyle w:val="17"/>
          <w:rFonts w:hint="eastAsia"/>
          <w:color w:val="auto"/>
          <w:sz w:val="21"/>
          <w:szCs w:val="21"/>
          <w:highlight w:val="none"/>
        </w:rPr>
        <w:t>第五章　投标文件格式</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42</w:t>
      </w:r>
    </w:p>
    <w:p>
      <w:pPr>
        <w:pStyle w:val="11"/>
        <w:tabs>
          <w:tab w:val="right" w:leader="dot" w:pos="9060"/>
        </w:tabs>
        <w:rPr>
          <w:rFonts w:hint="default" w:ascii="Calibri" w:hAnsi="Calibri" w:eastAsia="宋体" w:cs="Times New Roman"/>
          <w:b w:val="0"/>
          <w:bCs w:val="0"/>
          <w:caps w:val="0"/>
          <w:color w:val="auto"/>
          <w:sz w:val="21"/>
          <w:szCs w:val="21"/>
          <w:highlight w:val="none"/>
          <w:lang w:val="en-US" w:eastAsia="zh-CN"/>
        </w:rPr>
      </w:pPr>
      <w:r>
        <w:rPr>
          <w:color w:val="auto"/>
          <w:sz w:val="21"/>
          <w:szCs w:val="21"/>
          <w:highlight w:val="none"/>
        </w:rPr>
        <w:fldChar w:fldCharType="begin"/>
      </w:r>
      <w:r>
        <w:rPr>
          <w:color w:val="auto"/>
          <w:sz w:val="21"/>
          <w:szCs w:val="21"/>
          <w:highlight w:val="none"/>
        </w:rPr>
        <w:instrText xml:space="preserve"> HYPERLINK \l "_Toc132880285" </w:instrText>
      </w:r>
      <w:r>
        <w:rPr>
          <w:color w:val="auto"/>
          <w:sz w:val="21"/>
          <w:szCs w:val="21"/>
          <w:highlight w:val="none"/>
        </w:rPr>
        <w:fldChar w:fldCharType="separate"/>
      </w:r>
      <w:r>
        <w:rPr>
          <w:rStyle w:val="17"/>
          <w:rFonts w:hint="eastAsia"/>
          <w:color w:val="auto"/>
          <w:sz w:val="21"/>
          <w:szCs w:val="21"/>
          <w:highlight w:val="none"/>
        </w:rPr>
        <w:t>第六章</w:t>
      </w:r>
      <w:r>
        <w:rPr>
          <w:rStyle w:val="17"/>
          <w:color w:val="auto"/>
          <w:sz w:val="21"/>
          <w:szCs w:val="21"/>
          <w:highlight w:val="none"/>
        </w:rPr>
        <w:t xml:space="preserve">  </w:t>
      </w:r>
      <w:r>
        <w:rPr>
          <w:rStyle w:val="17"/>
          <w:rFonts w:hint="eastAsia"/>
          <w:color w:val="auto"/>
          <w:sz w:val="21"/>
          <w:szCs w:val="21"/>
          <w:highlight w:val="none"/>
        </w:rPr>
        <w:t>项目采购需求</w:t>
      </w:r>
      <w:r>
        <w:rPr>
          <w:color w:val="auto"/>
          <w:sz w:val="21"/>
          <w:szCs w:val="21"/>
          <w:highlight w:val="none"/>
        </w:rPr>
        <w:tab/>
      </w:r>
      <w:r>
        <w:rPr>
          <w:color w:val="auto"/>
          <w:sz w:val="21"/>
          <w:szCs w:val="21"/>
          <w:highlight w:val="none"/>
        </w:rPr>
        <w:fldChar w:fldCharType="end"/>
      </w:r>
      <w:r>
        <w:rPr>
          <w:rFonts w:hint="eastAsia"/>
          <w:color w:val="auto"/>
          <w:sz w:val="21"/>
          <w:szCs w:val="21"/>
          <w:highlight w:val="none"/>
          <w:lang w:val="en-US" w:eastAsia="zh-CN"/>
        </w:rPr>
        <w:t>72</w:t>
      </w:r>
    </w:p>
    <w:p>
      <w:pPr>
        <w:rPr>
          <w:color w:val="auto"/>
          <w:highlight w:val="none"/>
        </w:rPr>
      </w:pPr>
      <w:r>
        <w:rPr>
          <w:color w:val="auto"/>
          <w:highlight w:val="none"/>
        </w:rPr>
        <w:fldChar w:fldCharType="end"/>
      </w:r>
    </w:p>
    <w:p>
      <w:pPr>
        <w:rPr>
          <w:b/>
          <w:color w:val="auto"/>
          <w:sz w:val="44"/>
          <w:szCs w:val="44"/>
          <w:highlight w:val="none"/>
        </w:rPr>
      </w:pPr>
    </w:p>
    <w:p>
      <w:pPr>
        <w:rPr>
          <w:color w:val="auto"/>
          <w:highlight w:val="none"/>
        </w:rPr>
      </w:pPr>
    </w:p>
    <w:p>
      <w:pPr>
        <w:rPr>
          <w:color w:val="auto"/>
          <w:highlight w:val="none"/>
        </w:rPr>
        <w:sectPr>
          <w:footerReference r:id="rId7" w:type="first"/>
          <w:footerReference r:id="rId5" w:type="default"/>
          <w:headerReference r:id="rId4" w:type="even"/>
          <w:footerReference r:id="rId6" w:type="even"/>
          <w:pgSz w:w="11906" w:h="16838"/>
          <w:pgMar w:top="1440" w:right="1752" w:bottom="1440" w:left="1752"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bidi w:val="0"/>
        <w:jc w:val="center"/>
        <w:rPr>
          <w:rFonts w:hint="eastAsia" w:ascii="华文中宋" w:hAnsi="华文中宋" w:eastAsia="华文中宋" w:cs="华文中宋"/>
          <w:color w:val="auto"/>
          <w:sz w:val="28"/>
          <w:szCs w:val="28"/>
          <w:highlight w:val="none"/>
        </w:rPr>
      </w:pPr>
      <w:bookmarkStart w:id="0" w:name="_Toc132880271"/>
      <w:r>
        <w:rPr>
          <w:rFonts w:hint="eastAsia" w:ascii="华文中宋" w:hAnsi="华文中宋" w:eastAsia="华文中宋" w:cs="华文中宋"/>
          <w:color w:val="auto"/>
          <w:sz w:val="28"/>
          <w:szCs w:val="28"/>
          <w:highlight w:val="none"/>
        </w:rPr>
        <w:t>第一章  投标邀请</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国家税务总局茂名市电白区税务局2024至2025年饭堂后勤服务</w:t>
      </w:r>
      <w:r>
        <w:rPr>
          <w:rFonts w:hint="eastAsia" w:ascii="宋体" w:hAnsi="宋体" w:cs="宋体"/>
          <w:color w:val="auto"/>
          <w:sz w:val="24"/>
          <w:szCs w:val="24"/>
          <w:highlight w:val="none"/>
        </w:rPr>
        <w:t>的潜在投标人应在</w:t>
      </w:r>
      <w:r>
        <w:rPr>
          <w:rFonts w:hint="eastAsia" w:ascii="宋体" w:hAnsi="宋体" w:cs="宋体"/>
          <w:color w:val="auto"/>
          <w:sz w:val="24"/>
          <w:szCs w:val="24"/>
          <w:highlight w:val="none"/>
          <w:u w:val="single"/>
        </w:rPr>
        <w:t>（茂名市光华南路118号润威商厦802）</w:t>
      </w:r>
      <w:r>
        <w:rPr>
          <w:rFonts w:hint="eastAsia" w:ascii="宋体" w:hAnsi="宋体" w:cs="宋体"/>
          <w:color w:val="auto"/>
          <w:sz w:val="24"/>
          <w:szCs w:val="24"/>
          <w:highlight w:val="none"/>
        </w:rPr>
        <w:t>获取招标文件，并于</w:t>
      </w:r>
      <w:r>
        <w:rPr>
          <w:rFonts w:hint="eastAsia" w:ascii="宋体" w:hAnsi="宋体" w:cs="宋体"/>
          <w:color w:val="auto"/>
          <w:sz w:val="24"/>
          <w:szCs w:val="24"/>
          <w:highlight w:val="none"/>
          <w:u w:val="single"/>
        </w:rPr>
        <w:t>2024</w:t>
      </w:r>
      <w:r>
        <w:rPr>
          <w:rFonts w:hint="eastAsia" w:ascii="宋体" w:hAnsi="宋体" w:cs="宋体"/>
          <w:bCs/>
          <w:color w:val="auto"/>
          <w:sz w:val="24"/>
          <w:szCs w:val="24"/>
          <w:highlight w:val="none"/>
          <w:u w:val="single"/>
        </w:rPr>
        <w:t>年07月</w:t>
      </w:r>
      <w:r>
        <w:rPr>
          <w:rFonts w:hint="eastAsia" w:ascii="宋体" w:hAnsi="宋体" w:cs="宋体"/>
          <w:bCs/>
          <w:color w:val="auto"/>
          <w:sz w:val="24"/>
          <w:szCs w:val="24"/>
          <w:highlight w:val="none"/>
          <w:u w:val="single"/>
          <w:lang w:val="en-US" w:eastAsia="zh-CN"/>
        </w:rPr>
        <w:t>26</w:t>
      </w:r>
      <w:r>
        <w:rPr>
          <w:rFonts w:hint="eastAsia" w:ascii="宋体" w:hAnsi="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09</w:t>
      </w:r>
      <w:r>
        <w:rPr>
          <w:rFonts w:hint="eastAsia" w:ascii="宋体" w:hAnsi="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30</w:t>
      </w:r>
      <w:r>
        <w:rPr>
          <w:rFonts w:hint="eastAsia" w:ascii="宋体" w:hAnsi="宋体" w:cs="宋体"/>
          <w:bCs/>
          <w:color w:val="auto"/>
          <w:sz w:val="24"/>
          <w:szCs w:val="24"/>
          <w:highlight w:val="none"/>
          <w:u w:val="single"/>
        </w:rPr>
        <w:t>分（</w:t>
      </w:r>
      <w:r>
        <w:rPr>
          <w:rFonts w:hint="eastAsia" w:ascii="宋体" w:hAnsi="宋体" w:cs="宋体"/>
          <w:bCs/>
          <w:color w:val="auto"/>
          <w:sz w:val="24"/>
          <w:szCs w:val="24"/>
          <w:highlight w:val="none"/>
        </w:rPr>
        <w:t>北京时间）前递交投标文件</w:t>
      </w:r>
      <w:r>
        <w:rPr>
          <w:rFonts w:hint="eastAsia" w:ascii="宋体" w:hAnsi="宋体" w:cs="宋体"/>
          <w:color w:val="auto"/>
          <w:sz w:val="24"/>
          <w:szCs w:val="24"/>
          <w:highlight w:val="none"/>
        </w:rPr>
        <w:t>。</w:t>
      </w:r>
    </w:p>
    <w:p>
      <w:pPr>
        <w:pStyle w:val="3"/>
        <w:spacing w:before="0" w:after="0" w:line="360" w:lineRule="auto"/>
        <w:ind w:left="0" w:firstLine="0"/>
        <w:rPr>
          <w:rFonts w:hint="eastAsia" w:ascii="宋体" w:hAnsi="宋体" w:eastAsia="宋体" w:cs="宋体"/>
          <w:b w:val="0"/>
          <w:color w:val="auto"/>
          <w:sz w:val="24"/>
          <w:szCs w:val="24"/>
          <w:highlight w:val="none"/>
        </w:rPr>
      </w:pPr>
      <w:bookmarkStart w:id="1" w:name="_Toc35393790"/>
      <w:bookmarkStart w:id="2" w:name="_Toc35393621"/>
      <w:bookmarkStart w:id="3" w:name="_Toc28359002"/>
      <w:bookmarkStart w:id="4" w:name="_Toc28359079"/>
      <w:bookmarkStart w:id="5" w:name="_Hlk24379207"/>
      <w:r>
        <w:rPr>
          <w:rFonts w:hint="eastAsia" w:ascii="宋体" w:hAnsi="宋体" w:eastAsia="宋体" w:cs="宋体"/>
          <w:b w:val="0"/>
          <w:color w:val="auto"/>
          <w:sz w:val="24"/>
          <w:szCs w:val="24"/>
          <w:highlight w:val="none"/>
        </w:rPr>
        <w:t>一、项目基本情况</w:t>
      </w:r>
      <w:bookmarkEnd w:id="1"/>
      <w:bookmarkEnd w:id="2"/>
      <w:bookmarkEnd w:id="3"/>
      <w:bookmarkEnd w:id="4"/>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1.项目编号：0835-240ZA9301081</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2.项目名称：国家税务总局茂名市电白区税务局2024至2025年饭堂后勤服务</w:t>
      </w:r>
    </w:p>
    <w:bookmarkEnd w:id="5"/>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3.预算金额：人民币贰佰叁拾捌万贰仟陆佰玖拾陆元整（¥2,382,696.00）。</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最高限价（如有）：¥2,382,696.00元。</w:t>
      </w:r>
    </w:p>
    <w:p>
      <w:pPr>
        <w:spacing w:line="360" w:lineRule="auto"/>
        <w:ind w:firstLine="480" w:firstLineChars="200"/>
        <w:rPr>
          <w:rFonts w:hint="eastAsia"/>
          <w:color w:val="auto"/>
          <w:sz w:val="24"/>
          <w:szCs w:val="24"/>
          <w:highlight w:val="none"/>
        </w:rPr>
      </w:pPr>
      <w:r>
        <w:rPr>
          <w:rFonts w:hint="eastAsia" w:ascii="宋体" w:hAnsi="宋体" w:cs="宋体"/>
          <w:color w:val="auto"/>
          <w:sz w:val="24"/>
          <w:szCs w:val="24"/>
          <w:highlight w:val="none"/>
        </w:rPr>
        <w:t>4.合同履行期限：2年，采取1+1服务模式签订合同，即在第一年的合同期满前二个月内，由采购人做好充分的评估后，确定是否继续执行合同。如确定继续执行合同，则与服务公司再续签1年合同。</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5.本项目不接受联合体投标。</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6.需要落实的政府采购政策：</w:t>
      </w:r>
    </w:p>
    <w:p>
      <w:pPr>
        <w:pStyle w:val="3"/>
        <w:spacing w:before="0" w:after="0" w:line="360" w:lineRule="auto"/>
        <w:ind w:left="0" w:firstLine="638" w:firstLineChars="266"/>
        <w:rPr>
          <w:rFonts w:hint="eastAsia" w:ascii="宋体" w:hAnsi="宋体" w:eastAsia="宋体" w:cs="宋体"/>
          <w:b w:val="0"/>
          <w:color w:val="auto"/>
          <w:sz w:val="24"/>
          <w:szCs w:val="24"/>
          <w:highlight w:val="none"/>
        </w:rPr>
      </w:pPr>
      <w:bookmarkStart w:id="6" w:name="_Toc28359003"/>
      <w:bookmarkStart w:id="7" w:name="_Toc35393622"/>
      <w:bookmarkStart w:id="8" w:name="_Toc28359080"/>
      <w:bookmarkStart w:id="9" w:name="_Toc35393791"/>
      <w:r>
        <w:rPr>
          <w:rFonts w:hint="eastAsia" w:ascii="宋体" w:hAnsi="宋体" w:eastAsia="宋体" w:cs="宋体"/>
          <w:b w:val="0"/>
          <w:color w:val="auto"/>
          <w:sz w:val="24"/>
          <w:szCs w:val="24"/>
          <w:highlight w:val="none"/>
        </w:rPr>
        <w:t xml:space="preserve">（1）《政府采购促进中小企业发展管理办法》（财库〔2020〕46号） </w:t>
      </w:r>
    </w:p>
    <w:p>
      <w:pPr>
        <w:pStyle w:val="3"/>
        <w:spacing w:before="0" w:after="0" w:line="360" w:lineRule="auto"/>
        <w:ind w:left="0" w:firstLine="638" w:firstLineChars="266"/>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（2）《关于政府采购支持监狱企业发展有关问题的通知》(财库〔2014〕68号)</w:t>
      </w:r>
    </w:p>
    <w:p>
      <w:pPr>
        <w:pStyle w:val="3"/>
        <w:spacing w:before="0" w:after="0" w:line="360" w:lineRule="auto"/>
        <w:ind w:left="0" w:firstLine="638" w:firstLineChars="266"/>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 xml:space="preserve">（3）《关于促进残疾人就业政府采购政策的通知》（财库〔2017〕141号) </w:t>
      </w:r>
    </w:p>
    <w:p>
      <w:pPr>
        <w:pStyle w:val="3"/>
        <w:spacing w:before="0" w:after="0" w:line="360" w:lineRule="auto"/>
        <w:ind w:left="0" w:firstLine="638" w:firstLineChars="266"/>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 xml:space="preserve">（4）《财政部 发展改革委 生态环境部 市场监管总局 关于调整优化节能产品、环境标志产品政府采购执行机制的通知》（财库〔2019〕9号） </w:t>
      </w:r>
    </w:p>
    <w:p>
      <w:pPr>
        <w:pStyle w:val="3"/>
        <w:spacing w:before="0" w:after="0" w:line="360" w:lineRule="auto"/>
        <w:ind w:left="0" w:firstLine="638" w:firstLineChars="266"/>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（5）《节能产品政府采购实施意见》的通知（财库〔2004〕185号）</w:t>
      </w:r>
    </w:p>
    <w:p>
      <w:pPr>
        <w:pStyle w:val="3"/>
        <w:spacing w:before="0" w:after="0" w:line="360" w:lineRule="auto"/>
        <w:ind w:left="0" w:firstLine="638" w:firstLineChars="266"/>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（6）《商品包装政府采购需求标准（试行）》、《快递包装政府采购需求标准（试行）》（财办库〔2020〕123号）</w:t>
      </w:r>
    </w:p>
    <w:p>
      <w:pPr>
        <w:pStyle w:val="3"/>
        <w:spacing w:before="0" w:after="0" w:line="360" w:lineRule="auto"/>
        <w:ind w:left="0" w:firstLine="240" w:firstLineChars="1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二、</w:t>
      </w:r>
      <w:r>
        <w:rPr>
          <w:rFonts w:hint="eastAsia" w:ascii="宋体" w:hAnsi="宋体" w:eastAsia="宋体" w:cs="宋体"/>
          <w:b w:val="0"/>
          <w:color w:val="auto"/>
          <w:sz w:val="24"/>
          <w:szCs w:val="24"/>
          <w:highlight w:val="none"/>
          <w:lang w:val="en-US" w:eastAsia="zh-CN"/>
        </w:rPr>
        <w:t>供应商</w:t>
      </w:r>
      <w:r>
        <w:rPr>
          <w:rFonts w:hint="eastAsia" w:ascii="宋体" w:hAnsi="宋体" w:eastAsia="宋体" w:cs="宋体"/>
          <w:b w:val="0"/>
          <w:color w:val="auto"/>
          <w:sz w:val="24"/>
          <w:szCs w:val="24"/>
          <w:highlight w:val="none"/>
        </w:rPr>
        <w:t>的资格要求：</w:t>
      </w:r>
      <w:bookmarkEnd w:id="6"/>
      <w:bookmarkEnd w:id="7"/>
      <w:bookmarkEnd w:id="8"/>
      <w:bookmarkEnd w:id="9"/>
    </w:p>
    <w:p>
      <w:pPr>
        <w:spacing w:line="500" w:lineRule="exact"/>
        <w:ind w:firstLine="480"/>
        <w:rPr>
          <w:rFonts w:hint="eastAsia" w:ascii="宋体" w:hAnsi="宋体" w:cs="宋体"/>
          <w:color w:val="auto"/>
          <w:sz w:val="24"/>
          <w:szCs w:val="24"/>
          <w:highlight w:val="none"/>
          <w:lang w:val="zh-CN"/>
        </w:rPr>
      </w:pPr>
      <w:bookmarkStart w:id="10" w:name="_Toc28359081"/>
      <w:bookmarkStart w:id="11" w:name="_Toc35393623"/>
      <w:bookmarkStart w:id="12" w:name="_Toc28359004"/>
      <w:bookmarkStart w:id="13" w:name="_Toc35393792"/>
      <w:r>
        <w:rPr>
          <w:rFonts w:hint="eastAsia" w:ascii="宋体" w:hAnsi="宋体" w:cs="宋体"/>
          <w:color w:val="auto"/>
          <w:sz w:val="24"/>
          <w:szCs w:val="24"/>
          <w:highlight w:val="none"/>
          <w:lang w:val="zh-CN"/>
        </w:rPr>
        <w:t>1、供应商须具备《中华人民共和国政府采购法》第二十二条规定的条件：</w:t>
      </w:r>
    </w:p>
    <w:p>
      <w:pPr>
        <w:spacing w:line="500" w:lineRule="exact"/>
        <w:ind w:firstLine="48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Pr>
        <w:spacing w:line="500" w:lineRule="exact"/>
        <w:ind w:firstLine="48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（2）具有良好的商业信誉和健全的财务会计制度</w:t>
      </w:r>
      <w:r>
        <w:rPr>
          <w:rFonts w:hint="eastAsia" w:ascii="宋体" w:hAnsi="宋体" w:cs="宋体"/>
          <w:b/>
          <w:bCs/>
          <w:snapToGrid w:val="0"/>
          <w:color w:val="auto"/>
          <w:sz w:val="24"/>
          <w:szCs w:val="24"/>
          <w:highlight w:val="none"/>
          <w:lang w:val="hr-HR"/>
        </w:rPr>
        <w:t>【提供202</w:t>
      </w:r>
      <w:r>
        <w:rPr>
          <w:rFonts w:hint="eastAsia" w:ascii="宋体" w:hAnsi="宋体" w:cs="宋体"/>
          <w:b/>
          <w:bCs/>
          <w:snapToGrid w:val="0"/>
          <w:color w:val="auto"/>
          <w:sz w:val="24"/>
          <w:szCs w:val="24"/>
          <w:highlight w:val="none"/>
        </w:rPr>
        <w:t>3</w:t>
      </w:r>
      <w:r>
        <w:rPr>
          <w:rFonts w:hint="eastAsia" w:ascii="宋体" w:hAnsi="宋体" w:cs="宋体"/>
          <w:b/>
          <w:bCs/>
          <w:snapToGrid w:val="0"/>
          <w:color w:val="auto"/>
          <w:sz w:val="24"/>
          <w:szCs w:val="24"/>
          <w:highlight w:val="none"/>
          <w:lang w:val="hr-HR"/>
        </w:rPr>
        <w:t>年度或202</w:t>
      </w:r>
      <w:r>
        <w:rPr>
          <w:rFonts w:hint="eastAsia" w:ascii="宋体" w:hAnsi="宋体" w:cs="宋体"/>
          <w:b/>
          <w:bCs/>
          <w:snapToGrid w:val="0"/>
          <w:color w:val="auto"/>
          <w:sz w:val="24"/>
          <w:szCs w:val="24"/>
          <w:highlight w:val="none"/>
        </w:rPr>
        <w:t>4</w:t>
      </w:r>
      <w:r>
        <w:rPr>
          <w:rFonts w:hint="eastAsia" w:ascii="宋体" w:hAnsi="宋体" w:cs="宋体"/>
          <w:b/>
          <w:bCs/>
          <w:snapToGrid w:val="0"/>
          <w:color w:val="auto"/>
          <w:sz w:val="24"/>
          <w:szCs w:val="24"/>
          <w:highlight w:val="none"/>
          <w:lang w:val="hr-HR"/>
        </w:rPr>
        <w:t>年</w:t>
      </w:r>
      <w:r>
        <w:rPr>
          <w:rFonts w:hint="eastAsia" w:ascii="宋体" w:hAnsi="宋体" w:cs="宋体"/>
          <w:b/>
          <w:bCs/>
          <w:snapToGrid w:val="0"/>
          <w:color w:val="auto"/>
          <w:sz w:val="24"/>
          <w:szCs w:val="24"/>
          <w:highlight w:val="none"/>
          <w:lang w:val="en-US" w:eastAsia="zh-CN"/>
        </w:rPr>
        <w:t>任意一</w:t>
      </w:r>
      <w:r>
        <w:rPr>
          <w:rFonts w:hint="eastAsia" w:ascii="宋体" w:hAnsi="宋体" w:cs="宋体"/>
          <w:b/>
          <w:bCs/>
          <w:snapToGrid w:val="0"/>
          <w:color w:val="auto"/>
          <w:sz w:val="24"/>
          <w:szCs w:val="24"/>
          <w:highlight w:val="none"/>
          <w:lang w:val="hr-HR"/>
        </w:rPr>
        <w:t>个月财务报告（表）或基本开户银行出具的银行资信证明，其他组织或自然人可提供银行出具的资信证明，新成立的企业提供成立至今的财务报告（表）】</w:t>
      </w:r>
      <w:r>
        <w:rPr>
          <w:rFonts w:hint="eastAsia" w:ascii="宋体" w:hAnsi="宋体" w:cs="宋体"/>
          <w:color w:val="auto"/>
          <w:sz w:val="24"/>
          <w:szCs w:val="24"/>
          <w:highlight w:val="none"/>
          <w:lang w:val="zh-CN"/>
        </w:rPr>
        <w:t>；</w:t>
      </w:r>
    </w:p>
    <w:p>
      <w:pPr>
        <w:spacing w:line="500" w:lineRule="exact"/>
        <w:ind w:firstLine="48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3</w:t>
      </w:r>
      <w:r>
        <w:rPr>
          <w:rFonts w:hint="eastAsia" w:ascii="宋体" w:hAnsi="宋体" w:cs="宋体"/>
          <w:color w:val="auto"/>
          <w:sz w:val="24"/>
          <w:szCs w:val="24"/>
          <w:highlight w:val="none"/>
          <w:lang w:val="zh-CN"/>
        </w:rPr>
        <w:t>）具有履行合同所必需的设备和专业技术能力</w:t>
      </w:r>
      <w:r>
        <w:rPr>
          <w:rFonts w:hint="eastAsia" w:ascii="宋体" w:hAnsi="宋体" w:cs="宋体"/>
          <w:b/>
          <w:bCs/>
          <w:snapToGrid w:val="0"/>
          <w:color w:val="auto"/>
          <w:sz w:val="24"/>
          <w:szCs w:val="24"/>
          <w:highlight w:val="none"/>
          <w:lang w:val="hr-HR"/>
        </w:rPr>
        <w:t>（提供书面声明，</w:t>
      </w:r>
      <w:r>
        <w:rPr>
          <w:rFonts w:hint="eastAsia" w:ascii="宋体" w:hAnsi="宋体" w:cs="宋体"/>
          <w:b/>
          <w:bCs/>
          <w:snapToGrid w:val="0"/>
          <w:color w:val="auto"/>
          <w:sz w:val="24"/>
          <w:szCs w:val="24"/>
          <w:highlight w:val="none"/>
        </w:rPr>
        <w:t>格式自拟</w:t>
      </w:r>
      <w:r>
        <w:rPr>
          <w:rFonts w:hint="eastAsia" w:ascii="宋体" w:hAnsi="宋体" w:cs="宋体"/>
          <w:b/>
          <w:bCs/>
          <w:snapToGrid w:val="0"/>
          <w:color w:val="auto"/>
          <w:sz w:val="24"/>
          <w:szCs w:val="24"/>
          <w:highlight w:val="none"/>
          <w:lang w:val="hr-HR"/>
        </w:rPr>
        <w:t>）</w:t>
      </w:r>
      <w:r>
        <w:rPr>
          <w:rFonts w:hint="eastAsia" w:ascii="宋体" w:hAnsi="宋体" w:cs="宋体"/>
          <w:color w:val="auto"/>
          <w:sz w:val="24"/>
          <w:szCs w:val="24"/>
          <w:highlight w:val="none"/>
          <w:lang w:val="zh-CN"/>
        </w:rPr>
        <w:t>；</w:t>
      </w:r>
    </w:p>
    <w:p>
      <w:pPr>
        <w:spacing w:line="500" w:lineRule="exact"/>
        <w:ind w:firstLine="48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4</w:t>
      </w:r>
      <w:r>
        <w:rPr>
          <w:rFonts w:hint="eastAsia" w:ascii="宋体" w:hAnsi="宋体" w:cs="宋体"/>
          <w:color w:val="auto"/>
          <w:sz w:val="24"/>
          <w:szCs w:val="24"/>
          <w:highlight w:val="none"/>
          <w:lang w:val="zh-CN"/>
        </w:rPr>
        <w:t>）具有依法缴纳税收和社会保障资金的良好记录</w:t>
      </w:r>
      <w:r>
        <w:rPr>
          <w:rFonts w:hint="eastAsia" w:ascii="宋体" w:hAnsi="宋体" w:cs="宋体"/>
          <w:b/>
          <w:bCs/>
          <w:snapToGrid w:val="0"/>
          <w:color w:val="auto"/>
          <w:sz w:val="24"/>
          <w:szCs w:val="24"/>
          <w:highlight w:val="none"/>
          <w:lang w:val="hr-HR"/>
        </w:rPr>
        <w:t>（</w:t>
      </w:r>
      <w:r>
        <w:rPr>
          <w:rFonts w:hint="eastAsia" w:ascii="宋体" w:hAnsi="宋体" w:cs="宋体"/>
          <w:b/>
          <w:bCs/>
          <w:snapToGrid w:val="0"/>
          <w:color w:val="auto"/>
          <w:sz w:val="24"/>
          <w:szCs w:val="24"/>
          <w:highlight w:val="none"/>
        </w:rPr>
        <w:t>提供投标截止日前6个月内</w:t>
      </w:r>
      <w:r>
        <w:rPr>
          <w:rFonts w:hint="eastAsia" w:ascii="宋体" w:hAnsi="宋体" w:cs="宋体"/>
          <w:b/>
          <w:bCs/>
          <w:snapToGrid w:val="0"/>
          <w:color w:val="auto"/>
          <w:sz w:val="24"/>
          <w:szCs w:val="24"/>
          <w:highlight w:val="none"/>
          <w:lang w:val="en-US" w:eastAsia="zh-CN"/>
        </w:rPr>
        <w:t>任意一</w:t>
      </w:r>
      <w:r>
        <w:rPr>
          <w:rFonts w:hint="eastAsia" w:ascii="宋体" w:hAnsi="宋体" w:cs="宋体"/>
          <w:b/>
          <w:bCs/>
          <w:snapToGrid w:val="0"/>
          <w:color w:val="auto"/>
          <w:sz w:val="24"/>
          <w:szCs w:val="24"/>
          <w:highlight w:val="none"/>
        </w:rPr>
        <w:t>个月的缴纳税收证明和单位参加社会保险证明。如依法免税或不需要缴纳社保的，应提供相应文件证明，新成立未满3个月的企业提供成立至今的社保缴纳凭证</w:t>
      </w:r>
      <w:r>
        <w:rPr>
          <w:rFonts w:hint="eastAsia" w:ascii="宋体" w:hAnsi="宋体" w:cs="宋体"/>
          <w:b/>
          <w:bCs/>
          <w:snapToGrid w:val="0"/>
          <w:color w:val="auto"/>
          <w:sz w:val="24"/>
          <w:szCs w:val="24"/>
          <w:highlight w:val="none"/>
          <w:lang w:val="hr-HR"/>
        </w:rPr>
        <w:t>）</w:t>
      </w:r>
      <w:r>
        <w:rPr>
          <w:rFonts w:hint="eastAsia" w:ascii="宋体" w:hAnsi="宋体" w:cs="宋体"/>
          <w:color w:val="auto"/>
          <w:sz w:val="24"/>
          <w:szCs w:val="24"/>
          <w:highlight w:val="none"/>
          <w:lang w:val="zh-CN"/>
        </w:rPr>
        <w:t>；</w:t>
      </w:r>
    </w:p>
    <w:p>
      <w:pPr>
        <w:spacing w:line="500" w:lineRule="exact"/>
        <w:ind w:firstLine="48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（5）参加政府采购活动前三年内，在经营活动中没有重大违法记录</w:t>
      </w:r>
      <w:r>
        <w:rPr>
          <w:rFonts w:hint="eastAsia" w:ascii="宋体" w:hAnsi="宋体" w:cs="宋体"/>
          <w:b/>
          <w:bCs/>
          <w:snapToGrid w:val="0"/>
          <w:color w:val="auto"/>
          <w:sz w:val="24"/>
          <w:szCs w:val="24"/>
          <w:highlight w:val="none"/>
          <w:lang w:val="hr-HR"/>
        </w:rPr>
        <w:t>（提供书面声明，格式自拟）</w:t>
      </w:r>
      <w:r>
        <w:rPr>
          <w:rFonts w:hint="eastAsia" w:ascii="宋体" w:hAnsi="宋体" w:cs="宋体"/>
          <w:color w:val="auto"/>
          <w:sz w:val="24"/>
          <w:szCs w:val="24"/>
          <w:highlight w:val="none"/>
          <w:lang w:val="zh-CN"/>
        </w:rPr>
        <w:t>。</w:t>
      </w:r>
    </w:p>
    <w:p>
      <w:pPr>
        <w:spacing w:line="360" w:lineRule="auto"/>
        <w:ind w:firstLine="48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2、落实政府采购政策需满足的资格要求：</w:t>
      </w:r>
      <w:r>
        <w:rPr>
          <w:rFonts w:hint="eastAsia" w:ascii="宋体" w:hAnsi="宋体" w:cs="宋体"/>
          <w:b/>
          <w:bCs/>
          <w:color w:val="auto"/>
          <w:sz w:val="24"/>
          <w:szCs w:val="24"/>
          <w:highlight w:val="none"/>
          <w:u w:val="single"/>
          <w:lang w:val="zh-CN"/>
        </w:rPr>
        <w:t>本项目整体专门面向中小企业采购。</w:t>
      </w:r>
      <w:r>
        <w:rPr>
          <w:rFonts w:hint="eastAsia" w:ascii="宋体" w:hAnsi="宋体" w:cs="宋体"/>
          <w:color w:val="auto"/>
          <w:sz w:val="24"/>
          <w:szCs w:val="24"/>
          <w:highlight w:val="none"/>
          <w:lang w:val="zh-CN"/>
        </w:rPr>
        <w:t>参与的供应商须符合政策要求的中小企业（本项目行业为：</w:t>
      </w:r>
      <w:r>
        <w:rPr>
          <w:rFonts w:hint="eastAsia" w:ascii="宋体" w:hAnsi="宋体" w:cs="宋体"/>
          <w:color w:val="auto"/>
          <w:sz w:val="24"/>
          <w:szCs w:val="24"/>
          <w:highlight w:val="none"/>
          <w:lang w:eastAsia="zh-CN"/>
        </w:rPr>
        <w:t>餐饮业</w:t>
      </w:r>
      <w:r>
        <w:rPr>
          <w:rFonts w:hint="eastAsia" w:ascii="宋体" w:hAnsi="宋体" w:cs="宋体"/>
          <w:color w:val="auto"/>
          <w:sz w:val="24"/>
          <w:szCs w:val="24"/>
          <w:highlight w:val="none"/>
          <w:lang w:val="zh-CN"/>
        </w:rPr>
        <w:t>）。监狱企业、残疾人福利单位视同小型、微型企业。（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zh-CN"/>
        </w:rPr>
        <w:t>根据《关于印发中小企业划型标准规定的通知》工信部联企业〔2011〕300 号，本项目采购标的对应的中小企业划分标准所属行业为：</w:t>
      </w:r>
      <w:r>
        <w:rPr>
          <w:rFonts w:hint="eastAsia" w:ascii="宋体" w:hAnsi="宋体" w:cs="宋体"/>
          <w:b/>
          <w:bCs/>
          <w:color w:val="auto"/>
          <w:sz w:val="24"/>
          <w:szCs w:val="24"/>
          <w:highlight w:val="none"/>
          <w:u w:val="single"/>
          <w:lang w:eastAsia="zh-CN"/>
        </w:rPr>
        <w:t>餐饮业</w:t>
      </w:r>
      <w:r>
        <w:rPr>
          <w:rFonts w:hint="eastAsia" w:ascii="宋体" w:hAnsi="宋体" w:cs="宋体"/>
          <w:b/>
          <w:bCs/>
          <w:color w:val="auto"/>
          <w:sz w:val="24"/>
          <w:szCs w:val="24"/>
          <w:highlight w:val="none"/>
          <w:u w:val="single"/>
          <w:lang w:val="zh-CN"/>
        </w:rPr>
        <w:t>。</w:t>
      </w:r>
    </w:p>
    <w:p>
      <w:pPr>
        <w:spacing w:line="360" w:lineRule="auto"/>
        <w:ind w:firstLine="48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3、本项目的特定资格要求：</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（1）信用记录：</w:t>
      </w:r>
      <w:r>
        <w:rPr>
          <w:rFonts w:hint="eastAsia" w:ascii="宋体" w:hAnsi="宋体" w:cs="宋体"/>
          <w:color w:val="auto"/>
          <w:sz w:val="24"/>
          <w:szCs w:val="24"/>
          <w:highlight w:val="none"/>
          <w:lang w:val="zh-CN"/>
        </w:rPr>
        <w:t>供应商于投标截止日前未被列入</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信用中国</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网站</w:t>
      </w:r>
      <w:r>
        <w:rPr>
          <w:rFonts w:hint="eastAsia" w:ascii="宋体" w:hAnsi="宋体" w:cs="宋体"/>
          <w:color w:val="auto"/>
          <w:sz w:val="24"/>
          <w:szCs w:val="24"/>
          <w:highlight w:val="none"/>
        </w:rPr>
        <w:t>(www.creditchina.gov.cn)“</w:t>
      </w:r>
      <w:r>
        <w:rPr>
          <w:rFonts w:hint="eastAsia" w:ascii="宋体" w:hAnsi="宋体" w:cs="宋体"/>
          <w:color w:val="auto"/>
          <w:sz w:val="24"/>
          <w:szCs w:val="24"/>
          <w:highlight w:val="none"/>
          <w:lang w:val="zh-CN"/>
        </w:rPr>
        <w:t>记录失信被执行人或重大税收违法案件当事人名单</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记录名单。同时，不处于“中国政府采购网”网站(www.ccgp.gov.cn)“政府采购严重违法失信行为信息记录”中的禁止参加政府采购活动期间</w:t>
      </w:r>
      <w:r>
        <w:rPr>
          <w:rFonts w:hint="eastAsia" w:ascii="宋体" w:hAnsi="宋体" w:cs="宋体"/>
          <w:b/>
          <w:bCs/>
          <w:snapToGrid w:val="0"/>
          <w:color w:val="auto"/>
          <w:sz w:val="24"/>
          <w:szCs w:val="24"/>
          <w:highlight w:val="none"/>
          <w:lang w:val="hr-HR"/>
        </w:rPr>
        <w:t>（提供网上截图）</w:t>
      </w:r>
      <w:r>
        <w:rPr>
          <w:rFonts w:hint="eastAsia" w:ascii="宋体" w:hAnsi="宋体" w:cs="宋体"/>
          <w:color w:val="auto"/>
          <w:sz w:val="24"/>
          <w:szCs w:val="24"/>
          <w:highlight w:val="none"/>
        </w:rPr>
        <w:t>；</w:t>
      </w:r>
    </w:p>
    <w:p>
      <w:pPr>
        <w:spacing w:line="360" w:lineRule="auto"/>
        <w:ind w:firstLine="480" w:firstLineChars="200"/>
        <w:rPr>
          <w:rFonts w:hint="eastAsia" w:ascii="宋体" w:hAnsi="宋体" w:cs="宋体"/>
          <w:b/>
          <w:bCs/>
          <w:snapToGrid w:val="0"/>
          <w:color w:val="auto"/>
          <w:sz w:val="24"/>
          <w:szCs w:val="24"/>
          <w:highlight w:val="none"/>
          <w:lang w:val="hr-HR"/>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2</w:t>
      </w:r>
      <w:r>
        <w:rPr>
          <w:rFonts w:hint="eastAsia" w:ascii="宋体" w:hAnsi="宋体" w:cs="宋体"/>
          <w:color w:val="auto"/>
          <w:sz w:val="24"/>
          <w:szCs w:val="24"/>
          <w:highlight w:val="none"/>
          <w:lang w:val="zh-CN"/>
        </w:rPr>
        <w:t>）供应商必须符合法律、行政法规规定的其他条件</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单位负责人为同一人或者存在直接</w:t>
      </w:r>
      <w:r>
        <w:rPr>
          <w:rFonts w:hint="eastAsia" w:ascii="宋体" w:hAnsi="宋体" w:cs="宋体"/>
          <w:color w:val="auto"/>
          <w:sz w:val="24"/>
          <w:szCs w:val="24"/>
          <w:highlight w:val="none"/>
        </w:rPr>
        <w:t>控股、管理关系的不同供应商，不得同时参加本采购项目（包组）投标。 为本项目提供整体设计、规范编制或者项目管理、监理、检测等服务的供应商，不得再参与本项目投标。</w:t>
      </w:r>
      <w:r>
        <w:rPr>
          <w:rFonts w:hint="eastAsia" w:ascii="宋体" w:hAnsi="宋体" w:cs="宋体"/>
          <w:b/>
          <w:bCs/>
          <w:snapToGrid w:val="0"/>
          <w:color w:val="auto"/>
          <w:sz w:val="24"/>
          <w:szCs w:val="24"/>
          <w:highlight w:val="none"/>
          <w:lang w:val="hr-HR"/>
        </w:rPr>
        <w:t>（提供承诺函，</w:t>
      </w:r>
      <w:r>
        <w:rPr>
          <w:rFonts w:hint="eastAsia" w:ascii="宋体" w:hAnsi="宋体" w:cs="宋体"/>
          <w:b/>
          <w:bCs/>
          <w:snapToGrid w:val="0"/>
          <w:color w:val="auto"/>
          <w:sz w:val="24"/>
          <w:szCs w:val="24"/>
          <w:highlight w:val="none"/>
        </w:rPr>
        <w:t>格式自拟</w:t>
      </w:r>
      <w:r>
        <w:rPr>
          <w:rFonts w:hint="eastAsia" w:ascii="宋体" w:hAnsi="宋体" w:cs="宋体"/>
          <w:b/>
          <w:bCs/>
          <w:snapToGrid w:val="0"/>
          <w:color w:val="auto"/>
          <w:sz w:val="24"/>
          <w:szCs w:val="24"/>
          <w:highlight w:val="none"/>
          <w:lang w:val="hr-HR"/>
        </w:rPr>
        <w:t>）</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snapToGrid w:val="0"/>
          <w:color w:val="auto"/>
          <w:sz w:val="24"/>
          <w:szCs w:val="24"/>
          <w:highlight w:val="none"/>
        </w:rPr>
        <w:t>（3）</w:t>
      </w:r>
      <w:r>
        <w:rPr>
          <w:rFonts w:hint="eastAsia" w:ascii="宋体" w:hAnsi="宋体" w:cs="宋体"/>
          <w:color w:val="auto"/>
          <w:sz w:val="24"/>
          <w:szCs w:val="24"/>
          <w:highlight w:val="none"/>
        </w:rPr>
        <w:t>本项目不接受联合体报价</w:t>
      </w:r>
      <w:r>
        <w:rPr>
          <w:rFonts w:hint="eastAsia" w:ascii="宋体" w:hAnsi="宋体" w:cs="宋体"/>
          <w:b/>
          <w:bCs/>
          <w:snapToGrid w:val="0"/>
          <w:color w:val="auto"/>
          <w:sz w:val="24"/>
          <w:szCs w:val="24"/>
          <w:highlight w:val="none"/>
          <w:lang w:val="hr-HR"/>
        </w:rPr>
        <w:t>（提供书面声明，</w:t>
      </w:r>
      <w:r>
        <w:rPr>
          <w:rFonts w:hint="eastAsia" w:ascii="宋体" w:hAnsi="宋体" w:cs="宋体"/>
          <w:b/>
          <w:bCs/>
          <w:snapToGrid w:val="0"/>
          <w:color w:val="auto"/>
          <w:sz w:val="24"/>
          <w:szCs w:val="24"/>
          <w:highlight w:val="none"/>
        </w:rPr>
        <w:t>格式自拟</w:t>
      </w:r>
      <w:r>
        <w:rPr>
          <w:rFonts w:hint="eastAsia" w:ascii="宋体" w:hAnsi="宋体" w:cs="宋体"/>
          <w:b/>
          <w:bCs/>
          <w:snapToGrid w:val="0"/>
          <w:color w:val="auto"/>
          <w:sz w:val="24"/>
          <w:szCs w:val="24"/>
          <w:highlight w:val="none"/>
          <w:lang w:val="hr-HR"/>
        </w:rPr>
        <w:t>）</w:t>
      </w:r>
      <w:r>
        <w:rPr>
          <w:rFonts w:hint="eastAsia" w:ascii="宋体" w:hAnsi="宋体" w:cs="宋体"/>
          <w:color w:val="auto"/>
          <w:sz w:val="24"/>
          <w:szCs w:val="24"/>
          <w:highlight w:val="none"/>
        </w:rPr>
        <w:t>。</w:t>
      </w:r>
    </w:p>
    <w:p>
      <w:pPr>
        <w:pStyle w:val="3"/>
        <w:spacing w:before="0" w:after="0" w:line="360" w:lineRule="auto"/>
        <w:ind w:left="0" w:firstLine="0"/>
        <w:rPr>
          <w:rFonts w:hint="eastAsia" w:ascii="宋体" w:hAnsi="宋体" w:eastAsia="宋体" w:cs="宋体"/>
          <w:b w:val="0"/>
          <w:color w:val="auto"/>
          <w:sz w:val="24"/>
          <w:szCs w:val="24"/>
          <w:highlight w:val="none"/>
        </w:rPr>
      </w:pPr>
      <w:r>
        <w:rPr>
          <w:rFonts w:hint="eastAsia" w:eastAsia="宋体"/>
          <w:color w:val="auto"/>
          <w:highlight w:val="none"/>
        </w:rPr>
        <w:t xml:space="preserve"> </w:t>
      </w:r>
      <w:r>
        <w:rPr>
          <w:rFonts w:hint="eastAsia" w:ascii="宋体" w:hAnsi="宋体" w:eastAsia="宋体" w:cs="宋体"/>
          <w:b w:val="0"/>
          <w:color w:val="auto"/>
          <w:sz w:val="24"/>
          <w:szCs w:val="24"/>
          <w:highlight w:val="none"/>
        </w:rPr>
        <w:t>三、获取招标文件</w:t>
      </w:r>
      <w:bookmarkEnd w:id="10"/>
      <w:bookmarkEnd w:id="11"/>
      <w:bookmarkEnd w:id="12"/>
      <w:bookmarkEnd w:id="13"/>
    </w:p>
    <w:p>
      <w:pPr>
        <w:spacing w:line="360" w:lineRule="auto"/>
        <w:ind w:firstLine="540"/>
        <w:rPr>
          <w:rFonts w:hint="eastAsia" w:ascii="宋体" w:hAnsi="宋体" w:cs="宋体"/>
          <w:color w:val="auto"/>
          <w:sz w:val="24"/>
          <w:szCs w:val="24"/>
          <w:highlight w:val="none"/>
        </w:rPr>
      </w:pPr>
      <w:r>
        <w:rPr>
          <w:rFonts w:hint="eastAsia" w:ascii="宋体" w:hAnsi="宋体" w:cs="宋体"/>
          <w:color w:val="auto"/>
          <w:sz w:val="24"/>
          <w:szCs w:val="24"/>
          <w:highlight w:val="none"/>
        </w:rPr>
        <w:t>时间：2024年07月</w:t>
      </w:r>
      <w:r>
        <w:rPr>
          <w:rFonts w:hint="eastAsia" w:ascii="宋体" w:hAnsi="宋体" w:cs="宋体"/>
          <w:color w:val="auto"/>
          <w:sz w:val="24"/>
          <w:szCs w:val="24"/>
          <w:highlight w:val="none"/>
          <w:lang w:val="en-US" w:eastAsia="zh-CN"/>
        </w:rPr>
        <w:t>05</w:t>
      </w:r>
      <w:r>
        <w:rPr>
          <w:rFonts w:hint="eastAsia" w:ascii="宋体" w:hAnsi="宋体" w:cs="宋体"/>
          <w:color w:val="auto"/>
          <w:sz w:val="24"/>
          <w:szCs w:val="24"/>
          <w:highlight w:val="none"/>
        </w:rPr>
        <w:t>日至2024年07月</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日每日上午</w:t>
      </w:r>
      <w:r>
        <w:rPr>
          <w:rFonts w:hint="eastAsia" w:ascii="宋体" w:hAnsi="宋体" w:cs="宋体"/>
          <w:color w:val="auto"/>
          <w:sz w:val="24"/>
          <w:szCs w:val="24"/>
          <w:highlight w:val="none"/>
          <w:lang w:val="en-US" w:eastAsia="zh-CN"/>
        </w:rPr>
        <w:t>08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0～12:00，下午14:30～17:30（北京时间，法定节假日除外）</w:t>
      </w:r>
    </w:p>
    <w:p>
      <w:pPr>
        <w:spacing w:line="360" w:lineRule="auto"/>
        <w:ind w:firstLine="540"/>
        <w:rPr>
          <w:rFonts w:ascii="宋体" w:hAnsi="宋体" w:cs="宋体"/>
          <w:color w:val="auto"/>
          <w:sz w:val="24"/>
          <w:szCs w:val="24"/>
          <w:highlight w:val="none"/>
          <w:u w:val="single"/>
        </w:rPr>
      </w:pPr>
      <w:r>
        <w:rPr>
          <w:rFonts w:hint="eastAsia" w:ascii="宋体" w:hAnsi="宋体" w:cs="宋体"/>
          <w:color w:val="auto"/>
          <w:sz w:val="24"/>
          <w:szCs w:val="24"/>
          <w:highlight w:val="none"/>
        </w:rPr>
        <w:t>地点：现场获取或邮件获取</w:t>
      </w:r>
    </w:p>
    <w:p>
      <w:pPr>
        <w:spacing w:line="360" w:lineRule="auto"/>
        <w:ind w:firstLine="540"/>
        <w:rPr>
          <w:rFonts w:ascii="宋体" w:hAnsi="宋体" w:cs="宋体"/>
          <w:b/>
          <w:bCs/>
          <w:color w:val="auto"/>
          <w:sz w:val="24"/>
          <w:szCs w:val="24"/>
          <w:highlight w:val="none"/>
          <w:u w:val="single"/>
        </w:rPr>
      </w:pPr>
      <w:r>
        <w:rPr>
          <w:rFonts w:hint="eastAsia" w:ascii="宋体" w:hAnsi="宋体" w:cs="宋体"/>
          <w:color w:val="auto"/>
          <w:sz w:val="24"/>
          <w:szCs w:val="24"/>
          <w:highlight w:val="none"/>
        </w:rPr>
        <w:t>方式：符合资格的供应商到广东元正招标采购有限公司（</w:t>
      </w:r>
      <w:r>
        <w:rPr>
          <w:rFonts w:hint="eastAsia" w:ascii="宋体" w:hAnsi="宋体" w:cs="宋体"/>
          <w:b/>
          <w:bCs/>
          <w:color w:val="auto"/>
          <w:sz w:val="24"/>
          <w:szCs w:val="24"/>
          <w:highlight w:val="none"/>
        </w:rPr>
        <w:t>茂名市光华南路118号润威商厦802</w:t>
      </w:r>
      <w:r>
        <w:rPr>
          <w:rFonts w:hint="eastAsia" w:ascii="宋体" w:hAnsi="宋体" w:cs="宋体"/>
          <w:color w:val="auto"/>
          <w:sz w:val="24"/>
          <w:szCs w:val="24"/>
          <w:highlight w:val="none"/>
        </w:rPr>
        <w:t>）领取招标文件或将招标公告附件的【投标报名表】填写扫描发送至gdyzmm@163.com，邮件名称备注：</w:t>
      </w:r>
      <w:r>
        <w:rPr>
          <w:rFonts w:hint="eastAsia" w:ascii="宋体" w:hAnsi="宋体" w:cs="宋体"/>
          <w:b/>
          <w:bCs/>
          <w:color w:val="auto"/>
          <w:sz w:val="24"/>
          <w:szCs w:val="24"/>
          <w:highlight w:val="none"/>
          <w:u w:val="single"/>
        </w:rPr>
        <w:t>1081国家税务总局茂名市电白区税务局2024至2025年饭堂后勤服务报名。</w:t>
      </w:r>
    </w:p>
    <w:p>
      <w:pPr>
        <w:spacing w:line="360" w:lineRule="auto"/>
        <w:ind w:firstLine="540"/>
        <w:rPr>
          <w:rFonts w:hint="eastAsia" w:ascii="宋体" w:hAnsi="宋体" w:cs="宋体"/>
          <w:color w:val="auto"/>
          <w:sz w:val="24"/>
          <w:szCs w:val="24"/>
          <w:highlight w:val="none"/>
        </w:rPr>
      </w:pPr>
      <w:r>
        <w:rPr>
          <w:rFonts w:hint="eastAsia" w:ascii="宋体" w:hAnsi="宋体" w:cs="宋体"/>
          <w:color w:val="auto"/>
          <w:sz w:val="24"/>
          <w:szCs w:val="24"/>
          <w:highlight w:val="none"/>
        </w:rPr>
        <w:t>售价：免费</w:t>
      </w:r>
    </w:p>
    <w:p>
      <w:pPr>
        <w:pStyle w:val="3"/>
        <w:spacing w:before="0" w:after="0" w:line="360" w:lineRule="auto"/>
        <w:ind w:left="0" w:firstLine="0"/>
        <w:rPr>
          <w:rFonts w:hint="eastAsia" w:ascii="宋体" w:hAnsi="宋体" w:eastAsia="宋体" w:cs="宋体"/>
          <w:b w:val="0"/>
          <w:color w:val="auto"/>
          <w:sz w:val="24"/>
          <w:szCs w:val="24"/>
          <w:highlight w:val="none"/>
        </w:rPr>
      </w:pPr>
      <w:bookmarkStart w:id="14" w:name="_Toc28359005"/>
      <w:bookmarkStart w:id="15" w:name="_Toc28359082"/>
      <w:bookmarkStart w:id="16" w:name="_Toc35393624"/>
      <w:bookmarkStart w:id="17" w:name="_Toc35393793"/>
      <w:r>
        <w:rPr>
          <w:rFonts w:hint="eastAsia" w:ascii="宋体" w:hAnsi="宋体" w:eastAsia="宋体" w:cs="宋体"/>
          <w:b w:val="0"/>
          <w:color w:val="auto"/>
          <w:sz w:val="24"/>
          <w:szCs w:val="24"/>
          <w:highlight w:val="none"/>
        </w:rPr>
        <w:t>四、提交投标文件</w:t>
      </w:r>
      <w:bookmarkEnd w:id="14"/>
      <w:bookmarkEnd w:id="15"/>
      <w:r>
        <w:rPr>
          <w:rFonts w:hint="eastAsia" w:ascii="宋体" w:hAnsi="宋体" w:eastAsia="宋体" w:cs="宋体"/>
          <w:b w:val="0"/>
          <w:color w:val="auto"/>
          <w:sz w:val="24"/>
          <w:szCs w:val="24"/>
          <w:highlight w:val="none"/>
        </w:rPr>
        <w:t>截止时间、开标时间和地点</w:t>
      </w:r>
      <w:bookmarkEnd w:id="16"/>
      <w:bookmarkEnd w:id="17"/>
    </w:p>
    <w:p>
      <w:pPr>
        <w:spacing w:line="360" w:lineRule="auto"/>
        <w:ind w:firstLine="480" w:firstLineChars="200"/>
        <w:rPr>
          <w:rFonts w:hint="eastAsia" w:ascii="宋体" w:hAnsi="宋体" w:cs="宋体"/>
          <w:bCs/>
          <w:color w:val="auto"/>
          <w:sz w:val="24"/>
          <w:szCs w:val="24"/>
          <w:highlight w:val="none"/>
          <w:u w:val="single"/>
        </w:rPr>
      </w:pPr>
      <w:r>
        <w:rPr>
          <w:rFonts w:hint="eastAsia" w:ascii="宋体" w:hAnsi="宋体" w:cs="宋体"/>
          <w:bCs/>
          <w:color w:val="auto"/>
          <w:sz w:val="24"/>
          <w:szCs w:val="24"/>
          <w:highlight w:val="none"/>
          <w:u w:val="single"/>
        </w:rPr>
        <w:t>2024年07月</w:t>
      </w:r>
      <w:r>
        <w:rPr>
          <w:rFonts w:hint="eastAsia" w:ascii="宋体" w:hAnsi="宋体" w:cs="宋体"/>
          <w:bCs/>
          <w:color w:val="auto"/>
          <w:sz w:val="24"/>
          <w:szCs w:val="24"/>
          <w:highlight w:val="none"/>
          <w:u w:val="single"/>
          <w:lang w:val="en-US" w:eastAsia="zh-CN"/>
        </w:rPr>
        <w:t>26</w:t>
      </w:r>
      <w:r>
        <w:rPr>
          <w:rFonts w:hint="eastAsia" w:ascii="宋体" w:hAnsi="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09</w:t>
      </w:r>
      <w:r>
        <w:rPr>
          <w:rFonts w:hint="eastAsia" w:ascii="宋体" w:hAnsi="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3</w:t>
      </w:r>
      <w:r>
        <w:rPr>
          <w:rFonts w:hint="eastAsia" w:ascii="宋体" w:hAnsi="宋体" w:cs="宋体"/>
          <w:bCs/>
          <w:color w:val="auto"/>
          <w:sz w:val="24"/>
          <w:szCs w:val="24"/>
          <w:highlight w:val="none"/>
          <w:u w:val="single"/>
        </w:rPr>
        <w:t>0分</w:t>
      </w:r>
      <w:r>
        <w:rPr>
          <w:rFonts w:hint="eastAsia" w:ascii="宋体" w:hAnsi="宋体" w:cs="宋体"/>
          <w:bCs/>
          <w:color w:val="auto"/>
          <w:sz w:val="24"/>
          <w:szCs w:val="24"/>
          <w:highlight w:val="none"/>
        </w:rPr>
        <w:t>（北京时间）</w:t>
      </w:r>
      <w:r>
        <w:rPr>
          <w:rFonts w:hint="eastAsia" w:ascii="宋体" w:hAnsi="宋体" w:cs="宋体"/>
          <w:iCs/>
          <w:color w:val="auto"/>
          <w:sz w:val="24"/>
          <w:szCs w:val="24"/>
          <w:highlight w:val="none"/>
          <w:u w:val="single"/>
        </w:rPr>
        <w:t>（</w:t>
      </w:r>
      <w:r>
        <w:rPr>
          <w:rFonts w:hint="eastAsia" w:ascii="宋体" w:hAnsi="宋体" w:cs="宋体"/>
          <w:i/>
          <w:color w:val="auto"/>
          <w:sz w:val="24"/>
          <w:szCs w:val="24"/>
          <w:highlight w:val="none"/>
          <w:u w:val="single"/>
        </w:rPr>
        <w:t>自招标文件开始发出之日起至投标人提交投标文件截止之日止，不得少于20日</w:t>
      </w:r>
      <w:r>
        <w:rPr>
          <w:rFonts w:hint="eastAsia" w:ascii="宋体" w:hAnsi="宋体" w:cs="宋体"/>
          <w:iCs/>
          <w:color w:val="auto"/>
          <w:sz w:val="24"/>
          <w:szCs w:val="24"/>
          <w:highlight w:val="none"/>
          <w:u w:val="single"/>
        </w:rPr>
        <w:t>）</w:t>
      </w:r>
    </w:p>
    <w:p>
      <w:pPr>
        <w:spacing w:line="360" w:lineRule="auto"/>
        <w:ind w:firstLine="480" w:firstLineChars="200"/>
        <w:rPr>
          <w:rFonts w:hint="eastAsia" w:ascii="宋体" w:hAnsi="宋体" w:cs="宋体"/>
          <w:bCs/>
          <w:color w:val="auto"/>
          <w:sz w:val="24"/>
          <w:szCs w:val="24"/>
          <w:highlight w:val="none"/>
          <w:u w:val="single"/>
        </w:rPr>
      </w:pPr>
      <w:r>
        <w:rPr>
          <w:rFonts w:hint="eastAsia" w:ascii="宋体" w:hAnsi="宋体" w:cs="宋体"/>
          <w:color w:val="auto"/>
          <w:sz w:val="24"/>
          <w:szCs w:val="24"/>
          <w:highlight w:val="none"/>
        </w:rPr>
        <w:t>地点：茂名市光华南路118号润威商厦702开标室</w:t>
      </w:r>
    </w:p>
    <w:p>
      <w:pPr>
        <w:pStyle w:val="3"/>
        <w:spacing w:before="0" w:after="0" w:line="360" w:lineRule="auto"/>
        <w:ind w:left="0" w:firstLine="0"/>
        <w:rPr>
          <w:rFonts w:hint="eastAsia" w:ascii="宋体" w:hAnsi="宋体" w:eastAsia="宋体" w:cs="宋体"/>
          <w:color w:val="auto"/>
          <w:sz w:val="24"/>
          <w:szCs w:val="24"/>
          <w:highlight w:val="none"/>
        </w:rPr>
      </w:pPr>
      <w:bookmarkStart w:id="18" w:name="_Toc35393794"/>
      <w:bookmarkStart w:id="19" w:name="_Toc28359007"/>
      <w:bookmarkStart w:id="20" w:name="_Toc28359084"/>
      <w:bookmarkStart w:id="21" w:name="_Toc35393625"/>
      <w:r>
        <w:rPr>
          <w:rFonts w:hint="eastAsia" w:ascii="宋体" w:hAnsi="宋体" w:eastAsia="宋体" w:cs="宋体"/>
          <w:b w:val="0"/>
          <w:color w:val="auto"/>
          <w:sz w:val="24"/>
          <w:szCs w:val="24"/>
          <w:highlight w:val="none"/>
        </w:rPr>
        <w:t>五、公告期限</w:t>
      </w:r>
      <w:bookmarkEnd w:id="18"/>
      <w:bookmarkEnd w:id="19"/>
      <w:bookmarkEnd w:id="20"/>
      <w:bookmarkEnd w:id="21"/>
      <w:r>
        <w:rPr>
          <w:rFonts w:hint="eastAsia" w:ascii="宋体" w:hAnsi="宋体" w:eastAsia="宋体" w:cs="宋体"/>
          <w:b w:val="0"/>
          <w:color w:val="auto"/>
          <w:sz w:val="24"/>
          <w:szCs w:val="24"/>
          <w:highlight w:val="none"/>
        </w:rPr>
        <w:t>：</w:t>
      </w:r>
      <w:r>
        <w:rPr>
          <w:rFonts w:hint="eastAsia" w:ascii="宋体" w:hAnsi="宋体" w:eastAsia="宋体" w:cs="宋体"/>
          <w:color w:val="auto"/>
          <w:sz w:val="24"/>
          <w:szCs w:val="24"/>
          <w:highlight w:val="none"/>
        </w:rPr>
        <w:t>自本公告发布之日起5个工作日。</w:t>
      </w:r>
    </w:p>
    <w:p>
      <w:pPr>
        <w:pStyle w:val="3"/>
        <w:spacing w:before="0" w:after="0" w:line="360" w:lineRule="auto"/>
        <w:ind w:left="0" w:firstLine="0"/>
        <w:rPr>
          <w:rFonts w:hint="eastAsia" w:ascii="宋体" w:hAnsi="宋体" w:eastAsia="宋体" w:cs="宋体"/>
          <w:b w:val="0"/>
          <w:color w:val="auto"/>
          <w:sz w:val="24"/>
          <w:szCs w:val="24"/>
          <w:highlight w:val="none"/>
        </w:rPr>
      </w:pPr>
      <w:bookmarkStart w:id="22" w:name="_Toc35393795"/>
      <w:bookmarkStart w:id="23" w:name="_Toc35393626"/>
      <w:r>
        <w:rPr>
          <w:rFonts w:hint="eastAsia" w:ascii="宋体" w:hAnsi="宋体" w:eastAsia="宋体" w:cs="宋体"/>
          <w:b w:val="0"/>
          <w:color w:val="auto"/>
          <w:sz w:val="24"/>
          <w:szCs w:val="24"/>
          <w:highlight w:val="none"/>
        </w:rPr>
        <w:t>六、其他补充事宜</w:t>
      </w:r>
      <w:bookmarkEnd w:id="22"/>
      <w:bookmarkEnd w:id="23"/>
    </w:p>
    <w:p>
      <w:pPr>
        <w:spacing w:line="360" w:lineRule="auto"/>
        <w:ind w:firstLine="482" w:firstLineChars="200"/>
        <w:rPr>
          <w:rFonts w:hint="eastAsia" w:ascii="宋体" w:hAnsi="宋体" w:cs="宋体"/>
          <w:b/>
          <w:bCs/>
          <w:color w:val="auto"/>
          <w:kern w:val="1"/>
          <w:sz w:val="24"/>
          <w:szCs w:val="24"/>
          <w:highlight w:val="none"/>
        </w:rPr>
      </w:pPr>
      <w:r>
        <w:rPr>
          <w:rFonts w:hint="eastAsia" w:ascii="宋体" w:hAnsi="宋体" w:cs="宋体"/>
          <w:b/>
          <w:bCs/>
          <w:color w:val="auto"/>
          <w:sz w:val="24"/>
          <w:szCs w:val="24"/>
          <w:highlight w:val="none"/>
        </w:rPr>
        <w:t>本次招标在上述规定的时间和地点进行公开开标，届时投标人的法定代表或其授权代表出席开标会及递交投标文件，携带身份证原件以备查核。要求其代表在整个开标会议程中完整履行签到、确认开标结果等职责，如未参加开标，视同认可开标结果并放弃对此提出异议的权利。</w:t>
      </w:r>
    </w:p>
    <w:p>
      <w:pPr>
        <w:pStyle w:val="3"/>
        <w:spacing w:before="0" w:after="0" w:line="360" w:lineRule="auto"/>
        <w:ind w:left="0" w:firstLine="0"/>
        <w:rPr>
          <w:rFonts w:hint="eastAsia" w:ascii="宋体" w:hAnsi="宋体" w:eastAsia="宋体" w:cs="宋体"/>
          <w:b w:val="0"/>
          <w:color w:val="auto"/>
          <w:sz w:val="24"/>
          <w:szCs w:val="24"/>
          <w:highlight w:val="none"/>
        </w:rPr>
      </w:pPr>
      <w:bookmarkStart w:id="24" w:name="_Toc35393796"/>
      <w:bookmarkStart w:id="25" w:name="_Toc35393627"/>
      <w:bookmarkStart w:id="26" w:name="_Toc28359085"/>
      <w:bookmarkStart w:id="27" w:name="_Toc28359008"/>
      <w:r>
        <w:rPr>
          <w:rFonts w:hint="eastAsia" w:ascii="宋体" w:hAnsi="宋体" w:eastAsia="宋体" w:cs="宋体"/>
          <w:b w:val="0"/>
          <w:color w:val="auto"/>
          <w:sz w:val="24"/>
          <w:szCs w:val="24"/>
          <w:highlight w:val="none"/>
        </w:rPr>
        <w:t>七、对本次招标提出询问，请按以下方式联系。</w:t>
      </w:r>
      <w:bookmarkEnd w:id="24"/>
      <w:bookmarkEnd w:id="25"/>
      <w:bookmarkEnd w:id="26"/>
      <w:bookmarkEnd w:id="27"/>
    </w:p>
    <w:p>
      <w:pPr>
        <w:widowControl/>
        <w:spacing w:line="360" w:lineRule="auto"/>
        <w:ind w:firstLine="420" w:firstLineChars="175"/>
        <w:jc w:val="left"/>
        <w:rPr>
          <w:rFonts w:ascii="宋体" w:hAnsi="宋体" w:cs="宋体"/>
          <w:color w:val="auto"/>
          <w:sz w:val="24"/>
          <w:szCs w:val="24"/>
          <w:highlight w:val="none"/>
        </w:rPr>
      </w:pPr>
      <w:r>
        <w:rPr>
          <w:rFonts w:hint="eastAsia" w:ascii="宋体" w:hAnsi="宋体" w:cs="宋体"/>
          <w:color w:val="auto"/>
          <w:sz w:val="24"/>
          <w:szCs w:val="24"/>
          <w:highlight w:val="none"/>
        </w:rPr>
        <w:t>1.采购人联系人：梁生</w:t>
      </w:r>
    </w:p>
    <w:p>
      <w:pPr>
        <w:widowControl/>
        <w:spacing w:line="360" w:lineRule="auto"/>
        <w:ind w:firstLine="660" w:firstLineChars="275"/>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电     话：0668-5121680</w:t>
      </w:r>
    </w:p>
    <w:p>
      <w:pPr>
        <w:widowControl/>
        <w:spacing w:line="360" w:lineRule="auto"/>
        <w:ind w:firstLine="420" w:firstLineChars="175"/>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2.采购代理机构联系人：雷小姐</w:t>
      </w:r>
    </w:p>
    <w:p>
      <w:pPr>
        <w:widowControl/>
        <w:spacing w:line="360" w:lineRule="auto"/>
        <w:ind w:firstLine="660" w:firstLineChars="275"/>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电    话：0668-281391 </w:t>
      </w:r>
    </w:p>
    <w:p>
      <w:pPr>
        <w:widowControl/>
        <w:spacing w:line="360" w:lineRule="auto"/>
        <w:ind w:firstLine="660" w:firstLineChars="275"/>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联系地址：茂名市光华南路118号润威商厦802</w:t>
      </w:r>
    </w:p>
    <w:p>
      <w:pPr>
        <w:spacing w:line="360" w:lineRule="auto"/>
        <w:jc w:val="right"/>
        <w:rPr>
          <w:rFonts w:hint="eastAsia" w:ascii="新宋体" w:hAnsi="新宋体" w:eastAsia="新宋体" w:cs="新宋体"/>
          <w:color w:val="auto"/>
          <w:kern w:val="1"/>
          <w:sz w:val="24"/>
          <w:szCs w:val="24"/>
          <w:highlight w:val="none"/>
        </w:rPr>
      </w:pPr>
    </w:p>
    <w:p>
      <w:pPr>
        <w:spacing w:line="360" w:lineRule="auto"/>
        <w:jc w:val="right"/>
        <w:rPr>
          <w:rFonts w:hint="eastAsia" w:ascii="新宋体" w:hAnsi="新宋体" w:eastAsia="新宋体" w:cs="新宋体"/>
          <w:color w:val="auto"/>
          <w:kern w:val="1"/>
          <w:sz w:val="24"/>
          <w:szCs w:val="24"/>
          <w:highlight w:val="none"/>
        </w:rPr>
      </w:pPr>
      <w:r>
        <w:rPr>
          <w:rFonts w:hint="eastAsia" w:ascii="新宋体" w:hAnsi="新宋体" w:eastAsia="新宋体" w:cs="新宋体"/>
          <w:color w:val="auto"/>
          <w:kern w:val="1"/>
          <w:sz w:val="24"/>
          <w:szCs w:val="24"/>
          <w:highlight w:val="none"/>
        </w:rPr>
        <w:t>广东元正招标采购有限公司</w:t>
      </w:r>
    </w:p>
    <w:p>
      <w:pPr>
        <w:spacing w:line="360" w:lineRule="auto"/>
        <w:ind w:firstLine="5832"/>
        <w:rPr>
          <w:rFonts w:hint="eastAsia"/>
          <w:b/>
          <w:bCs/>
          <w:color w:val="auto"/>
          <w:highlight w:val="none"/>
        </w:rPr>
      </w:pPr>
      <w:r>
        <w:rPr>
          <w:rFonts w:hint="eastAsia" w:ascii="新宋体" w:hAnsi="新宋体" w:eastAsia="新宋体" w:cs="新宋体"/>
          <w:color w:val="auto"/>
          <w:kern w:val="1"/>
          <w:sz w:val="24"/>
          <w:szCs w:val="24"/>
          <w:highlight w:val="none"/>
        </w:rPr>
        <w:t xml:space="preserve">     </w:t>
      </w:r>
      <w:r>
        <w:rPr>
          <w:rFonts w:hint="eastAsia" w:ascii="宋体" w:hAnsi="宋体" w:cs="宋体"/>
          <w:color w:val="auto"/>
          <w:kern w:val="1"/>
          <w:sz w:val="24"/>
          <w:szCs w:val="24"/>
          <w:highlight w:val="none"/>
        </w:rPr>
        <w:t>2024年07月</w:t>
      </w:r>
      <w:r>
        <w:rPr>
          <w:rFonts w:hint="eastAsia" w:ascii="宋体" w:hAnsi="宋体" w:cs="宋体"/>
          <w:color w:val="auto"/>
          <w:kern w:val="1"/>
          <w:sz w:val="24"/>
          <w:szCs w:val="24"/>
          <w:highlight w:val="none"/>
          <w:lang w:val="en-US" w:eastAsia="zh-CN"/>
        </w:rPr>
        <w:t>05</w:t>
      </w:r>
      <w:r>
        <w:rPr>
          <w:rFonts w:hint="eastAsia" w:ascii="宋体" w:hAnsi="宋体" w:cs="宋体"/>
          <w:color w:val="auto"/>
          <w:kern w:val="1"/>
          <w:sz w:val="24"/>
          <w:szCs w:val="24"/>
          <w:highlight w:val="none"/>
        </w:rPr>
        <w:t>日</w:t>
      </w:r>
    </w:p>
    <w:p>
      <w:pPr>
        <w:keepNext w:val="0"/>
        <w:keepLines w:val="0"/>
        <w:pageBreakBefore w:val="0"/>
        <w:kinsoku/>
        <w:wordWrap/>
        <w:overflowPunct/>
        <w:topLinePunct w:val="0"/>
        <w:autoSpaceDE/>
        <w:autoSpaceDN/>
        <w:bidi w:val="0"/>
        <w:adjustRightInd/>
        <w:snapToGrid/>
        <w:spacing w:line="360" w:lineRule="auto"/>
        <w:textAlignment w:val="auto"/>
        <w:rPr>
          <w:color w:val="auto"/>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color w:val="auto"/>
          <w:highlight w:val="none"/>
        </w:rPr>
        <w:sectPr>
          <w:footerReference r:id="rId9" w:type="first"/>
          <w:footerReference r:id="rId8" w:type="default"/>
          <w:pgSz w:w="11906" w:h="16838"/>
          <w:pgMar w:top="1440" w:right="1752" w:bottom="1440" w:left="1752"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bidi w:val="0"/>
        <w:rPr>
          <w:rFonts w:hint="eastAsia" w:ascii="华文中宋" w:hAnsi="华文中宋" w:eastAsia="华文中宋" w:cs="华文中宋"/>
          <w:color w:val="auto"/>
          <w:sz w:val="28"/>
          <w:szCs w:val="28"/>
          <w:highlight w:val="none"/>
        </w:rPr>
      </w:pPr>
      <w:bookmarkStart w:id="28" w:name="_Toc132880272"/>
      <w:r>
        <w:rPr>
          <w:rFonts w:hint="eastAsia" w:ascii="华文中宋" w:hAnsi="华文中宋" w:eastAsia="华文中宋" w:cs="华文中宋"/>
          <w:color w:val="auto"/>
          <w:sz w:val="28"/>
          <w:szCs w:val="28"/>
          <w:highlight w:val="none"/>
        </w:rPr>
        <w:t>第二章　投标人须知</w:t>
      </w:r>
      <w:bookmarkEnd w:id="28"/>
    </w:p>
    <w:p>
      <w:pPr>
        <w:bidi w:val="0"/>
        <w:jc w:val="center"/>
        <w:rPr>
          <w:rFonts w:hint="eastAsia" w:ascii="方正小标宋简体" w:hAnsi="方正小标宋简体" w:eastAsia="方正小标宋简体" w:cs="方正小标宋简体"/>
          <w:color w:val="auto"/>
          <w:sz w:val="24"/>
          <w:szCs w:val="24"/>
          <w:highlight w:val="none"/>
        </w:rPr>
      </w:pPr>
      <w:bookmarkStart w:id="29" w:name="_Toc132880273"/>
      <w:r>
        <w:rPr>
          <w:rFonts w:hint="eastAsia" w:ascii="方正小标宋简体" w:hAnsi="方正小标宋简体" w:eastAsia="方正小标宋简体" w:cs="方正小标宋简体"/>
          <w:color w:val="auto"/>
          <w:sz w:val="24"/>
          <w:szCs w:val="24"/>
          <w:highlight w:val="none"/>
        </w:rPr>
        <w:t>投标人须知前附表</w:t>
      </w:r>
      <w:bookmarkEnd w:id="29"/>
    </w:p>
    <w:tbl>
      <w:tblPr>
        <w:tblStyle w:val="13"/>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1984"/>
        <w:gridCol w:w="851"/>
        <w:gridCol w:w="5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 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类  别</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24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1984" w:type="dxa"/>
            <w:vMerge w:val="restart"/>
            <w:tcBorders>
              <w:top w:val="single" w:color="auto" w:sz="4" w:space="0"/>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项目名称、编号、预算及最高限价</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项目名称：国家税务总局茂名市电白区税务局2024至2025年饭堂后勤服务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项目编号：0835-240ZA9301081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tcBorders>
              <w:left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项目预算：2,382,696.00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最高限价：2,382,696.00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采购需求</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详见《招标文件（技术部分）》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项目属性和类别</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项目属性：</w:t>
            </w: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 xml:space="preserve">货物           </w:t>
            </w: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服务</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项目类别：</w:t>
            </w:r>
            <w:r>
              <w:rPr>
                <w:rFonts w:hint="default" w:ascii="Times New Roman" w:hAnsi="Times New Roman" w:eastAsia="宋体" w:cs="Times New Roman"/>
                <w:color w:val="auto"/>
                <w:sz w:val="21"/>
                <w:szCs w:val="21"/>
                <w:highlight w:val="none"/>
              </w:rPr>
              <w:sym w:font="Wingdings 2" w:char="00A3"/>
            </w:r>
            <w:r>
              <w:rPr>
                <w:rFonts w:hint="default" w:ascii="Times New Roman" w:hAnsi="Times New Roman" w:eastAsia="宋体" w:cs="Times New Roman"/>
                <w:color w:val="auto"/>
                <w:sz w:val="21"/>
                <w:szCs w:val="21"/>
                <w:highlight w:val="none"/>
              </w:rPr>
              <w:t xml:space="preserve">信息化项目     </w:t>
            </w: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非信息化项目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采购人</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名称：国家税务总局茂名市电白区税务局</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地址：</w:t>
            </w:r>
            <w:r>
              <w:t>茂名市电白区水东</w:t>
            </w:r>
            <w:r>
              <w:rPr>
                <w:rFonts w:hint="eastAsia"/>
                <w:lang w:val="en-US" w:eastAsia="zh-CN"/>
              </w:rPr>
              <w:t>街道</w:t>
            </w:r>
            <w:r>
              <w:t>海滨四路1号</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color w:val="auto"/>
                <w:sz w:val="21"/>
                <w:szCs w:val="21"/>
                <w:highlight w:val="none"/>
              </w:rPr>
              <w:t>联系</w:t>
            </w:r>
            <w:r>
              <w:rPr>
                <w:rFonts w:hint="default" w:ascii="Times New Roman" w:hAnsi="Times New Roman" w:eastAsia="宋体" w:cs="Times New Roman"/>
                <w:bCs/>
                <w:color w:val="auto"/>
                <w:sz w:val="21"/>
                <w:szCs w:val="21"/>
                <w:highlight w:val="none"/>
              </w:rPr>
              <w:t>电话：0668-5121680</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rPr>
              <w:t>联系方式：0668-5121680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采购代理机构</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名称：广东元正招标采购有限公司</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地址：茂名市光华南路118号润威商厦802</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color w:val="auto"/>
                <w:sz w:val="21"/>
                <w:szCs w:val="21"/>
                <w:highlight w:val="none"/>
              </w:rPr>
              <w:t>联系</w:t>
            </w:r>
            <w:r>
              <w:rPr>
                <w:rFonts w:hint="default" w:ascii="Times New Roman" w:hAnsi="Times New Roman" w:eastAsia="宋体" w:cs="Times New Roman"/>
                <w:bCs/>
                <w:color w:val="auto"/>
                <w:sz w:val="21"/>
                <w:szCs w:val="21"/>
                <w:highlight w:val="none"/>
              </w:rPr>
              <w:t>电话：0668-2281391</w:t>
            </w:r>
          </w:p>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联系方式：0668-2281391</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邮箱：gdyzmm@163.com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投标人资格要求</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1.符合国家</w:t>
            </w:r>
            <w:r>
              <w:rPr>
                <w:rFonts w:hint="default" w:ascii="Times New Roman" w:hAnsi="Times New Roman" w:eastAsia="宋体" w:cs="Times New Roman"/>
                <w:color w:val="auto"/>
                <w:sz w:val="21"/>
                <w:szCs w:val="21"/>
                <w:highlight w:val="none"/>
              </w:rPr>
              <w:t>有关</w:t>
            </w:r>
            <w:r>
              <w:rPr>
                <w:rFonts w:hint="default" w:ascii="Times New Roman" w:hAnsi="Times New Roman" w:eastAsia="宋体" w:cs="Times New Roman"/>
                <w:color w:val="auto"/>
                <w:sz w:val="21"/>
                <w:szCs w:val="21"/>
                <w:highlight w:val="none"/>
                <w:lang w:val="zh-CN"/>
              </w:rPr>
              <w:t>法律规定，在中国境内（指关境内）注册。</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2.具备</w:t>
            </w:r>
            <w:r>
              <w:rPr>
                <w:rFonts w:hint="default" w:ascii="Times New Roman" w:hAnsi="Times New Roman" w:eastAsia="宋体" w:cs="Times New Roman"/>
                <w:color w:val="auto"/>
                <w:sz w:val="21"/>
                <w:szCs w:val="21"/>
                <w:highlight w:val="none"/>
              </w:rPr>
              <w:t>《政府采购法》</w:t>
            </w:r>
            <w:r>
              <w:rPr>
                <w:rFonts w:hint="default" w:ascii="Times New Roman" w:hAnsi="Times New Roman" w:eastAsia="宋体" w:cs="Times New Roman"/>
                <w:color w:val="auto"/>
                <w:sz w:val="21"/>
                <w:szCs w:val="21"/>
                <w:highlight w:val="none"/>
                <w:lang w:val="zh-CN"/>
              </w:rPr>
              <w:t>第二十二条的规定：</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（1）具有独立</w:t>
            </w:r>
            <w:r>
              <w:rPr>
                <w:rFonts w:hint="default" w:ascii="Times New Roman" w:hAnsi="Times New Roman" w:eastAsia="宋体" w:cs="Times New Roman"/>
                <w:color w:val="auto"/>
                <w:sz w:val="21"/>
                <w:szCs w:val="21"/>
                <w:highlight w:val="none"/>
              </w:rPr>
              <w:t>承担</w:t>
            </w:r>
            <w:r>
              <w:rPr>
                <w:rFonts w:hint="default" w:ascii="Times New Roman" w:hAnsi="Times New Roman" w:eastAsia="宋体" w:cs="Times New Roman"/>
                <w:color w:val="auto"/>
                <w:sz w:val="21"/>
                <w:szCs w:val="21"/>
                <w:highlight w:val="none"/>
                <w:lang w:val="zh-CN"/>
              </w:rPr>
              <w:t>民事责任的能力；</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（2）具有良好的商业信誉和健全的财务会计制度；</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（3）具有履行</w:t>
            </w:r>
            <w:r>
              <w:rPr>
                <w:rFonts w:hint="default" w:ascii="Times New Roman" w:hAnsi="Times New Roman" w:eastAsia="宋体" w:cs="Times New Roman"/>
                <w:color w:val="auto"/>
                <w:sz w:val="21"/>
                <w:szCs w:val="21"/>
                <w:highlight w:val="none"/>
              </w:rPr>
              <w:t>合同</w:t>
            </w:r>
            <w:r>
              <w:rPr>
                <w:rFonts w:hint="default" w:ascii="Times New Roman" w:hAnsi="Times New Roman" w:eastAsia="宋体" w:cs="Times New Roman"/>
                <w:color w:val="auto"/>
                <w:sz w:val="21"/>
                <w:szCs w:val="21"/>
                <w:highlight w:val="none"/>
                <w:lang w:val="zh-CN"/>
              </w:rPr>
              <w:t>所必需的设备和专业技术能力；</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（4）有依法</w:t>
            </w:r>
            <w:r>
              <w:rPr>
                <w:rFonts w:hint="default" w:ascii="Times New Roman" w:hAnsi="Times New Roman" w:eastAsia="宋体" w:cs="Times New Roman"/>
                <w:color w:val="auto"/>
                <w:sz w:val="21"/>
                <w:szCs w:val="21"/>
                <w:highlight w:val="none"/>
              </w:rPr>
              <w:t>缴纳</w:t>
            </w:r>
            <w:r>
              <w:rPr>
                <w:rFonts w:hint="default" w:ascii="Times New Roman" w:hAnsi="Times New Roman" w:eastAsia="宋体" w:cs="Times New Roman"/>
                <w:color w:val="auto"/>
                <w:sz w:val="21"/>
                <w:szCs w:val="21"/>
                <w:highlight w:val="none"/>
                <w:lang w:val="zh-CN"/>
              </w:rPr>
              <w:t>税收和社会保障资金的良好记录；</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（5）参加政府</w:t>
            </w:r>
            <w:r>
              <w:rPr>
                <w:rFonts w:hint="default" w:ascii="Times New Roman" w:hAnsi="Times New Roman" w:eastAsia="宋体" w:cs="Times New Roman"/>
                <w:color w:val="auto"/>
                <w:sz w:val="21"/>
                <w:szCs w:val="21"/>
                <w:highlight w:val="none"/>
              </w:rPr>
              <w:t>采购</w:t>
            </w:r>
            <w:r>
              <w:rPr>
                <w:rFonts w:hint="default" w:ascii="Times New Roman" w:hAnsi="Times New Roman" w:eastAsia="宋体" w:cs="Times New Roman"/>
                <w:color w:val="auto"/>
                <w:sz w:val="21"/>
                <w:szCs w:val="21"/>
                <w:highlight w:val="none"/>
                <w:lang w:val="zh-CN"/>
              </w:rPr>
              <w:t>活动前三年内，在经营活动中没有重大违法记录；</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（6）法律、行政法规规定的其他条件。</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3.本项目的特定资格要求：</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信用记录：供应商于投标截止日前未被列入“信用中国”网站(www.creditchina.gov.cn)“记录失信被执行人或重大税收违法案件当事人名单”记录名单。同时，不处于“中国政府采购网”网站(www.ccgp.gov.cn)“政府采购严重违法失信行为信息记录”中的禁止参加政府采购活动期间（提供网上截图）；</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（2）供应商必须符合法律、行政法规规定的其他条件:单位负责人为同一人或者存在直接控股、管理关系的不同供应商，不得同时参加本采购项目（包组）投标。 为本项目提供整体设计、规范编制或者项目管理、监理、检测等服务的供应商，不得再参与本项目投标。（提供承诺函，格式自拟）</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（3）本项目不接受联合体报价（提供书面声明，格式自拟）。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是否接受联合体投标</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不接受</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接受（接受联合体投标且投标人为联合体的，投标人应提供联合体协议；否则无须提供。）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采购标的对应的中小企业划分标准所属行业</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u w:val="single"/>
              </w:rPr>
              <w:t>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非主体、非关键性工作分包</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是否允许中标人将本项目的非主体、非关键性工作进行分包：</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不允许</w:t>
            </w:r>
          </w:p>
          <w:p>
            <w:pPr>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□允许，</w:t>
            </w:r>
            <w:r>
              <w:rPr>
                <w:rFonts w:hint="default" w:ascii="Times New Roman" w:hAnsi="Times New Roman" w:eastAsia="宋体" w:cs="Times New Roman"/>
                <w:i/>
                <w:color w:val="auto"/>
                <w:sz w:val="21"/>
                <w:szCs w:val="21"/>
                <w:highlight w:val="none"/>
                <w:u w:val="single"/>
              </w:rPr>
              <w:t>（写明可以分包履行的具体内容、金额或者比例）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核心产品</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货物类项目填写此栏</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无</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有</w:t>
            </w:r>
          </w:p>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产品名称：</w:t>
            </w:r>
            <w:r>
              <w:rPr>
                <w:rFonts w:hint="default" w:ascii="Times New Roman" w:hAnsi="Times New Roman" w:eastAsia="宋体" w:cs="Times New Roman"/>
                <w:color w:val="auto"/>
                <w:sz w:val="21"/>
                <w:szCs w:val="21"/>
                <w:highlight w:val="none"/>
                <w:u w:val="single"/>
              </w:rPr>
              <w:t xml:space="preserve">      </w:t>
            </w:r>
          </w:p>
          <w:p>
            <w:pPr>
              <w:adjustRightInd w:val="0"/>
              <w:snapToGrid w:val="0"/>
              <w:spacing w:after="0" w:line="360" w:lineRule="auto"/>
              <w:jc w:val="left"/>
              <w:rPr>
                <w:rFonts w:hint="default" w:ascii="Times New Roman" w:hAnsi="Times New Roman" w:eastAsia="宋体" w:cs="Times New Roman"/>
                <w:b/>
                <w:bCs/>
                <w:color w:val="auto"/>
                <w:sz w:val="21"/>
                <w:szCs w:val="21"/>
                <w:highlight w:val="none"/>
                <w:lang w:val="zh-CN"/>
              </w:rPr>
            </w:pPr>
            <w:r>
              <w:rPr>
                <w:rFonts w:hint="default" w:ascii="Times New Roman" w:hAnsi="Times New Roman" w:eastAsia="宋体" w:cs="Times New Roman"/>
                <w:b/>
                <w:bCs/>
                <w:color w:val="auto"/>
                <w:sz w:val="21"/>
                <w:szCs w:val="21"/>
                <w:highlight w:val="none"/>
                <w:lang w:val="zh-CN"/>
              </w:rPr>
              <w:t>采用最低评标价法的采购项目，提供相同品牌产品的不同投标人参加同一合同项下投标的，以其中通过资格审查、符合性审查且报价最低的参加评标；报价相同的，由采购人或者采购人委托评标委员会按照</w:t>
            </w:r>
            <w:r>
              <w:rPr>
                <w:rFonts w:hint="default" w:ascii="Times New Roman" w:hAnsi="Times New Roman" w:eastAsia="宋体" w:cs="Times New Roman"/>
                <w:b/>
                <w:bCs/>
                <w:color w:val="auto"/>
                <w:sz w:val="21"/>
                <w:szCs w:val="21"/>
                <w:highlight w:val="none"/>
                <w:u w:val="single"/>
                <w:lang w:val="zh-CN"/>
              </w:rPr>
              <w:t xml:space="preserve">         </w:t>
            </w:r>
            <w:r>
              <w:rPr>
                <w:rFonts w:hint="default" w:ascii="Times New Roman" w:hAnsi="Times New Roman" w:eastAsia="宋体" w:cs="Times New Roman"/>
                <w:b/>
                <w:bCs/>
                <w:color w:val="auto"/>
                <w:sz w:val="21"/>
                <w:szCs w:val="21"/>
                <w:highlight w:val="none"/>
                <w:lang w:val="zh-CN"/>
              </w:rPr>
              <w:t>的方式确定一个参加评标的投标人，招标文件未规定的采取随机抽取方式确定，其他投标无效。</w:t>
            </w:r>
          </w:p>
          <w:p>
            <w:pPr>
              <w:adjustRightInd w:val="0"/>
              <w:snapToGrid w:val="0"/>
              <w:spacing w:after="0" w:line="360" w:lineRule="auto"/>
              <w:jc w:val="left"/>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b/>
                <w:bCs/>
                <w:color w:val="auto"/>
                <w:sz w:val="21"/>
                <w:szCs w:val="21"/>
                <w:highlight w:val="none"/>
                <w:lang w:val="zh-CN"/>
              </w:rPr>
              <w:t>采用综合评分法的采购项目，多家投标人提供的核心产品品牌相同，且通过资格审查、符合性审查的，按一家投标人计算，评审后得分最高的同品牌投标人获得中标人推荐资格，（</w:t>
            </w:r>
            <w:r>
              <w:rPr>
                <w:rFonts w:hint="default" w:ascii="Times New Roman" w:hAnsi="Times New Roman" w:cs="Times New Roman"/>
                <w:b/>
                <w:color w:val="auto"/>
                <w:sz w:val="21"/>
                <w:szCs w:val="21"/>
                <w:highlight w:val="none"/>
              </w:rPr>
              <w:t>评审得分相同的，由采购人或者采购人委托评标委员会按照</w:t>
            </w:r>
            <w:r>
              <w:rPr>
                <w:rFonts w:hint="default" w:ascii="Times New Roman" w:hAnsi="Times New Roman" w:cs="Times New Roman"/>
                <w:b/>
                <w:color w:val="auto"/>
                <w:sz w:val="21"/>
                <w:szCs w:val="21"/>
                <w:highlight w:val="none"/>
                <w:u w:val="single"/>
              </w:rPr>
              <w:t xml:space="preserve">             </w:t>
            </w:r>
            <w:r>
              <w:rPr>
                <w:rFonts w:hint="default" w:ascii="Times New Roman" w:hAnsi="Times New Roman" w:cs="Times New Roman"/>
                <w:b/>
                <w:color w:val="auto"/>
                <w:sz w:val="21"/>
                <w:szCs w:val="21"/>
                <w:highlight w:val="none"/>
              </w:rPr>
              <w:t>的方式确定一个投标人获得中标人推荐资格，招标文件未规定的采取随机抽取方式确定</w:t>
            </w:r>
            <w:r>
              <w:rPr>
                <w:rFonts w:hint="default" w:ascii="Times New Roman" w:hAnsi="Times New Roman" w:eastAsia="宋体" w:cs="Times New Roman"/>
                <w:b/>
                <w:bCs/>
                <w:color w:val="auto"/>
                <w:sz w:val="21"/>
                <w:szCs w:val="21"/>
                <w:highlight w:val="none"/>
                <w:lang w:val="zh-CN"/>
              </w:rPr>
              <w:t>），其他同品牌投标人不作为中标候选人。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采购进口产品</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A3"/>
            </w:r>
            <w:r>
              <w:rPr>
                <w:rFonts w:hint="default" w:ascii="Times New Roman" w:hAnsi="Times New Roman" w:eastAsia="宋体" w:cs="Times New Roman"/>
                <w:color w:val="auto"/>
                <w:sz w:val="21"/>
                <w:szCs w:val="21"/>
                <w:highlight w:val="none"/>
              </w:rPr>
              <w:t>本采购项目拒绝进口产品参加投标</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□本采购项目已经财政部审核同意购买进口产品</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其他_</w:t>
            </w:r>
            <w:r>
              <w:rPr>
                <w:rFonts w:hint="eastAsia" w:ascii="Times New Roman" w:hAnsi="Times New Roman" w:cs="Times New Roman"/>
                <w:color w:val="auto"/>
                <w:sz w:val="21"/>
                <w:szCs w:val="21"/>
                <w:highlight w:val="none"/>
                <w:u w:val="single"/>
                <w:lang w:val="en-US" w:eastAsia="zh-CN"/>
              </w:rPr>
              <w:t>本项目不适用</w:t>
            </w:r>
            <w:r>
              <w:rPr>
                <w:rFonts w:hint="default" w:ascii="Times New Roman" w:hAnsi="Times New Roman" w:eastAsia="宋体" w:cs="Times New Roman"/>
                <w:color w:val="auto"/>
                <w:sz w:val="21"/>
                <w:szCs w:val="21"/>
                <w:highlight w:val="none"/>
                <w:u w:val="none"/>
              </w:rPr>
              <w:t>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12</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信息发布媒体</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（1）中国政府采购网（</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"http://www.ccgp.gov.cn" </w:instrText>
            </w:r>
            <w:r>
              <w:rPr>
                <w:rFonts w:hint="default" w:ascii="Times New Roman" w:hAnsi="Times New Roman" w:cs="Times New Roman"/>
                <w:color w:val="auto"/>
                <w:sz w:val="21"/>
                <w:szCs w:val="21"/>
                <w:highlight w:val="none"/>
              </w:rPr>
              <w:fldChar w:fldCharType="separate"/>
            </w:r>
            <w:r>
              <w:rPr>
                <w:rFonts w:hint="default" w:ascii="Times New Roman" w:hAnsi="Times New Roman" w:eastAsia="宋体" w:cs="Times New Roman"/>
                <w:color w:val="auto"/>
                <w:sz w:val="21"/>
                <w:szCs w:val="21"/>
                <w:highlight w:val="none"/>
              </w:rPr>
              <w:t>www.ccgp.gov.cn</w:t>
            </w:r>
            <w:r>
              <w:rPr>
                <w:rFonts w:hint="default" w:ascii="Times New Roman" w:hAnsi="Times New Roman" w:eastAsia="宋体" w:cs="Times New Roman"/>
                <w:color w:val="auto"/>
                <w:sz w:val="21"/>
                <w:szCs w:val="21"/>
                <w:highlight w:val="none"/>
              </w:rPr>
              <w:fldChar w:fldCharType="end"/>
            </w:r>
            <w:r>
              <w:rPr>
                <w:rFonts w:hint="default" w:ascii="Times New Roman" w:hAnsi="Times New Roman" w:eastAsia="宋体" w:cs="Times New Roman"/>
                <w:color w:val="auto"/>
                <w:sz w:val="21"/>
                <w:szCs w:val="21"/>
                <w:highlight w:val="none"/>
              </w:rPr>
              <w:t>）</w:t>
            </w:r>
          </w:p>
          <w:p>
            <w:pPr>
              <w:adjustRightInd w:val="0"/>
              <w:snapToGrid w:val="0"/>
              <w:spacing w:after="0" w:line="360" w:lineRule="auto"/>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（2）</w:t>
            </w:r>
            <w:r>
              <w:rPr>
                <w:rFonts w:hint="eastAsia" w:ascii="Times New Roman" w:hAnsi="Times New Roman" w:cs="Times New Roman"/>
                <w:color w:val="auto"/>
                <w:sz w:val="21"/>
                <w:szCs w:val="21"/>
                <w:highlight w:val="none"/>
                <w:lang w:val="en-US" w:eastAsia="zh-CN"/>
              </w:rPr>
              <w:t>南方招标与采购交易平台（https://www.eebidding.com/f）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13</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获取招标文件</w:t>
            </w:r>
          </w:p>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时间、地点和</w:t>
            </w:r>
          </w:p>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方式等</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bCs/>
                <w:color w:val="auto"/>
                <w:sz w:val="21"/>
                <w:szCs w:val="21"/>
                <w:highlight w:val="none"/>
              </w:rPr>
              <w:t>时间：</w:t>
            </w:r>
            <w:r>
              <w:rPr>
                <w:rFonts w:hint="default" w:ascii="Times New Roman" w:hAnsi="Times New Roman" w:eastAsia="宋体" w:cs="Times New Roman"/>
                <w:b w:val="0"/>
                <w:bCs w:val="0"/>
                <w:color w:val="auto"/>
                <w:sz w:val="21"/>
                <w:szCs w:val="21"/>
                <w:highlight w:val="none"/>
              </w:rPr>
              <w:t>2024年07月05日至2024年07月12日每日上午08:30～12:00，下午14:30～17:30（北京时间，法定节假日除外）</w:t>
            </w:r>
          </w:p>
          <w:p>
            <w:pPr>
              <w:adjustRightInd w:val="0"/>
              <w:snapToGrid w:val="0"/>
              <w:spacing w:after="0" w:line="360" w:lineRule="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
                <w:color w:val="auto"/>
                <w:sz w:val="21"/>
                <w:szCs w:val="21"/>
                <w:highlight w:val="none"/>
              </w:rPr>
              <w:t>地点：</w:t>
            </w:r>
            <w:r>
              <w:rPr>
                <w:rFonts w:hint="default" w:ascii="Times New Roman" w:hAnsi="Times New Roman" w:eastAsia="宋体" w:cs="Times New Roman"/>
                <w:b w:val="0"/>
                <w:bCs/>
                <w:color w:val="auto"/>
                <w:sz w:val="21"/>
                <w:szCs w:val="21"/>
                <w:highlight w:val="none"/>
              </w:rPr>
              <w:t>现场获取或邮件获取</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方式：</w:t>
            </w:r>
            <w:r>
              <w:rPr>
                <w:rFonts w:hint="default" w:ascii="Times New Roman" w:hAnsi="Times New Roman" w:eastAsia="宋体" w:cs="Times New Roman"/>
                <w:b w:val="0"/>
                <w:bCs/>
                <w:color w:val="auto"/>
                <w:sz w:val="21"/>
                <w:szCs w:val="21"/>
                <w:highlight w:val="none"/>
              </w:rPr>
              <w:t>符合资格的供应商到广东元正招标采购有限公司（茂名市光华南路118号润威商厦802）领取招标文件或将招标公告附件的【投标报名表】填写扫描发送至gdyzmm@163.com，邮件名称备注：1081国家税务总局茂名市电白区税务局2024至2025年饭堂后勤服务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14</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现场考察/踏勘</w:t>
            </w:r>
          </w:p>
        </w:tc>
        <w:tc>
          <w:tcPr>
            <w:tcW w:w="6058" w:type="dxa"/>
            <w:gridSpan w:val="2"/>
            <w:noWrap w:val="0"/>
            <w:vAlign w:val="center"/>
          </w:tcPr>
          <w:p>
            <w:pPr>
              <w:numPr>
                <w:ilvl w:val="0"/>
                <w:numId w:val="0"/>
              </w:numPr>
              <w:tabs>
                <w:tab w:val="left" w:pos="0"/>
                <w:tab w:val="left" w:pos="420"/>
              </w:tabs>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不组织现场考察/踏勘</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bCs/>
                <w:color w:val="auto"/>
                <w:sz w:val="21"/>
                <w:szCs w:val="21"/>
                <w:highlight w:val="none"/>
              </w:rPr>
              <w:t>组织现场考察</w:t>
            </w:r>
            <w:r>
              <w:rPr>
                <w:rFonts w:hint="default" w:ascii="Times New Roman" w:hAnsi="Times New Roman" w:eastAsia="宋体" w:cs="Times New Roman"/>
                <w:color w:val="auto"/>
                <w:sz w:val="21"/>
                <w:szCs w:val="21"/>
                <w:highlight w:val="none"/>
              </w:rPr>
              <w:t>/踏勘</w:t>
            </w:r>
            <w:r>
              <w:rPr>
                <w:rFonts w:hint="default" w:ascii="Times New Roman" w:hAnsi="Times New Roman" w:eastAsia="宋体" w:cs="Times New Roman"/>
                <w:bCs/>
                <w:color w:val="auto"/>
                <w:sz w:val="21"/>
                <w:szCs w:val="21"/>
                <w:highlight w:val="none"/>
              </w:rPr>
              <w:t>：</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
                <w:color w:val="auto"/>
                <w:sz w:val="21"/>
                <w:szCs w:val="21"/>
                <w:highlight w:val="none"/>
              </w:rPr>
              <w:t>时间：</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年</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月</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日</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午</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（北京时间）</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地点：</w:t>
            </w:r>
            <w:r>
              <w:rPr>
                <w:rFonts w:hint="default" w:ascii="Times New Roman" w:hAnsi="Times New Roman" w:eastAsia="宋体" w:cs="Times New Roman"/>
                <w:b/>
                <w:color w:val="auto"/>
                <w:sz w:val="21"/>
                <w:szCs w:val="21"/>
                <w:highlight w:val="none"/>
                <w:u w:val="single"/>
              </w:rPr>
              <w:t xml:space="preserve">                 </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color w:val="auto"/>
                <w:sz w:val="21"/>
                <w:szCs w:val="21"/>
                <w:highlight w:val="none"/>
              </w:rPr>
              <w:t>联系人：</w:t>
            </w:r>
            <w:r>
              <w:rPr>
                <w:rFonts w:hint="default" w:ascii="Times New Roman" w:hAnsi="Times New Roman" w:eastAsia="宋体" w:cs="Times New Roman"/>
                <w:b/>
                <w:color w:val="auto"/>
                <w:sz w:val="21"/>
                <w:szCs w:val="21"/>
                <w:highlight w:val="none"/>
                <w:u w:val="single"/>
              </w:rPr>
              <w:t xml:space="preserve">               </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bCs/>
                <w:color w:val="auto"/>
                <w:sz w:val="21"/>
                <w:szCs w:val="21"/>
                <w:highlight w:val="none"/>
                <w:u w:val="single"/>
              </w:rPr>
            </w:pPr>
            <w:r>
              <w:rPr>
                <w:rFonts w:hint="default" w:ascii="Times New Roman" w:hAnsi="Times New Roman" w:eastAsia="宋体" w:cs="Times New Roman"/>
                <w:b/>
                <w:color w:val="auto"/>
                <w:sz w:val="21"/>
                <w:szCs w:val="21"/>
                <w:highlight w:val="none"/>
              </w:rPr>
              <w:t>联系电话：</w:t>
            </w:r>
            <w:r>
              <w:rPr>
                <w:rFonts w:hint="default" w:ascii="Times New Roman" w:hAnsi="Times New Roman" w:eastAsia="宋体" w:cs="Times New Roman"/>
                <w:color w:val="auto"/>
                <w:sz w:val="21"/>
                <w:szCs w:val="21"/>
                <w:highlight w:val="none"/>
                <w:u w:val="single"/>
              </w:rPr>
              <w:t xml:space="preserve">             </w:t>
            </w:r>
          </w:p>
          <w:p>
            <w:pPr>
              <w:numPr>
                <w:ilvl w:val="0"/>
                <w:numId w:val="0"/>
              </w:numPr>
              <w:tabs>
                <w:tab w:val="left" w:pos="0"/>
                <w:tab w:val="left" w:pos="420"/>
              </w:tabs>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要求：</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样品</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不要求提供</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bCs/>
                <w:color w:val="auto"/>
                <w:sz w:val="21"/>
                <w:szCs w:val="21"/>
                <w:highlight w:val="none"/>
              </w:rPr>
              <w:t>要求提供：</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1.样品制作的标准和要求：____________________</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2.样品检测报告：(□否；□是，检测机构的要求、检测内容详见第六章项目采购需求)</w:t>
            </w:r>
          </w:p>
          <w:p>
            <w:pPr>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3.样品的评审方法及评审标准：内容详见第三章评标办法及标准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w:t>
            </w:r>
          </w:p>
        </w:tc>
        <w:tc>
          <w:tcPr>
            <w:tcW w:w="1984"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投标文件组成</w:t>
            </w:r>
          </w:p>
        </w:tc>
        <w:tc>
          <w:tcPr>
            <w:tcW w:w="851"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商务部</w:t>
            </w:r>
            <w:r>
              <w:rPr>
                <w:rFonts w:hint="default" w:ascii="Times New Roman" w:hAnsi="Times New Roman" w:eastAsia="宋体" w:cs="Times New Roman"/>
                <w:bCs/>
                <w:color w:val="auto"/>
                <w:sz w:val="21"/>
                <w:szCs w:val="21"/>
                <w:highlight w:val="none"/>
              </w:rPr>
              <w:t>分</w:t>
            </w:r>
          </w:p>
        </w:tc>
        <w:tc>
          <w:tcPr>
            <w:tcW w:w="5207" w:type="dxa"/>
            <w:noWrap w:val="0"/>
            <w:vAlign w:val="center"/>
          </w:tcPr>
          <w:p>
            <w:pPr>
              <w:widowControl/>
              <w:tabs>
                <w:tab w:val="left" w:pos="0"/>
                <w:tab w:val="left" w:pos="420"/>
              </w:tabs>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一、资格证明文件：</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具有良好的商业信誉和健全的财务会计制度【提供2023年度或2024年任意一个月财务报告（表）或基本开户银行出具的银行资信证明，其他组织或自然人可提供银行出具的资信证明，新成立的企业提供成立至今的财务报告（表）】；</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具有履行合同所必需的设备和专业技术能力（提供书面声明，格式自拟）；</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具有依法缴纳税收和社会保障资金的良好记录（提供投标截止日前6个月内任意一个月的缴纳税收证明和单位参加社会保险证明。如依法免税或不需要缴纳社保的，应提供相应文件证明，新成立未满3个月的企业提供成立至今的社保缴纳凭证）；</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参加政府采购活动前三年内，在经营活动中没有重大违法记录（提供书面声明，格式自拟）。</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落实政府采购政策需满足的资格要求：本项目整体专门面向中小企业采购。参与的供应商须符合政策要求的中小企业（本项目行业为：餐饮业）。监狱企业、残疾人福利单位视同小型、微型企业。（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 根据《关于印发中小企业划型标准规定的通知》工信部联企业〔2011〕300 号，本项目采购标的对应的中小企业划分标准所属行业为：餐饮业。</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3、本项目的特定资格要求：</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信用记录：供应商于投标截止日前未被列入“信用中国”网站(www.creditchina.gov.cn)“记录失信被执行人或重大税收违法案件当事人名单”记录名单。同时，不处于“中国政府采购网”网站(www.ccgp.gov.cn)“政府采购严重违法失信行为信息记录”中的禁止参加政府采购活动期间（提供网上截图）；</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供应商必须符合法律、行政法规规定的其他条件:单位负责人为同一人或者存在直接控股、管理关系的不同供应商，不得同时参加本采购项目（包组）投标。 为本项目提供整体设计、规范编制或者项目管理、监理、检测等服务的供应商，不得再参与本项目投标。（提供承诺函，格式自拟）</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本项目不接受联合体报价（提供书面声明，格式自拟）。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851" w:type="dxa"/>
            <w:vMerge w:val="continue"/>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b/>
                <w:bCs/>
                <w:color w:val="auto"/>
                <w:sz w:val="21"/>
                <w:szCs w:val="21"/>
                <w:highlight w:val="none"/>
              </w:rPr>
            </w:pPr>
          </w:p>
        </w:tc>
        <w:tc>
          <w:tcPr>
            <w:tcW w:w="5207" w:type="dxa"/>
            <w:noWrap w:val="0"/>
            <w:vAlign w:val="center"/>
          </w:tcPr>
          <w:p>
            <w:pPr>
              <w:adjustRightInd w:val="0"/>
              <w:snapToGrid w:val="0"/>
              <w:spacing w:after="0" w:line="360" w:lineRule="auto"/>
              <w:jc w:val="left"/>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二、</w:t>
            </w:r>
            <w:r>
              <w:rPr>
                <w:rFonts w:hint="default" w:ascii="Times New Roman" w:hAnsi="Times New Roman" w:eastAsia="宋体" w:cs="Times New Roman"/>
                <w:b/>
                <w:color w:val="auto"/>
                <w:sz w:val="21"/>
                <w:szCs w:val="21"/>
                <w:highlight w:val="none"/>
              </w:rPr>
              <w:t>开标一览表</w:t>
            </w:r>
            <w:r>
              <w:rPr>
                <w:rFonts w:hint="default" w:ascii="Times New Roman" w:hAnsi="Times New Roman" w:eastAsia="宋体" w:cs="Times New Roman"/>
                <w:b/>
                <w:bCs/>
                <w:color w:val="auto"/>
                <w:sz w:val="21"/>
                <w:szCs w:val="21"/>
                <w:highlight w:val="none"/>
              </w:rPr>
              <w:t>：</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1.★投标报价表；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851" w:type="dxa"/>
            <w:vMerge w:val="continue"/>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b/>
                <w:bCs/>
                <w:color w:val="auto"/>
                <w:sz w:val="21"/>
                <w:szCs w:val="21"/>
                <w:highlight w:val="none"/>
              </w:rPr>
            </w:pPr>
          </w:p>
        </w:tc>
        <w:tc>
          <w:tcPr>
            <w:tcW w:w="5207" w:type="dxa"/>
            <w:noWrap w:val="0"/>
            <w:vAlign w:val="center"/>
          </w:tcPr>
          <w:p>
            <w:pPr>
              <w:widowControl/>
              <w:shd w:val="clear" w:color="auto" w:fill="FFFFFF"/>
              <w:tabs>
                <w:tab w:val="left" w:pos="475"/>
                <w:tab w:val="left" w:pos="617"/>
              </w:tabs>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三、其他文件及资料：</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1.★授权委托书（</w:t>
            </w:r>
            <w:r>
              <w:rPr>
                <w:rFonts w:hint="default" w:ascii="Times New Roman" w:hAnsi="Times New Roman" w:eastAsia="宋体" w:cs="Times New Roman"/>
                <w:i/>
                <w:color w:val="auto"/>
                <w:sz w:val="21"/>
                <w:szCs w:val="21"/>
                <w:highlight w:val="none"/>
              </w:rPr>
              <w:t>参考投标文件格式1</w:t>
            </w:r>
            <w:r>
              <w:rPr>
                <w:rFonts w:hint="default" w:ascii="Times New Roman" w:hAnsi="Times New Roman" w:eastAsia="宋体" w:cs="Times New Roman"/>
                <w:color w:val="auto"/>
                <w:sz w:val="21"/>
                <w:szCs w:val="21"/>
                <w:highlight w:val="none"/>
              </w:rPr>
              <w:t>）；</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2.★投标函（</w:t>
            </w:r>
            <w:r>
              <w:rPr>
                <w:rFonts w:hint="default" w:ascii="Times New Roman" w:hAnsi="Times New Roman" w:eastAsia="宋体" w:cs="Times New Roman"/>
                <w:i/>
                <w:color w:val="auto"/>
                <w:sz w:val="21"/>
                <w:szCs w:val="21"/>
                <w:highlight w:val="none"/>
              </w:rPr>
              <w:t>参考投标文件格式2</w:t>
            </w:r>
            <w:r>
              <w:rPr>
                <w:rFonts w:hint="default" w:ascii="Times New Roman" w:hAnsi="Times New Roman" w:eastAsia="宋体" w:cs="Times New Roman"/>
                <w:color w:val="auto"/>
                <w:sz w:val="21"/>
                <w:szCs w:val="21"/>
                <w:highlight w:val="none"/>
              </w:rPr>
              <w:t>）；</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3.商务条款偏离表；</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4.★中小企业声明函（中小企业投标的，应按照《政府采购促进中小企业发展管理办法》（财库﹝2020﹞46 号印发）《关于印发中小企业划型标准规定的通知》 （工信部联企业〔2011〕300号）如实填写并提交此函）；</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5.监狱企业证明文件[监狱企业投标的，应提交省级以上监狱管理局、戒毒管理局（含新疆生产建设兵团）出具的证明文件]；</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6.残疾人福利性单位声明函（残疾人福利性单位投标的，应提交此函）；</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7.投标人认为需要提供的其它说明和资料；</w:t>
            </w:r>
          </w:p>
          <w:p>
            <w:pPr>
              <w:widowControl/>
              <w:tabs>
                <w:tab w:val="left" w:pos="0"/>
                <w:tab w:val="left" w:pos="220"/>
              </w:tabs>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8.</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851"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技术部分</w:t>
            </w:r>
          </w:p>
        </w:tc>
        <w:tc>
          <w:tcPr>
            <w:tcW w:w="5207" w:type="dxa"/>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1.技术条款偏离表；</w:t>
            </w:r>
          </w:p>
          <w:p>
            <w:pPr>
              <w:adjustRightInd w:val="0"/>
              <w:snapToGrid w:val="0"/>
              <w:spacing w:after="0" w:line="360" w:lineRule="auto"/>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2.服务方案；</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3.投标人认为需要提供的其它说明和资料；</w:t>
            </w:r>
          </w:p>
          <w:p>
            <w:pPr>
              <w:widowControl/>
              <w:tabs>
                <w:tab w:val="left" w:pos="0"/>
                <w:tab w:val="left" w:pos="220"/>
              </w:tabs>
              <w:adjustRightInd w:val="0"/>
              <w:snapToGrid w:val="0"/>
              <w:spacing w:after="0" w:line="360" w:lineRule="auto"/>
              <w:jc w:val="left"/>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4.项目采购需求</w:t>
            </w:r>
            <w:r>
              <w:rPr>
                <w:rFonts w:hint="default" w:ascii="Times New Roman" w:hAnsi="Times New Roman" w:eastAsia="宋体" w:cs="Times New Roman"/>
                <w:color w:val="auto"/>
                <w:sz w:val="21"/>
                <w:szCs w:val="21"/>
                <w:highlight w:val="none"/>
                <w:u w:val="none"/>
              </w:rPr>
              <w:t>带“★”号条款。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1.以上带★的文件及资料未提供或提供的无效，则投标无效。</w:t>
            </w:r>
          </w:p>
          <w:p>
            <w:pPr>
              <w:numPr>
                <w:ilvl w:val="0"/>
                <w:numId w:val="0"/>
              </w:numPr>
              <w:topLinePunct/>
              <w:autoSpaceDE w:val="0"/>
              <w:autoSpaceDN w:val="0"/>
              <w:adjustRightInd w:val="0"/>
              <w:snapToGrid w:val="0"/>
              <w:spacing w:after="0" w:line="360" w:lineRule="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2.本项目不分包，供应商应对本项目内所有的招标内容进行投标，不允许只对其中部分内容进行投标</w:t>
            </w:r>
            <w:r>
              <w:rPr>
                <w:rFonts w:hint="eastAsia" w:ascii="Times New Roman" w:hAnsi="Times New Roman"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投标有效期</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从提交投标文件的截止之日起计算</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90</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提交投标文件方式、截止时间、开标时间、地点</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提交方式：（</w:t>
            </w:r>
            <w:r>
              <w:rPr>
                <w:rFonts w:hint="default" w:ascii="Times New Roman" w:hAnsi="Times New Roman" w:eastAsia="宋体" w:cs="Times New Roman"/>
                <w:color w:val="auto"/>
                <w:sz w:val="21"/>
                <w:szCs w:val="21"/>
                <w:highlight w:val="none"/>
                <w:u w:val="single"/>
              </w:rPr>
              <w:t>纸质文件提交）</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投标截止时间和开标时间：</w:t>
            </w:r>
            <w:r>
              <w:rPr>
                <w:rFonts w:hint="default" w:ascii="Times New Roman" w:hAnsi="Times New Roman" w:eastAsia="宋体" w:cs="Times New Roman"/>
                <w:b/>
                <w:color w:val="auto"/>
                <w:sz w:val="21"/>
                <w:szCs w:val="21"/>
                <w:highlight w:val="none"/>
                <w:u w:val="single"/>
              </w:rPr>
              <w:t>2024年07月26日09点30分</w:t>
            </w:r>
            <w:r>
              <w:rPr>
                <w:rFonts w:hint="default" w:ascii="Times New Roman" w:hAnsi="Times New Roman" w:eastAsia="宋体" w:cs="Times New Roman"/>
                <w:color w:val="auto"/>
                <w:sz w:val="21"/>
                <w:szCs w:val="21"/>
                <w:highlight w:val="none"/>
              </w:rPr>
              <w:t>（北京时间）</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开标方式：（</w:t>
            </w:r>
            <w:r>
              <w:rPr>
                <w:rFonts w:hint="default" w:ascii="Times New Roman" w:hAnsi="Times New Roman" w:eastAsia="宋体" w:cs="Times New Roman"/>
                <w:color w:val="auto"/>
                <w:sz w:val="21"/>
                <w:szCs w:val="21"/>
                <w:highlight w:val="none"/>
                <w:u w:val="single"/>
              </w:rPr>
              <w:t>线下开标）</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提交投标文件地点：</w:t>
            </w:r>
            <w:r>
              <w:rPr>
                <w:rFonts w:hint="default" w:ascii="Times New Roman" w:hAnsi="Times New Roman" w:eastAsia="宋体" w:cs="Times New Roman"/>
                <w:b/>
                <w:color w:val="auto"/>
                <w:sz w:val="21"/>
                <w:szCs w:val="21"/>
                <w:highlight w:val="none"/>
                <w:u w:val="single"/>
              </w:rPr>
              <w:t>茂名市光华南路118号润威商厦702开标室</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u w:val="single"/>
              </w:rPr>
            </w:pPr>
            <w:r>
              <w:rPr>
                <w:rFonts w:hint="default" w:ascii="Times New Roman" w:hAnsi="Times New Roman" w:eastAsia="宋体" w:cs="Times New Roman"/>
                <w:b/>
                <w:color w:val="auto"/>
                <w:sz w:val="21"/>
                <w:szCs w:val="21"/>
                <w:highlight w:val="none"/>
              </w:rPr>
              <w:t>开标地点：</w:t>
            </w:r>
            <w:r>
              <w:rPr>
                <w:rFonts w:hint="default" w:ascii="Times New Roman" w:hAnsi="Times New Roman" w:eastAsia="宋体" w:cs="Times New Roman"/>
                <w:b/>
                <w:color w:val="auto"/>
                <w:sz w:val="21"/>
                <w:szCs w:val="21"/>
                <w:highlight w:val="none"/>
                <w:u w:val="single"/>
              </w:rPr>
              <w:t>茂名市光华南路118号润威商厦702</w:t>
            </w:r>
            <w:r>
              <w:rPr>
                <w:rFonts w:hint="eastAsia" w:ascii="Times New Roman" w:hAnsi="Times New Roman" w:cs="Times New Roman"/>
                <w:b/>
                <w:color w:val="auto"/>
                <w:sz w:val="21"/>
                <w:szCs w:val="21"/>
                <w:highlight w:val="none"/>
                <w:u w:val="single"/>
                <w:lang w:val="en-US" w:eastAsia="zh-CN"/>
              </w:rPr>
              <w:t>评</w:t>
            </w:r>
            <w:r>
              <w:rPr>
                <w:rFonts w:hint="default" w:ascii="Times New Roman" w:hAnsi="Times New Roman" w:eastAsia="宋体" w:cs="Times New Roman"/>
                <w:b/>
                <w:color w:val="auto"/>
                <w:sz w:val="21"/>
                <w:szCs w:val="21"/>
                <w:highlight w:val="none"/>
                <w:u w:val="single"/>
              </w:rPr>
              <w:t>标室</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eastAsia="宋体" w:cs="Times New Roman"/>
                <w:b/>
                <w:color w:val="auto"/>
                <w:sz w:val="21"/>
                <w:szCs w:val="21"/>
                <w:highlight w:val="none"/>
              </w:rPr>
              <w:t>联系电话：</w:t>
            </w:r>
            <w:r>
              <w:rPr>
                <w:rFonts w:hint="eastAsia" w:ascii="Times New Roman" w:hAnsi="Times New Roman" w:cs="Times New Roman"/>
                <w:b/>
                <w:color w:val="auto"/>
                <w:sz w:val="21"/>
                <w:szCs w:val="21"/>
                <w:highlight w:val="none"/>
                <w:u w:val="single"/>
                <w:lang w:val="en-US" w:eastAsia="zh-CN"/>
              </w:rPr>
              <w:t>0668-2281391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19</w:t>
            </w:r>
          </w:p>
        </w:tc>
        <w:tc>
          <w:tcPr>
            <w:tcW w:w="1984" w:type="dxa"/>
            <w:noWrap w:val="0"/>
            <w:vAlign w:val="center"/>
          </w:tcPr>
          <w:p>
            <w:pPr>
              <w:tabs>
                <w:tab w:val="left" w:pos="1875"/>
              </w:tabs>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投标保证金</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snapToGrid w:val="0"/>
                <w:color w:val="auto"/>
                <w:sz w:val="21"/>
                <w:szCs w:val="21"/>
                <w:highlight w:val="none"/>
                <w:lang w:val="zh-CN"/>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不要求提供</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要求提供：</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（1）金额：</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采购包1：人民币</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i/>
                <w:color w:val="auto"/>
                <w:sz w:val="21"/>
                <w:szCs w:val="21"/>
                <w:highlight w:val="none"/>
                <w:u w:val="single"/>
              </w:rPr>
              <w:t xml:space="preserve">        </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元。</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（2）提交方式：</w:t>
            </w:r>
            <w:r>
              <w:rPr>
                <w:rFonts w:hint="default" w:ascii="Times New Roman" w:hAnsi="Times New Roman" w:eastAsia="宋体" w:cs="Times New Roman"/>
                <w:color w:val="auto"/>
                <w:sz w:val="21"/>
                <w:szCs w:val="21"/>
                <w:highlight w:val="none"/>
                <w:u w:val="single"/>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收款账户：</w:t>
            </w:r>
            <w:r>
              <w:rPr>
                <w:rFonts w:hint="default" w:ascii="Times New Roman" w:hAnsi="Times New Roman" w:eastAsia="宋体" w:cs="Times New Roman"/>
                <w:color w:val="auto"/>
                <w:sz w:val="21"/>
                <w:szCs w:val="21"/>
                <w:highlight w:val="none"/>
                <w:u w:val="single"/>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开户银行：</w:t>
            </w:r>
            <w:r>
              <w:rPr>
                <w:rFonts w:hint="default" w:ascii="Times New Roman" w:hAnsi="Times New Roman" w:eastAsia="宋体" w:cs="Times New Roman"/>
                <w:color w:val="auto"/>
                <w:sz w:val="21"/>
                <w:szCs w:val="21"/>
                <w:highlight w:val="none"/>
                <w:u w:val="single"/>
              </w:rPr>
              <w:t xml:space="preserve">                    </w:t>
            </w:r>
          </w:p>
          <w:p>
            <w:pP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银行账户：</w:t>
            </w:r>
            <w:r>
              <w:rPr>
                <w:rFonts w:hint="default" w:ascii="Times New Roman" w:hAnsi="Times New Roman" w:eastAsia="宋体" w:cs="Times New Roman"/>
                <w:color w:val="auto"/>
                <w:sz w:val="21"/>
                <w:szCs w:val="21"/>
                <w:highlight w:val="none"/>
                <w:u w:val="single"/>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w:t>
            </w:r>
          </w:p>
        </w:tc>
        <w:tc>
          <w:tcPr>
            <w:tcW w:w="1984" w:type="dxa"/>
            <w:vMerge w:val="restart"/>
            <w:noWrap w:val="0"/>
            <w:vAlign w:val="center"/>
          </w:tcPr>
          <w:p>
            <w:pPr>
              <w:tabs>
                <w:tab w:val="left" w:pos="1875"/>
              </w:tabs>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不予退还投标保证金的情形</w:t>
            </w: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有下列情形之一的，投标保证金将不予退还：</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（1）投标人串通投标或有视为串通投标情形之一的；</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（2）投标人提供虚假材料；</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（3）投标人采取不正当手段诋毁、排挤其他投标人；</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（4）投标截止时间后，投标人在投标有效期内撤销投标文件；</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（5）中标人有下列情形之一的：</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a.除不可抗力外，因中标人自身原因未在中标通知书要求的期限内与采购人签订政府采购合同；</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b.未按照招标文件、投标文件的约定签订政府采购合同或提交履约保证金。</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注：若上述投标保证金不予退还情形给采购人（采购代理机构）造成损失，则投标人还要承担相应的赔偿责任。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noWrap w:val="0"/>
            <w:vAlign w:val="center"/>
          </w:tcPr>
          <w:p>
            <w:pPr>
              <w:topLinePunct/>
              <w:autoSpaceDE w:val="0"/>
              <w:autoSpaceDN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其他不予退还投标保证金的情形：</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信用记录审查</w:t>
            </w:r>
          </w:p>
        </w:tc>
        <w:tc>
          <w:tcPr>
            <w:tcW w:w="6058" w:type="dxa"/>
            <w:gridSpan w:val="2"/>
            <w:noWrap w:val="0"/>
            <w:vAlign w:val="center"/>
          </w:tcPr>
          <w:p>
            <w:pPr>
              <w:topLinePunct/>
              <w:autoSpaceDE w:val="0"/>
              <w:autoSpaceDN w:val="0"/>
              <w:spacing w:after="0" w:line="360" w:lineRule="auto"/>
              <w:rPr>
                <w:rFonts w:hint="default" w:ascii="Times New Roman" w:hAnsi="Times New Roman" w:eastAsia="宋体" w:cs="Times New Roman"/>
                <w:snapToGrid w:val="0"/>
                <w:color w:val="auto"/>
                <w:sz w:val="21"/>
                <w:szCs w:val="21"/>
                <w:highlight w:val="none"/>
              </w:rPr>
            </w:pPr>
            <w:r>
              <w:rPr>
                <w:rFonts w:hint="default" w:ascii="Times New Roman" w:hAnsi="Times New Roman" w:eastAsia="宋体" w:cs="Times New Roman"/>
                <w:color w:val="auto"/>
                <w:sz w:val="21"/>
                <w:szCs w:val="21"/>
                <w:highlight w:val="none"/>
              </w:rPr>
              <w:t>根据《财政部关于在政府采购活动中查询及使用信用记录有关问题的通知》（财库〔2016〕125号）规定，开标结束后，采购人、采购代理机构将通过“信用中国”网站（www.creditchina.gov.cn）、中国政府采购网（</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"http://www.ccgp.gov.cn" </w:instrText>
            </w:r>
            <w:r>
              <w:rPr>
                <w:rFonts w:hint="default" w:ascii="Times New Roman" w:hAnsi="Times New Roman" w:cs="Times New Roman"/>
                <w:color w:val="auto"/>
                <w:sz w:val="21"/>
                <w:szCs w:val="21"/>
                <w:highlight w:val="none"/>
              </w:rPr>
              <w:fldChar w:fldCharType="separate"/>
            </w:r>
            <w:r>
              <w:rPr>
                <w:rFonts w:hint="default" w:ascii="Times New Roman" w:hAnsi="Times New Roman" w:eastAsia="宋体" w:cs="Times New Roman"/>
                <w:color w:val="auto"/>
                <w:sz w:val="21"/>
                <w:szCs w:val="21"/>
                <w:highlight w:val="none"/>
              </w:rPr>
              <w:t>www.ccgp.gov.cn</w:t>
            </w:r>
            <w:r>
              <w:rPr>
                <w:rFonts w:hint="default" w:ascii="Times New Roman" w:hAnsi="Times New Roman" w:eastAsia="宋体" w:cs="Times New Roman"/>
                <w:color w:val="auto"/>
                <w:sz w:val="21"/>
                <w:szCs w:val="21"/>
                <w:highlight w:val="none"/>
              </w:rPr>
              <w:fldChar w:fldCharType="end"/>
            </w:r>
            <w:r>
              <w:rPr>
                <w:rFonts w:hint="default" w:ascii="Times New Roman" w:hAnsi="Times New Roman" w:eastAsia="宋体" w:cs="Times New Roman"/>
                <w:color w:val="auto"/>
                <w:sz w:val="21"/>
                <w:szCs w:val="21"/>
                <w:highlight w:val="none"/>
              </w:rPr>
              <w:t>），对投标人截止到投标截止时间的信用记录进行审查，对列入失信被执行人、重大税收违法案件当事人名单、政府采购严重违法失信行为记录名单</w:t>
            </w:r>
            <w:r>
              <w:rPr>
                <w:rFonts w:hint="default" w:ascii="Times New Roman" w:hAnsi="Times New Roman" w:cs="Times New Roman"/>
                <w:color w:val="auto"/>
                <w:sz w:val="21"/>
                <w:szCs w:val="21"/>
                <w:highlight w:val="none"/>
              </w:rPr>
              <w:t>及其他不符合《中华人民共和国政府采购法》第二十二条规定条件</w:t>
            </w:r>
            <w:r>
              <w:rPr>
                <w:rFonts w:hint="default" w:ascii="Times New Roman" w:hAnsi="Times New Roman" w:eastAsia="宋体" w:cs="Times New Roman"/>
                <w:color w:val="auto"/>
                <w:sz w:val="21"/>
                <w:szCs w:val="21"/>
                <w:highlight w:val="none"/>
              </w:rPr>
              <w:t>的投标人，其投标将被拒绝。</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本次查询的信用记录仅限于本项目使用，查询结果将留存在采购档案中。</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在上述指定网站不能查询信用信息的投标人，应提供相关证明材料（原件加盖公章）。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支持中小型</w:t>
            </w:r>
          </w:p>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企业发展</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根据《政府采购促进中小型企业发展管理办法》（财库〔2020〕46号），鼓励中小企业参加本项目采购活动。</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在货物采购项目中，满足所有标的均由中小企业制造，即所有标的均由中小企业生产且使用该中小企业商号或者注册商标的，可享受中小企业扶持政策。</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在服务采购项目中，满足服务由中小企业承接，即提供服务的人员为中小企业依照《中华人民共和国劳动合同法》订立劳动合同的从业人员的，可享受中小企业扶持政策。</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专门面向中小企业采购项目。</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□预留份额面向中小企业采购项目（说明：</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非专门面向中小企业采购项目。对小型和微型企业的投标价格给予</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23</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支持监狱企业发展</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根据《关于政府采购支持监狱企业发展有关问题的通知》（财库〔2014〕68号），监狱企业视同小型、微型企业，按照</w:t>
            </w:r>
            <w:r>
              <w:rPr>
                <w:rFonts w:hint="default" w:ascii="Times New Roman" w:hAnsi="Times New Roman" w:eastAsia="宋体" w:cs="Times New Roman"/>
                <w:b/>
                <w:bCs/>
                <w:color w:val="auto"/>
                <w:sz w:val="21"/>
                <w:szCs w:val="21"/>
                <w:highlight w:val="none"/>
              </w:rPr>
              <w:t>投标人须知前附表第22项</w:t>
            </w:r>
            <w:r>
              <w:rPr>
                <w:rFonts w:hint="default" w:ascii="Times New Roman" w:hAnsi="Times New Roman" w:eastAsia="宋体" w:cs="Times New Roman"/>
                <w:color w:val="auto"/>
                <w:sz w:val="21"/>
                <w:szCs w:val="21"/>
                <w:highlight w:val="none"/>
              </w:rPr>
              <w:t>享受价格扣除政策。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24</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促进残疾人</w:t>
            </w:r>
          </w:p>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就业</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根据《关于促进残疾人就业政府采购政策的通知》（财库〔2017〕141号），残疾人福利性单位视同小型、微型企业，按照</w:t>
            </w:r>
            <w:r>
              <w:rPr>
                <w:rFonts w:hint="default" w:ascii="Times New Roman" w:hAnsi="Times New Roman" w:eastAsia="宋体" w:cs="Times New Roman"/>
                <w:b/>
                <w:bCs/>
                <w:color w:val="auto"/>
                <w:sz w:val="21"/>
                <w:szCs w:val="21"/>
                <w:highlight w:val="none"/>
              </w:rPr>
              <w:t>投标人须知前附表第22项</w:t>
            </w:r>
            <w:r>
              <w:rPr>
                <w:rFonts w:hint="default" w:ascii="Times New Roman" w:hAnsi="Times New Roman" w:eastAsia="宋体" w:cs="Times New Roman"/>
                <w:color w:val="auto"/>
                <w:sz w:val="21"/>
                <w:szCs w:val="21"/>
                <w:highlight w:val="none"/>
              </w:rPr>
              <w:t>享受价格扣除政策。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25</w:t>
            </w:r>
          </w:p>
        </w:tc>
        <w:tc>
          <w:tcPr>
            <w:tcW w:w="1984" w:type="dxa"/>
            <w:vMerge w:val="restart"/>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其他法律法规强制性规定或扶持政策</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本项目中强制采购节能产品的货物名称：</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无</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注：投标人所投上述产品必须具有节能产品认证证书，并提供依据国家确定的认证机构出具的、处于有效期之内的节能产品认证证书复印件，否则投标无效。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topLinePunct/>
              <w:autoSpaceDE w:val="0"/>
              <w:autoSpaceDN w:val="0"/>
              <w:adjustRightInd w:val="0"/>
              <w:snapToGrid w:val="0"/>
              <w:spacing w:before="62" w:after="62"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本项目中采购信息安全产品的货物名称：</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无</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注：投标人所投上述产品需为国家认证的信息安全产品，并提供由中国网络安全审查技术与认证中心（原中国信息安全认证中心）按国家标准认证颁发的有效认证证书复印件，否则投标无效。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1984" w:type="dxa"/>
            <w:vMerge w:val="continue"/>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p>
        </w:tc>
        <w:tc>
          <w:tcPr>
            <w:tcW w:w="6058" w:type="dxa"/>
            <w:gridSpan w:val="2"/>
            <w:noWrap w:val="0"/>
            <w:vAlign w:val="center"/>
          </w:tcPr>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其他法律法规强制性规定或扶持政策：</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采购包1：</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无</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26</w:t>
            </w:r>
          </w:p>
        </w:tc>
        <w:tc>
          <w:tcPr>
            <w:tcW w:w="1984" w:type="dxa"/>
            <w:noWrap w:val="0"/>
            <w:vAlign w:val="center"/>
          </w:tcPr>
          <w:p>
            <w:pPr>
              <w:tabs>
                <w:tab w:val="left" w:pos="1875"/>
              </w:tabs>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评标方法</w:t>
            </w:r>
          </w:p>
          <w:p>
            <w:pPr>
              <w:tabs>
                <w:tab w:val="left" w:pos="1875"/>
              </w:tabs>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及分值</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F0A3"/>
            </w:r>
            <w:r>
              <w:rPr>
                <w:rFonts w:hint="default" w:ascii="Times New Roman" w:hAnsi="Times New Roman" w:eastAsia="宋体" w:cs="Times New Roman"/>
                <w:color w:val="auto"/>
                <w:sz w:val="21"/>
                <w:szCs w:val="21"/>
                <w:highlight w:val="none"/>
              </w:rPr>
              <w:t>本项目采用最低评标价法，详见招标文件商务部分第三章。</w:t>
            </w:r>
          </w:p>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本项目采用综合评分法，其中价格分值为</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10</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分，其他因素分值为</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90</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分，详见招标文件商务部分第三章。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27</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履约保证金</w:t>
            </w:r>
          </w:p>
        </w:tc>
        <w:tc>
          <w:tcPr>
            <w:tcW w:w="6058" w:type="dxa"/>
            <w:gridSpan w:val="2"/>
            <w:noWrap w:val="0"/>
            <w:vAlign w:val="center"/>
          </w:tcPr>
          <w:p>
            <w:pPr>
              <w:adjustRightInd w:val="0"/>
              <w:snapToGrid w:val="0"/>
              <w:spacing w:after="0"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A3"/>
            </w:r>
            <w:r>
              <w:rPr>
                <w:rFonts w:hint="default" w:ascii="Times New Roman" w:hAnsi="Times New Roman" w:eastAsia="宋体" w:cs="Times New Roman"/>
                <w:color w:val="auto"/>
                <w:sz w:val="21"/>
                <w:szCs w:val="21"/>
                <w:highlight w:val="none"/>
              </w:rPr>
              <w:t>不要求提供</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sym w:font="Wingdings 2" w:char="0052"/>
            </w:r>
            <w:r>
              <w:rPr>
                <w:rFonts w:hint="default" w:ascii="Times New Roman" w:hAnsi="Times New Roman" w:eastAsia="宋体" w:cs="Times New Roman"/>
                <w:color w:val="auto"/>
                <w:sz w:val="21"/>
                <w:szCs w:val="21"/>
                <w:highlight w:val="none"/>
              </w:rPr>
              <w:t>本采购项目履约保证金为</w:t>
            </w:r>
            <w:r>
              <w:rPr>
                <w:rFonts w:hint="eastAsia" w:ascii="Times New Roman" w:hAnsi="Times New Roman" w:cs="Times New Roman"/>
                <w:color w:val="auto"/>
                <w:sz w:val="21"/>
                <w:szCs w:val="21"/>
                <w:highlight w:val="none"/>
                <w:u w:val="single"/>
                <w:lang w:val="en-US" w:eastAsia="zh-CN"/>
              </w:rPr>
              <w:t>6万元</w:t>
            </w:r>
            <w:r>
              <w:rPr>
                <w:rFonts w:hint="default" w:ascii="Times New Roman" w:hAnsi="Times New Roman" w:eastAsia="宋体" w:cs="Times New Roman"/>
                <w:color w:val="auto"/>
                <w:sz w:val="21"/>
                <w:szCs w:val="21"/>
                <w:highlight w:val="none"/>
              </w:rPr>
              <w:t>，提交方式为银行电汇、金融机构或担保机构出具的保函。</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账户信息：</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按照合同约定</w:t>
            </w:r>
            <w:r>
              <w:rPr>
                <w:rFonts w:hint="default" w:ascii="Times New Roman" w:hAnsi="Times New Roman" w:eastAsia="宋体" w:cs="Times New Roman"/>
                <w:color w:val="auto"/>
                <w:sz w:val="21"/>
                <w:szCs w:val="21"/>
                <w:highlight w:val="none"/>
                <w:u w:val="single"/>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收款单位：</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按照合同约定</w:t>
            </w:r>
            <w:r>
              <w:rPr>
                <w:rFonts w:hint="default" w:ascii="Times New Roman" w:hAnsi="Times New Roman" w:eastAsia="宋体" w:cs="Times New Roman"/>
                <w:color w:val="auto"/>
                <w:sz w:val="21"/>
                <w:szCs w:val="21"/>
                <w:highlight w:val="none"/>
                <w:u w:val="single"/>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开户银行：</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按照合同约定</w:t>
            </w:r>
            <w:r>
              <w:rPr>
                <w:rFonts w:hint="default" w:ascii="Times New Roman" w:hAnsi="Times New Roman" w:eastAsia="宋体" w:cs="Times New Roman"/>
                <w:color w:val="auto"/>
                <w:sz w:val="21"/>
                <w:szCs w:val="21"/>
                <w:highlight w:val="none"/>
                <w:u w:val="single"/>
              </w:rPr>
              <w:t xml:space="preserve">   </w:t>
            </w:r>
          </w:p>
          <w:p>
            <w:pPr>
              <w:topLinePunct/>
              <w:autoSpaceDE w:val="0"/>
              <w:autoSpaceDN w:val="0"/>
              <w:adjustRightInd w:val="0"/>
              <w:snapToGrid w:val="0"/>
              <w:spacing w:after="0" w:line="360" w:lineRule="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银行账号：</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按照合同约定</w:t>
            </w:r>
            <w:r>
              <w:rPr>
                <w:rFonts w:hint="default" w:ascii="Times New Roman" w:hAnsi="Times New Roman" w:eastAsia="宋体" w:cs="Times New Roman"/>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28</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接收质疑的方式、部门、电话和通讯地址</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质疑联系方式：</w:t>
            </w:r>
          </w:p>
          <w:p>
            <w:pPr>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（1）接收质疑函的方式：</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 xml:space="preserve">书面形式 </w:t>
            </w:r>
            <w:r>
              <w:rPr>
                <w:rFonts w:hint="default" w:ascii="Times New Roman" w:hAnsi="Times New Roman" w:eastAsia="宋体" w:cs="Times New Roman"/>
                <w:color w:val="auto"/>
                <w:sz w:val="21"/>
                <w:szCs w:val="21"/>
                <w:highlight w:val="none"/>
                <w:u w:val="single"/>
              </w:rPr>
              <w:t xml:space="preserve">   </w:t>
            </w:r>
          </w:p>
          <w:p>
            <w:pPr>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（2）联系部门：</w:t>
            </w:r>
            <w:r>
              <w:rPr>
                <w:rFonts w:hint="default" w:ascii="Times New Roman" w:hAnsi="Times New Roman" w:eastAsia="宋体" w:cs="Times New Roman"/>
                <w:color w:val="auto"/>
                <w:sz w:val="21"/>
                <w:szCs w:val="21"/>
                <w:highlight w:val="none"/>
                <w:u w:val="single"/>
              </w:rPr>
              <w:t xml:space="preserve"> 广东元正招标采购有限公司  </w:t>
            </w:r>
          </w:p>
          <w:p>
            <w:pPr>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（3）联系电话：</w:t>
            </w:r>
            <w:r>
              <w:rPr>
                <w:rFonts w:hint="default" w:ascii="Times New Roman" w:hAnsi="Times New Roman" w:eastAsia="宋体" w:cs="Times New Roman"/>
                <w:color w:val="auto"/>
                <w:sz w:val="21"/>
                <w:szCs w:val="21"/>
                <w:highlight w:val="none"/>
                <w:u w:val="single"/>
              </w:rPr>
              <w:t xml:space="preserve">   0668-2281391   </w:t>
            </w:r>
          </w:p>
          <w:p>
            <w:pPr>
              <w:spacing w:after="0" w:line="360" w:lineRule="auto"/>
              <w:rPr>
                <w:rFonts w:hint="default" w:ascii="Times New Roman" w:hAnsi="Times New Roman" w:eastAsia="宋体" w:cs="Times New Roman"/>
                <w:color w:val="auto"/>
                <w:sz w:val="21"/>
                <w:szCs w:val="21"/>
                <w:highlight w:val="none"/>
                <w:u w:val="single"/>
              </w:rPr>
            </w:pPr>
            <w:r>
              <w:rPr>
                <w:rFonts w:hint="default" w:ascii="Times New Roman" w:hAnsi="Times New Roman" w:eastAsia="宋体" w:cs="Times New Roman"/>
                <w:color w:val="auto"/>
                <w:sz w:val="21"/>
                <w:szCs w:val="21"/>
                <w:highlight w:val="none"/>
              </w:rPr>
              <w:t>（4）通讯地址：</w:t>
            </w:r>
            <w:r>
              <w:rPr>
                <w:rFonts w:hint="default" w:ascii="Times New Roman" w:hAnsi="Times New Roman" w:eastAsia="宋体" w:cs="Times New Roman"/>
                <w:color w:val="auto"/>
                <w:sz w:val="21"/>
                <w:szCs w:val="21"/>
                <w:highlight w:val="none"/>
                <w:u w:val="single"/>
              </w:rPr>
              <w:t xml:space="preserve">   茂名市光华南路118号润威商厦802   </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（5）电子邮箱：</w:t>
            </w:r>
            <w:r>
              <w:rPr>
                <w:rFonts w:hint="default" w:ascii="Times New Roman" w:hAnsi="Times New Roman" w:eastAsia="宋体" w:cs="Times New Roman"/>
                <w:color w:val="auto"/>
                <w:sz w:val="21"/>
                <w:szCs w:val="21"/>
                <w:highlight w:val="none"/>
                <w:u w:val="single"/>
              </w:rPr>
              <w:t xml:space="preserve">   gdyzmm@163.com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29</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需提交的投标文件份数</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需提交的投标文件份数：</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（1）正本</w:t>
            </w:r>
            <w:r>
              <w:rPr>
                <w:rFonts w:hint="default" w:ascii="Times New Roman" w:hAnsi="Times New Roman" w:eastAsia="宋体" w:cs="Times New Roman"/>
                <w:color w:val="auto"/>
                <w:sz w:val="21"/>
                <w:szCs w:val="21"/>
                <w:highlight w:val="none"/>
                <w:u w:val="single"/>
              </w:rPr>
              <w:t>1</w:t>
            </w:r>
            <w:r>
              <w:rPr>
                <w:rFonts w:hint="default" w:ascii="Times New Roman" w:hAnsi="Times New Roman" w:eastAsia="宋体" w:cs="Times New Roman"/>
                <w:color w:val="auto"/>
                <w:sz w:val="21"/>
                <w:szCs w:val="21"/>
                <w:highlight w:val="none"/>
              </w:rPr>
              <w:t>份、副本</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5</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份。</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（2）电子文件</w:t>
            </w:r>
            <w:r>
              <w:rPr>
                <w:rFonts w:hint="default" w:ascii="Times New Roman" w:hAnsi="Times New Roman" w:eastAsia="宋体"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1</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rPr>
              <w:t>份（</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 xml:space="preserve">扫描件 </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Word）。</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采用光盘或U盘刻录提交。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30</w:t>
            </w:r>
          </w:p>
        </w:tc>
        <w:tc>
          <w:tcPr>
            <w:tcW w:w="1984"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代理费用</w:t>
            </w:r>
          </w:p>
        </w:tc>
        <w:tc>
          <w:tcPr>
            <w:tcW w:w="6058" w:type="dxa"/>
            <w:gridSpan w:val="2"/>
            <w:noWrap w:val="0"/>
            <w:vAlign w:val="center"/>
          </w:tcPr>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代理费用：</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（1）本项目代理费用由</w:t>
            </w:r>
            <w:r>
              <w:rPr>
                <w:rFonts w:hint="default" w:ascii="Times New Roman" w:hAnsi="Times New Roman" w:eastAsia="宋体" w:cs="Times New Roman"/>
                <w:color w:val="auto"/>
                <w:sz w:val="21"/>
                <w:szCs w:val="21"/>
                <w:highlight w:val="none"/>
                <w:u w:val="single"/>
              </w:rPr>
              <w:t>（中标人）</w:t>
            </w:r>
            <w:r>
              <w:rPr>
                <w:rFonts w:hint="default" w:ascii="Times New Roman" w:hAnsi="Times New Roman" w:eastAsia="宋体" w:cs="Times New Roman"/>
                <w:color w:val="auto"/>
                <w:sz w:val="21"/>
                <w:szCs w:val="21"/>
                <w:highlight w:val="none"/>
              </w:rPr>
              <w:t>支付。</w:t>
            </w:r>
          </w:p>
          <w:p>
            <w:pPr>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（2）代理费用收取方式及标准：</w:t>
            </w:r>
          </w:p>
          <w:p>
            <w:pPr>
              <w:adjustRightInd w:val="0"/>
              <w:snapToGrid w:val="0"/>
              <w:spacing w:line="360" w:lineRule="auto"/>
              <w:ind w:firstLine="420" w:firstLineChars="200"/>
              <w:rPr>
                <w:rFonts w:hint="eastAsia" w:ascii="宋体" w:hAnsi="宋体" w:cs="宋体"/>
                <w:color w:val="auto"/>
                <w:kern w:val="1"/>
                <w:sz w:val="24"/>
                <w:szCs w:val="24"/>
                <w:highlight w:val="none"/>
              </w:rPr>
            </w:pPr>
            <w:r>
              <w:rPr>
                <w:rFonts w:hint="default" w:ascii="Times New Roman" w:hAnsi="Times New Roman" w:eastAsia="宋体" w:cs="Times New Roman"/>
                <w:color w:val="auto"/>
                <w:sz w:val="21"/>
                <w:szCs w:val="21"/>
                <w:highlight w:val="none"/>
              </w:rPr>
              <w:t>采购包1：</w:t>
            </w:r>
            <w:r>
              <w:rPr>
                <w:rFonts w:hint="eastAsia" w:ascii="Times New Roman" w:hAnsi="Times New Roman" w:eastAsia="宋体" w:cs="Times New Roman"/>
                <w:color w:val="auto"/>
                <w:sz w:val="21"/>
                <w:szCs w:val="21"/>
                <w:highlight w:val="none"/>
              </w:rPr>
              <w:t>中标人在领取《中标通知书》时须向招标代理机构交纳中标服务费，该中标服务费依照下表相应类别，以项目的预算金额作为基数按照差额定率累进法计算收取代理服务费。</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1093"/>
              <w:gridCol w:w="1093"/>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2188" w:type="pct"/>
                  <w:noWrap w:val="0"/>
                  <w:vAlign w:val="center"/>
                </w:tcPr>
                <w:p>
                  <w:pPr>
                    <w:adjustRightInd w:val="0"/>
                    <w:snapToGrid w:val="0"/>
                    <w:spacing w:line="360" w:lineRule="auto"/>
                    <w:ind w:firstLine="420" w:firstLineChars="200"/>
                    <w:jc w:val="center"/>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预算金额</w:t>
                  </w:r>
                </w:p>
                <w:p>
                  <w:pPr>
                    <w:adjustRightInd w:val="0"/>
                    <w:snapToGrid w:val="0"/>
                    <w:spacing w:line="360" w:lineRule="auto"/>
                    <w:ind w:firstLine="420" w:firstLineChars="200"/>
                    <w:jc w:val="center"/>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费率</w:t>
                  </w:r>
                </w:p>
              </w:tc>
              <w:tc>
                <w:tcPr>
                  <w:tcW w:w="937" w:type="pct"/>
                  <w:noWrap w:val="0"/>
                  <w:vAlign w:val="center"/>
                </w:tcPr>
                <w:p>
                  <w:pPr>
                    <w:adjustRightInd w:val="0"/>
                    <w:snapToGrid w:val="0"/>
                    <w:spacing w:line="360" w:lineRule="auto"/>
                    <w:jc w:val="center"/>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货物招标</w:t>
                  </w:r>
                </w:p>
              </w:tc>
              <w:tc>
                <w:tcPr>
                  <w:tcW w:w="937" w:type="pct"/>
                  <w:noWrap w:val="0"/>
                  <w:vAlign w:val="center"/>
                </w:tcPr>
                <w:p>
                  <w:pPr>
                    <w:adjustRightInd w:val="0"/>
                    <w:snapToGrid w:val="0"/>
                    <w:spacing w:line="360" w:lineRule="auto"/>
                    <w:jc w:val="center"/>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服务招标</w:t>
                  </w:r>
                </w:p>
              </w:tc>
              <w:tc>
                <w:tcPr>
                  <w:tcW w:w="937" w:type="pct"/>
                  <w:noWrap w:val="0"/>
                  <w:vAlign w:val="center"/>
                </w:tcPr>
                <w:p>
                  <w:pPr>
                    <w:adjustRightInd w:val="0"/>
                    <w:snapToGrid w:val="0"/>
                    <w:spacing w:line="360" w:lineRule="auto"/>
                    <w:jc w:val="center"/>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8" w:type="pct"/>
                  <w:noWrap w:val="0"/>
                  <w:vAlign w:val="center"/>
                </w:tcPr>
                <w:p>
                  <w:pPr>
                    <w:adjustRightInd w:val="0"/>
                    <w:snapToGrid w:val="0"/>
                    <w:spacing w:line="360" w:lineRule="auto"/>
                    <w:ind w:firstLine="420" w:firstLineChars="200"/>
                    <w:jc w:val="center"/>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100万元以下</w:t>
                  </w:r>
                </w:p>
              </w:tc>
              <w:tc>
                <w:tcPr>
                  <w:tcW w:w="937" w:type="pct"/>
                  <w:noWrap w:val="0"/>
                  <w:vAlign w:val="center"/>
                </w:tcPr>
                <w:p>
                  <w:pPr>
                    <w:adjustRightInd w:val="0"/>
                    <w:snapToGrid w:val="0"/>
                    <w:spacing w:line="360" w:lineRule="auto"/>
                    <w:jc w:val="both"/>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1.5％</w:t>
                  </w:r>
                </w:p>
              </w:tc>
              <w:tc>
                <w:tcPr>
                  <w:tcW w:w="937" w:type="pct"/>
                  <w:noWrap w:val="0"/>
                  <w:vAlign w:val="center"/>
                </w:tcPr>
                <w:p>
                  <w:pPr>
                    <w:adjustRightInd w:val="0"/>
                    <w:snapToGrid w:val="0"/>
                    <w:spacing w:line="360" w:lineRule="auto"/>
                    <w:jc w:val="both"/>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1.5％</w:t>
                  </w:r>
                </w:p>
              </w:tc>
              <w:tc>
                <w:tcPr>
                  <w:tcW w:w="937" w:type="pct"/>
                  <w:noWrap w:val="0"/>
                  <w:vAlign w:val="center"/>
                </w:tcPr>
                <w:p>
                  <w:pPr>
                    <w:adjustRightInd w:val="0"/>
                    <w:snapToGrid w:val="0"/>
                    <w:spacing w:line="360" w:lineRule="auto"/>
                    <w:jc w:val="both"/>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8" w:type="pct"/>
                  <w:noWrap w:val="0"/>
                  <w:vAlign w:val="center"/>
                </w:tcPr>
                <w:p>
                  <w:pPr>
                    <w:adjustRightInd w:val="0"/>
                    <w:snapToGrid w:val="0"/>
                    <w:spacing w:line="360" w:lineRule="auto"/>
                    <w:ind w:firstLine="420" w:firstLineChars="200"/>
                    <w:jc w:val="center"/>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100-500万元</w:t>
                  </w:r>
                </w:p>
              </w:tc>
              <w:tc>
                <w:tcPr>
                  <w:tcW w:w="937" w:type="pct"/>
                  <w:noWrap w:val="0"/>
                  <w:vAlign w:val="center"/>
                </w:tcPr>
                <w:p>
                  <w:pPr>
                    <w:adjustRightInd w:val="0"/>
                    <w:snapToGrid w:val="0"/>
                    <w:spacing w:line="360" w:lineRule="auto"/>
                    <w:jc w:val="both"/>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1.1％</w:t>
                  </w:r>
                </w:p>
              </w:tc>
              <w:tc>
                <w:tcPr>
                  <w:tcW w:w="937" w:type="pct"/>
                  <w:noWrap w:val="0"/>
                  <w:vAlign w:val="center"/>
                </w:tcPr>
                <w:p>
                  <w:pPr>
                    <w:adjustRightInd w:val="0"/>
                    <w:snapToGrid w:val="0"/>
                    <w:spacing w:line="360" w:lineRule="auto"/>
                    <w:jc w:val="both"/>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0.8％</w:t>
                  </w:r>
                </w:p>
              </w:tc>
              <w:tc>
                <w:tcPr>
                  <w:tcW w:w="937" w:type="pct"/>
                  <w:noWrap w:val="0"/>
                  <w:vAlign w:val="center"/>
                </w:tcPr>
                <w:p>
                  <w:pPr>
                    <w:adjustRightInd w:val="0"/>
                    <w:snapToGrid w:val="0"/>
                    <w:spacing w:line="360" w:lineRule="auto"/>
                    <w:jc w:val="both"/>
                    <w:rPr>
                      <w:rFonts w:hint="eastAsia" w:ascii="宋体" w:hAnsi="宋体" w:cs="宋体"/>
                      <w:color w:val="auto"/>
                      <w:kern w:val="1"/>
                      <w:sz w:val="21"/>
                      <w:szCs w:val="21"/>
                      <w:highlight w:val="none"/>
                    </w:rPr>
                  </w:pPr>
                  <w:r>
                    <w:rPr>
                      <w:rFonts w:hint="eastAsia" w:ascii="宋体" w:hAnsi="宋体" w:cs="宋体"/>
                      <w:color w:val="auto"/>
                      <w:kern w:val="1"/>
                      <w:sz w:val="21"/>
                      <w:szCs w:val="21"/>
                      <w:highlight w:val="none"/>
                    </w:rPr>
                    <w:t>0.7％</w:t>
                  </w:r>
                </w:p>
              </w:tc>
            </w:tr>
          </w:tbl>
          <w:p>
            <w:pPr>
              <w:pStyle w:val="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p>
            <w:pPr>
              <w:pStyle w:val="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中标服务费按差额定率累进法计算。</w:t>
            </w:r>
          </w:p>
          <w:p>
            <w:pPr>
              <w:pStyle w:val="8"/>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1）中标服务费不在投标报价中单列。</w:t>
            </w:r>
          </w:p>
          <w:p>
            <w:pPr>
              <w:pStyle w:val="8"/>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2）中标服务费支付方式：一次性以银行划帐的形式支付。</w:t>
            </w:r>
          </w:p>
          <w:p>
            <w:pPr>
              <w:spacing w:line="360" w:lineRule="auto"/>
              <w:ind w:firstLine="211" w:firstLineChars="1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中标服务费交纳形式银行转帐提交，附我司账号：</w:t>
            </w:r>
          </w:p>
          <w:p>
            <w:pPr>
              <w:pStyle w:val="8"/>
              <w:adjustRightInd w:val="0"/>
              <w:snapToGrid w:val="0"/>
              <w:spacing w:line="360" w:lineRule="auto"/>
              <w:ind w:left="208" w:leftChars="99" w:firstLine="375" w:firstLineChars="17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开户名称：广东元正招标采购有限公司</w:t>
            </w:r>
          </w:p>
          <w:p>
            <w:pPr>
              <w:pStyle w:val="8"/>
              <w:adjustRightInd w:val="0"/>
              <w:snapToGrid w:val="0"/>
              <w:spacing w:line="360" w:lineRule="auto"/>
              <w:ind w:left="208" w:leftChars="99" w:firstLine="375" w:firstLineChars="17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开户银行：中国农业银行股份有限公司广州永福南支行</w:t>
            </w:r>
          </w:p>
          <w:p>
            <w:pPr>
              <w:pStyle w:val="8"/>
              <w:adjustRightInd w:val="0"/>
              <w:snapToGrid w:val="0"/>
              <w:spacing w:line="360" w:lineRule="auto"/>
              <w:ind w:left="208" w:leftChars="99" w:firstLine="375" w:firstLineChars="17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银行账号：44034501040004829</w:t>
            </w:r>
          </w:p>
          <w:p>
            <w:pPr>
              <w:pStyle w:val="8"/>
              <w:adjustRightInd w:val="0"/>
              <w:snapToGrid w:val="0"/>
              <w:spacing w:line="360" w:lineRule="auto"/>
              <w:ind w:left="208" w:leftChars="99" w:firstLine="375" w:firstLineChars="17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备注用途：0835-240ZA9301081  </w:t>
            </w:r>
          </w:p>
          <w:p>
            <w:pPr>
              <w:pStyle w:val="8"/>
              <w:adjustRightInd w:val="0"/>
              <w:snapToGrid w:val="0"/>
              <w:spacing w:line="360" w:lineRule="auto"/>
              <w:ind w:left="208" w:leftChars="99" w:firstLine="375" w:firstLineChars="179"/>
              <w:rPr>
                <w:rFonts w:hint="default" w:ascii="Times New Roman" w:hAnsi="Times New Roman" w:eastAsia="宋体" w:cs="Times New Roman"/>
                <w:color w:val="auto"/>
                <w:sz w:val="21"/>
                <w:szCs w:val="21"/>
                <w:highlight w:val="none"/>
              </w:rPr>
            </w:pPr>
            <w:r>
              <w:rPr>
                <w:rFonts w:hint="eastAsia" w:ascii="宋体" w:hAnsi="宋体" w:eastAsia="宋体" w:cs="宋体"/>
                <w:color w:val="auto"/>
                <w:sz w:val="21"/>
                <w:szCs w:val="21"/>
                <w:highlight w:val="none"/>
              </w:rPr>
              <w:t>到账情况查询电话：0668－2281391  黄小姐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noWrap w:val="0"/>
            <w:vAlign w:val="center"/>
          </w:tcPr>
          <w:p>
            <w:pPr>
              <w:topLinePunct/>
              <w:autoSpaceDE w:val="0"/>
              <w:autoSpaceDN w:val="0"/>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31</w:t>
            </w:r>
          </w:p>
        </w:tc>
        <w:tc>
          <w:tcPr>
            <w:tcW w:w="1984" w:type="dxa"/>
            <w:noWrap w:val="0"/>
            <w:vAlign w:val="center"/>
          </w:tcPr>
          <w:p>
            <w:pPr>
              <w:adjustRightInd w:val="0"/>
              <w:snapToGrid w:val="0"/>
              <w:spacing w:after="0" w:line="36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其他补充事项</w:t>
            </w:r>
          </w:p>
        </w:tc>
        <w:tc>
          <w:tcPr>
            <w:tcW w:w="6058" w:type="dxa"/>
            <w:gridSpan w:val="2"/>
            <w:noWrap w:val="0"/>
            <w:vAlign w:val="center"/>
          </w:tcPr>
          <w:p>
            <w:pPr>
              <w:adjustRightInd w:val="0"/>
              <w:snapToGrid w:val="0"/>
              <w:spacing w:after="0" w:line="36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其他补充事项：</w:t>
            </w:r>
            <w:r>
              <w:rPr>
                <w:rFonts w:hint="default" w:ascii="Times New Roman" w:hAnsi="Times New Roman" w:eastAsia="宋体" w:cs="Times New Roman"/>
                <w:color w:val="auto"/>
                <w:sz w:val="21"/>
                <w:szCs w:val="21"/>
                <w:highlight w:val="none"/>
                <w:u w:val="single"/>
              </w:rPr>
              <w:t xml:space="preserve">                 </w:t>
            </w:r>
          </w:p>
        </w:tc>
      </w:tr>
    </w:tbl>
    <w:p>
      <w:pPr>
        <w:spacing w:after="0" w:line="240" w:lineRule="auto"/>
        <w:rPr>
          <w:color w:val="auto"/>
          <w:highlight w:val="none"/>
        </w:rPr>
      </w:pPr>
    </w:p>
    <w:p>
      <w:pPr>
        <w:spacing w:after="0" w:line="240" w:lineRule="auto"/>
        <w:rPr>
          <w:color w:val="auto"/>
          <w:highlight w:val="none"/>
        </w:rPr>
        <w:sectPr>
          <w:pgSz w:w="11906" w:h="16838"/>
          <w:pgMar w:top="1440" w:right="1752" w:bottom="1440" w:left="1752"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color w:val="auto"/>
          <w:sz w:val="21"/>
          <w:szCs w:val="21"/>
          <w:highlight w:val="none"/>
        </w:rPr>
      </w:pPr>
      <w:bookmarkStart w:id="30" w:name="_Toc132880274"/>
      <w:r>
        <w:rPr>
          <w:rFonts w:hint="default" w:ascii="Times New Roman" w:hAnsi="Times New Roman" w:eastAsia="黑体" w:cs="Times New Roman"/>
          <w:color w:val="auto"/>
          <w:sz w:val="21"/>
          <w:szCs w:val="21"/>
          <w:highlight w:val="none"/>
        </w:rPr>
        <w:t>一、总则</w:t>
      </w:r>
      <w:bookmarkEnd w:id="30"/>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1.预算资金及来源</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 本项目已经</w:t>
      </w:r>
      <w:r>
        <w:rPr>
          <w:rFonts w:hint="eastAsia" w:ascii="Times New Roman" w:hAnsi="Times New Roman" w:cs="Times New Roman"/>
          <w:b/>
          <w:color w:val="auto"/>
          <w:sz w:val="21"/>
          <w:szCs w:val="21"/>
          <w:highlight w:val="none"/>
          <w:u w:val="single"/>
          <w:lang w:eastAsia="zh-CN"/>
        </w:rPr>
        <w:t>国家税务总局茂名市电白区税务局</w:t>
      </w:r>
      <w:r>
        <w:rPr>
          <w:rFonts w:hint="default" w:ascii="Times New Roman" w:hAnsi="Times New Roman" w:cs="Times New Roman"/>
          <w:color w:val="auto"/>
          <w:sz w:val="21"/>
          <w:szCs w:val="21"/>
          <w:highlight w:val="none"/>
        </w:rPr>
        <w:t>批准立项。</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 本项目预算资金见</w:t>
      </w:r>
      <w:r>
        <w:rPr>
          <w:rFonts w:hint="default" w:ascii="Times New Roman" w:hAnsi="Times New Roman" w:cs="Times New Roman"/>
          <w:b/>
          <w:bCs/>
          <w:color w:val="auto"/>
          <w:sz w:val="21"/>
          <w:szCs w:val="21"/>
          <w:highlight w:val="none"/>
        </w:rPr>
        <w:t>投标人须知前附表</w:t>
      </w:r>
      <w:r>
        <w:rPr>
          <w:rFonts w:hint="default" w:ascii="Times New Roman" w:hAnsi="Times New Roman" w:cs="Times New Roman"/>
          <w:color w:val="auto"/>
          <w:sz w:val="21"/>
          <w:szCs w:val="21"/>
          <w:highlight w:val="none"/>
        </w:rPr>
        <w:t>，已列入</w:t>
      </w:r>
      <w:r>
        <w:rPr>
          <w:rFonts w:hint="eastAsia" w:ascii="Times New Roman" w:hAnsi="Times New Roman" w:cs="Times New Roman"/>
          <w:b/>
          <w:color w:val="auto"/>
          <w:sz w:val="21"/>
          <w:szCs w:val="21"/>
          <w:highlight w:val="none"/>
          <w:u w:val="single"/>
          <w:lang w:eastAsia="zh-CN"/>
        </w:rPr>
        <w:t>国家税务总局茂名市电白区税务局</w:t>
      </w:r>
      <w:r>
        <w:rPr>
          <w:rFonts w:hint="default" w:ascii="Times New Roman" w:hAnsi="Times New Roman" w:cs="Times New Roman"/>
          <w:color w:val="auto"/>
          <w:sz w:val="21"/>
          <w:szCs w:val="21"/>
          <w:highlight w:val="none"/>
        </w:rPr>
        <w:t>预算。</w:t>
      </w:r>
    </w:p>
    <w:p>
      <w:pPr>
        <w:pageBreakBefore w:val="0"/>
        <w:numPr>
          <w:ilvl w:val="0"/>
          <w:numId w:val="0"/>
        </w:numPr>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2.合格的产品和服务</w:t>
      </w:r>
    </w:p>
    <w:p>
      <w:pPr>
        <w:pageBreakBefore w:val="0"/>
        <w:tabs>
          <w:tab w:val="left" w:pos="2160"/>
        </w:tabs>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2.1 本项目所涉及的所有产品和服务均应来自中国境内（指关境内），合同金额的支付也仅限于这些产品和服务。</w:t>
      </w:r>
    </w:p>
    <w:p>
      <w:pPr>
        <w:pageBreakBefore w:val="0"/>
        <w:tabs>
          <w:tab w:val="left" w:pos="2160"/>
        </w:tabs>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2.2 合格的产品和服务即</w:t>
      </w:r>
      <w:r>
        <w:rPr>
          <w:rFonts w:hint="default" w:ascii="Times New Roman" w:hAnsi="Times New Roman" w:cs="Times New Roman"/>
          <w:b/>
          <w:bCs/>
          <w:color w:val="auto"/>
          <w:sz w:val="21"/>
          <w:szCs w:val="21"/>
          <w:highlight w:val="none"/>
        </w:rPr>
        <w:t>采购需求</w:t>
      </w:r>
      <w:r>
        <w:rPr>
          <w:rFonts w:hint="default" w:ascii="Times New Roman" w:hAnsi="Times New Roman" w:cs="Times New Roman"/>
          <w:color w:val="auto"/>
          <w:sz w:val="21"/>
          <w:szCs w:val="21"/>
          <w:highlight w:val="none"/>
        </w:rPr>
        <w:t>见</w:t>
      </w:r>
      <w:r>
        <w:rPr>
          <w:rFonts w:hint="default" w:ascii="Times New Roman" w:hAnsi="Times New Roman" w:cs="Times New Roman"/>
          <w:b/>
          <w:color w:val="auto"/>
          <w:sz w:val="21"/>
          <w:szCs w:val="21"/>
          <w:highlight w:val="none"/>
        </w:rPr>
        <w:t>招标文件（技术部分）。</w:t>
      </w:r>
    </w:p>
    <w:p>
      <w:pPr>
        <w:pageBreakBefore w:val="0"/>
        <w:kinsoku/>
        <w:wordWrap/>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 投标人应保证所提供的产品及服务免受第三方提出侵犯其知识产权（专利权、商标权、工业设计权及使用权）的请求及起诉。</w:t>
      </w:r>
    </w:p>
    <w:p>
      <w:pPr>
        <w:pageBreakBefore w:val="0"/>
        <w:numPr>
          <w:ilvl w:val="0"/>
          <w:numId w:val="0"/>
        </w:numPr>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3.合格的投标人</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3.1一般规定</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3.1.1投标人应遵守《政府采购法》及其实</w:t>
      </w:r>
      <w:bookmarkStart w:id="133" w:name="_GoBack"/>
      <w:bookmarkEnd w:id="133"/>
      <w:r>
        <w:rPr>
          <w:rFonts w:hint="default" w:ascii="Times New Roman" w:hAnsi="Times New Roman" w:cs="Times New Roman"/>
          <w:color w:val="auto"/>
          <w:sz w:val="21"/>
          <w:szCs w:val="21"/>
          <w:highlight w:val="none"/>
        </w:rPr>
        <w:t>施条例、《政府采购货物和服务招标投标管理办法》、《政府采购质疑和投诉办法》及有关政府采购的规定，同时还应遵守有关法律、法规和规章的强制性规定。</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3.1.2投标人的资格要求及本项目的特定资格要求见</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3.1.3资格条件中所称“重大违法记录”，是指投标人因违法经营受到刑事处罚或者责令停产停业、吊销许可证或者执照、较大数额罚款等行政处罚。</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投标人在参加政府采购活动前3年内因违法经营被禁止在一定期限内参加政府采购活动，期限届满的，可以参加政府采购活动。</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“较大数额罚款”认定为200万元以上的罚款，法律、行政法规以及国务院有关部门明确规定相关领域“较大数额罚款”标准高于200万元的，从其规定。</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3.1.4信用记录要求</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采购人、采购代理机构应当通过“信用中国”网站（www.creditchina.gov.cn）、中国政府采购网（www.ccgp.gov.cn）等渠道查询投标人的信用记录，并对投标人信用记录进行甄别，对列入失信被执行人、重大税收违法案件当事人名单、政府采购严重违法失信行为记录名单及其他不符合《中华人民共和国政府采购法》第二十二条规定条件的投标人，应当拒绝其参与政府采购活动。</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3.2联合体</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3.2.1若本项目接受联合体投标，则两个以上的自然人、法人或者其他组织可以组成一个联合体，以一个投标人的身份共同参加政府采购。</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3.2.2以联合体形式参加投标的，联合体各方应按第二章要求提供资格条件材料。</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3.2.3联合体中有同类资质的投标人按照联合体分工承担相同工作的，应当按照资质等级较低的投标人确定资质等级。</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3.2.4联合体应当提交联合协议，载明联合体各方承担的工作和义务。</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3.2.5联合体各方应当共同与采购人签订采购合同，就采购合同约定的事项对采购人承担连带责任。</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3.2.6以联合体形式参加政府采购活动的，联合体各方不得再单独参加或者与其他投标人另外组成联合体参加同一合同项下的政府采购活动。</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3.3禁止规定</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3.3.1单位负责人为同一人或者存在直接控股、管理关系的不同投标人，不得参加同一采购包的政府采购活动。否则投标均无效。</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3.3.2除单一来源采购项目外，为采购项目提供整体设计、规范编制或者项目管理、监理、检测等服务的供应商，不得再参加该采购项目的其他采购活动。否则投标无效。</w:t>
      </w:r>
    </w:p>
    <w:p>
      <w:pPr>
        <w:pageBreakBefore w:val="0"/>
        <w:numPr>
          <w:ilvl w:val="0"/>
          <w:numId w:val="0"/>
        </w:numPr>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4.投标费用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4.1 投标人应承担所有与编写、提交投标文件有关的费用，不论招标的结果如何，采购人在任何情况下均无义务和责任承担这些费用。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31" w:name="_Toc132880275"/>
      <w:r>
        <w:rPr>
          <w:rFonts w:hint="eastAsia" w:ascii="黑体" w:hAnsi="黑体" w:eastAsia="黑体" w:cs="黑体"/>
          <w:color w:val="auto"/>
          <w:highlight w:val="none"/>
        </w:rPr>
        <w:t>二、招标文件</w:t>
      </w:r>
      <w:bookmarkEnd w:id="31"/>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5.招标文件构成</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第一部分 商务部分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（1）招标公告</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（2）投标人须知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（3）评标方法及标准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（4）政府采购合同文本</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（5）投标文件格式</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第二部分 技术部分</w:t>
      </w:r>
    </w:p>
    <w:p>
      <w:pPr>
        <w:pageBreakBefore w:val="0"/>
        <w:kinsoku/>
        <w:wordWrap/>
        <w:topLinePunct/>
        <w:autoSpaceDE w:val="0"/>
        <w:autoSpaceDN w:val="0"/>
        <w:bidi w:val="0"/>
        <w:adjustRightInd w:val="0"/>
        <w:snapToGrid w:val="0"/>
        <w:spacing w:after="0" w:line="360" w:lineRule="auto"/>
        <w:ind w:firstLine="413" w:firstLineChars="196"/>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6.招标文件询问、澄清或修改</w:t>
      </w:r>
    </w:p>
    <w:p>
      <w:pPr>
        <w:pageBreakBefore w:val="0"/>
        <w:widowControl/>
        <w:kinsoku/>
        <w:wordWrap/>
        <w:topLinePunct/>
        <w:autoSpaceDE w:val="0"/>
        <w:autoSpaceDN w:val="0"/>
        <w:bidi w:val="0"/>
        <w:adjustRightInd w:val="0"/>
        <w:snapToGrid w:val="0"/>
        <w:spacing w:after="0" w:line="360" w:lineRule="auto"/>
        <w:ind w:firstLine="420" w:firstLineChars="200"/>
        <w:jc w:val="left"/>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6.1 投标人对招标文件如有疑问的，可以向采购人或者采购代理机构提出询问，采购人或者采购代理机构应当在3个工作日内作出答复</w:t>
      </w:r>
      <w:r>
        <w:rPr>
          <w:rFonts w:hint="default" w:ascii="Times New Roman" w:hAnsi="Times New Roman" w:cs="Times New Roman"/>
          <w:bCs/>
          <w:color w:val="auto"/>
          <w:sz w:val="21"/>
          <w:szCs w:val="21"/>
          <w:highlight w:val="none"/>
        </w:rPr>
        <w:t>，但答复的内容不得涉及商业秘密。</w:t>
      </w:r>
      <w:r>
        <w:rPr>
          <w:rFonts w:hint="default" w:ascii="Times New Roman" w:hAnsi="Times New Roman" w:cs="Times New Roman"/>
          <w:color w:val="auto"/>
          <w:sz w:val="21"/>
          <w:szCs w:val="21"/>
          <w:highlight w:val="none"/>
        </w:rPr>
        <w:t>如有必要，采购人或者采购代理机构可对招标文件进行澄清或者修改。</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6.2 采购人或者采购代理机构可主动对招标文件进行必要的澄清或者修改，但不得改变采购标的和资格条件。</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6.3 澄清或者修改应当在原公告发布媒体上发布澄清公告，线上采购项目还应通过国家税务总局政府采购评审管理系统（以下简称“评审管理系统”）通知所有获取招标文件的潜在投标人。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6.4 澄清或者修改的内容可能影响投标文件编制的，采购人或者采购代理机构应当在投标截止时间至少15日前，以书面形式或通过评审管理系统（适用于线上采购，下同）通知所有获取招标文件的潜在投标人；不足15日的，采购人或者采购代理机构应当顺延提交投标文件的截止时间。</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6.5 澄清或者修改的内容为招标文件的组成部分。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32" w:name="_Toc132880276"/>
      <w:r>
        <w:rPr>
          <w:rFonts w:hint="eastAsia" w:ascii="黑体" w:hAnsi="黑体" w:eastAsia="黑体" w:cs="黑体"/>
          <w:color w:val="auto"/>
          <w:highlight w:val="none"/>
        </w:rPr>
        <w:t>三、投标文件</w:t>
      </w:r>
      <w:bookmarkEnd w:id="32"/>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7</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投标文件编制</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7.1投标文件的编制</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7.1.1投标人应先仔细阅读招标文件的全部内容后，再进行投标文件的编制。</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7.1.2投标文件应满足招标文件提出的实质性要求和条件，并保证其所提交的全部资料是不可割离且真实、有效、准确、完整和不具有任何误导性的，否则造成不利后果由投标人承担责任。</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7.2投标文件的语言</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7.2.1除招标文件另有规定外，投标文件应使用中文文本并使用中文简化字，若有不同文本，以中文简化字文本为准。</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7.2.2投标文件提供的全部资料中，若属于非中文描述的，应同时提供中文简化字译本。</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7.2.3除在招标文件的要求中另有规定外，投标文件计量单位应使用中华人民共和国法定计量单位。</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7.3投标人制作投标文件前须提前办理数字证书和电子签章，办理方式和注意事项详见网站《供应商操作手册》。供应商在国家税务总局集中采购中心网站（https://swcg.chinatax.gov.cn） “下载中心”下载并安装“供应商投标工具”，使用投标工具编制投标文件。（线上采购项目适用）</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8.投标文件的组成</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8.1 投标文件包括商务部分和技术部分。</w:t>
      </w:r>
    </w:p>
    <w:p>
      <w:pPr>
        <w:pageBreakBefore w:val="0"/>
        <w:kinsoku/>
        <w:wordWrap/>
        <w:topLinePunct/>
        <w:autoSpaceDE w:val="0"/>
        <w:autoSpaceDN w:val="0"/>
        <w:bidi w:val="0"/>
        <w:adjustRightInd w:val="0"/>
        <w:snapToGrid w:val="0"/>
        <w:spacing w:after="0" w:line="360" w:lineRule="auto"/>
        <w:ind w:firstLine="428" w:firstLineChars="204"/>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8.2 投标文件</w:t>
      </w:r>
      <w:r>
        <w:rPr>
          <w:rFonts w:hint="default" w:ascii="Times New Roman" w:hAnsi="Times New Roman" w:eastAsia="宋体" w:cs="Times New Roman"/>
          <w:b/>
          <w:bCs/>
          <w:color w:val="auto"/>
          <w:sz w:val="21"/>
          <w:szCs w:val="21"/>
          <w:highlight w:val="none"/>
        </w:rPr>
        <w:t>商务部分</w:t>
      </w:r>
      <w:r>
        <w:rPr>
          <w:rFonts w:hint="default" w:ascii="Times New Roman" w:hAnsi="Times New Roman" w:eastAsia="宋体" w:cs="Times New Roman"/>
          <w:color w:val="auto"/>
          <w:sz w:val="21"/>
          <w:szCs w:val="21"/>
          <w:highlight w:val="none"/>
        </w:rPr>
        <w:t>主要包括的文件和资料：</w:t>
      </w:r>
    </w:p>
    <w:p>
      <w:pPr>
        <w:pageBreakBefore w:val="0"/>
        <w:kinsoku/>
        <w:wordWrap/>
        <w:topLinePunct/>
        <w:autoSpaceDE w:val="0"/>
        <w:autoSpaceDN w:val="0"/>
        <w:bidi w:val="0"/>
        <w:adjustRightInd w:val="0"/>
        <w:snapToGrid w:val="0"/>
        <w:spacing w:after="0" w:line="360" w:lineRule="auto"/>
        <w:ind w:firstLine="428" w:firstLineChars="204"/>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8.2.1 资格证明文件，见</w:t>
      </w:r>
      <w:r>
        <w:rPr>
          <w:rFonts w:hint="default" w:ascii="Times New Roman" w:hAnsi="Times New Roman" w:eastAsia="宋体" w:cs="Times New Roman"/>
          <w:b/>
          <w:color w:val="auto"/>
          <w:sz w:val="21"/>
          <w:szCs w:val="21"/>
          <w:highlight w:val="none"/>
        </w:rPr>
        <w:t>投标人须知前附表。</w:t>
      </w:r>
    </w:p>
    <w:p>
      <w:pPr>
        <w:pageBreakBefore w:val="0"/>
        <w:kinsoku/>
        <w:wordWrap/>
        <w:overflowPunct w:val="0"/>
        <w:autoSpaceDE w:val="0"/>
        <w:autoSpaceDN w:val="0"/>
        <w:bidi w:val="0"/>
        <w:adjustRightInd w:val="0"/>
        <w:snapToGrid w:val="0"/>
        <w:spacing w:after="0" w:line="360" w:lineRule="auto"/>
        <w:ind w:firstLine="426" w:firstLineChars="203"/>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8.2.2 其他文件及资料，见</w:t>
      </w:r>
      <w:r>
        <w:rPr>
          <w:rFonts w:hint="default" w:ascii="Times New Roman" w:hAnsi="Times New Roman" w:eastAsia="宋体" w:cs="Times New Roman"/>
          <w:b/>
          <w:color w:val="auto"/>
          <w:sz w:val="21"/>
          <w:szCs w:val="21"/>
          <w:highlight w:val="none"/>
        </w:rPr>
        <w:t>投标人须知前附表。</w:t>
      </w:r>
    </w:p>
    <w:p>
      <w:pPr>
        <w:pageBreakBefore w:val="0"/>
        <w:kinsoku/>
        <w:wordWrap/>
        <w:overflowPunct w:val="0"/>
        <w:autoSpaceDE w:val="0"/>
        <w:autoSpaceDN w:val="0"/>
        <w:bidi w:val="0"/>
        <w:adjustRightInd w:val="0"/>
        <w:snapToGrid w:val="0"/>
        <w:spacing w:after="0" w:line="360" w:lineRule="auto"/>
        <w:ind w:firstLine="426" w:firstLineChars="203"/>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8.3 投标文件</w:t>
      </w:r>
      <w:r>
        <w:rPr>
          <w:rFonts w:hint="default" w:ascii="Times New Roman" w:hAnsi="Times New Roman" w:eastAsia="宋体" w:cs="Times New Roman"/>
          <w:b/>
          <w:bCs/>
          <w:color w:val="auto"/>
          <w:sz w:val="21"/>
          <w:szCs w:val="21"/>
          <w:highlight w:val="none"/>
        </w:rPr>
        <w:t>技术部分</w:t>
      </w:r>
      <w:r>
        <w:rPr>
          <w:rFonts w:hint="default" w:ascii="Times New Roman" w:hAnsi="Times New Roman" w:eastAsia="宋体" w:cs="Times New Roman"/>
          <w:color w:val="auto"/>
          <w:sz w:val="21"/>
          <w:szCs w:val="21"/>
          <w:highlight w:val="none"/>
        </w:rPr>
        <w:t>主要包括的文件及资料，见</w:t>
      </w:r>
      <w:r>
        <w:rPr>
          <w:rFonts w:hint="default" w:ascii="Times New Roman" w:hAnsi="Times New Roman" w:eastAsia="宋体" w:cs="Times New Roman"/>
          <w:b/>
          <w:color w:val="auto"/>
          <w:sz w:val="21"/>
          <w:szCs w:val="21"/>
          <w:highlight w:val="none"/>
        </w:rPr>
        <w:t>投标人须知前附表。</w:t>
      </w:r>
    </w:p>
    <w:p>
      <w:pPr>
        <w:pageBreakBefore w:val="0"/>
        <w:kinsoku/>
        <w:wordWrap/>
        <w:overflowPunct w:val="0"/>
        <w:autoSpaceDE w:val="0"/>
        <w:autoSpaceDN w:val="0"/>
        <w:bidi w:val="0"/>
        <w:adjustRightInd w:val="0"/>
        <w:snapToGrid w:val="0"/>
        <w:spacing w:after="0" w:line="360" w:lineRule="auto"/>
        <w:ind w:firstLine="426" w:firstLineChars="203"/>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8.4 证明资料如标明有效期的，必须在有效期内。</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9.报价要求</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9.1 除招标文件另有规定外，投标应以人民币报价，线上采购项目还须按照投标工具的流程和提示编制并上传投标报价表。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9.2 本项目不接受任何形式的赠送、“零”报价和折扣报价。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9.3 本项目以投标报价为依据计算价格分。投标报价应包括招标文件中要求投标人承担所有工作内容的全部费用。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9.5 最低报价不能作为中标的保证。</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10.投标文件的书写、密封、签署、盖章</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10.1书写</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10.1.1投标文件应使用不能擦去的墨料或墨水打印、书写。</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10.1.2投标文件内容应没有涂改或行间插字。若有前述改动，在改动处应由单位负责人（投标人代表）签字确认或加盖投标人的单位公章或校正章。</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10.2密封</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10.2.1投标文件应胶装或装订成册，避免材料散装、脱落。</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10.2.2投标文件应使用不透明的牛皮纸或档案袋等材料密封包装，并在外包装封面注明“正本”或“副本”，以及项目编号、项目名称、开标时间等信息，避免投标文件被误拆或提前拆封。投标文件正本应按上述要求制作。副本可按上述要求制作，也可用正本的完整复印件，并与正本保持一致（若不一致，以正本为准）</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10.3签署、盖章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10.3.1</w:t>
      </w:r>
      <w:r>
        <w:rPr>
          <w:rFonts w:hint="default" w:ascii="Times New Roman" w:hAnsi="Times New Roman" w:cs="Times New Roman"/>
          <w:color w:val="auto"/>
          <w:sz w:val="21"/>
          <w:szCs w:val="21"/>
          <w:highlight w:val="none"/>
        </w:rPr>
        <w:t>投标文件中要求签字处应由投标人的单位负责人（投标人代表）签字或加盖个人印章。</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10.3.2投标文件必须按照招标文件给出文件格式的签署要求进行签署。</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10.3.3投标人在</w:t>
      </w:r>
      <w:r>
        <w:rPr>
          <w:rFonts w:hint="default" w:ascii="Times New Roman" w:hAnsi="Times New Roman" w:eastAsia="宋体" w:cs="Times New Roman"/>
          <w:b/>
          <w:bCs/>
          <w:color w:val="auto"/>
          <w:sz w:val="21"/>
          <w:szCs w:val="21"/>
          <w:highlight w:val="none"/>
        </w:rPr>
        <w:t>“投标函”“法定代表人授权委托书”</w:t>
      </w:r>
      <w:r>
        <w:rPr>
          <w:rFonts w:hint="default" w:ascii="Times New Roman" w:hAnsi="Times New Roman" w:eastAsia="宋体" w:cs="Times New Roman"/>
          <w:color w:val="auto"/>
          <w:sz w:val="21"/>
          <w:szCs w:val="21"/>
          <w:highlight w:val="none"/>
        </w:rPr>
        <w:t>上应当按格式要求加盖与投标人名称全称一致的标准公章，并按照招标文件第五章投标文件格式中的相应格式文件要求签署全名或加盖名章。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10.3.4投标文件中的“盖章”指加盖投标人的“公章”，而非“合同专用章”、“投标专用章”等其他非公章。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10.3.5线上采购项目可以使用电子签章。</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11</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投标有效期</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11.1 投标有效期见</w:t>
      </w:r>
      <w:r>
        <w:rPr>
          <w:rFonts w:hint="default" w:ascii="Times New Roman" w:hAnsi="Times New Roman" w:eastAsia="宋体" w:cs="Times New Roman"/>
          <w:b/>
          <w:color w:val="auto"/>
          <w:sz w:val="21"/>
          <w:szCs w:val="21"/>
          <w:highlight w:val="none"/>
        </w:rPr>
        <w:t>投标人须知前附表</w:t>
      </w:r>
      <w:r>
        <w:rPr>
          <w:rFonts w:hint="default" w:ascii="Times New Roman" w:hAnsi="Times New Roman" w:eastAsia="宋体" w:cs="Times New Roman"/>
          <w:color w:val="auto"/>
          <w:sz w:val="21"/>
          <w:szCs w:val="21"/>
          <w:highlight w:val="none"/>
        </w:rPr>
        <w:t>，在此期间，投标文件对投标人具有法律约束力，以保证采购人或者采购代理机构有足够的时间完成评标、定标以及签订合同。投标文件中承诺的投标有效期应当不少于招标文件中载明的投标有效期，否则作为无效投标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11.2 特殊情况下，在原投标有效期期满之前，采购人或者采购代理机构可征得投标人同意延长投标有效期。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33" w:name="_Toc132880277"/>
      <w:r>
        <w:rPr>
          <w:rFonts w:hint="eastAsia" w:ascii="黑体" w:hAnsi="黑体" w:eastAsia="黑体" w:cs="黑体"/>
          <w:color w:val="auto"/>
          <w:highlight w:val="none"/>
        </w:rPr>
        <w:t>四、投标文件递交</w:t>
      </w:r>
      <w:bookmarkEnd w:id="33"/>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12</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投标文件递交</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12.1 投标人应当在</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要求提交投标文件截止时间前，根据《投标人须知前附表》载明方式提交投标文件。提交投标文件截止时间后，递交投标文件的投标将被拒绝。</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12.2 线上采购项目应登录评审管理系统并使用投标工具加密上传投标文件。除上述方式之外，不接受投标人以纸质文件以及其他任何方式提交的投标文件。投标人应充分考虑网络传输时间等因素，合理安排上传时间。提交投标文件截止时间后，评审管理系统不提供投标文件上传功能。投标人未完成投标文件上传的，投标将被拒绝。</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13</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投标文件补充、修改或撤回</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13.1 投标人在投标截止时间前，可以对所递交的投标文件进行补充、修改或者撤回，并书面通知采购人或者采购代理机构。补充、修改的内容应当按照招标文件要求签署、盖章、密封后，作为投标文件的组成部分。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13.2 线上采购项目，投标人在投标截止时间前，可以登录评审管理系统对所提交的投标文件进行撤回、补充、修改、重新提交。补充、修改的内容应当按照招标文件要求签署、盖章。</w:t>
      </w:r>
    </w:p>
    <w:p>
      <w:pPr>
        <w:pageBreakBefore w:val="0"/>
        <w:widowControl/>
        <w:kinsoku/>
        <w:wordWrap/>
        <w:topLinePunct/>
        <w:autoSpaceDE w:val="0"/>
        <w:autoSpaceDN w:val="0"/>
        <w:bidi w:val="0"/>
        <w:adjustRightInd w:val="0"/>
        <w:snapToGrid w:val="0"/>
        <w:spacing w:after="0"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13.3 提交投标文件截止时间后，不支持对已提交的投标文件作任何补充、修改或者撤回。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34" w:name="_Toc132880278"/>
      <w:r>
        <w:rPr>
          <w:rFonts w:hint="eastAsia" w:ascii="黑体" w:hAnsi="黑体" w:eastAsia="黑体" w:cs="黑体"/>
          <w:color w:val="auto"/>
          <w:highlight w:val="none"/>
        </w:rPr>
        <w:t>五、开标与评标</w:t>
      </w:r>
      <w:bookmarkEnd w:id="34"/>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14</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开标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14</w:t>
      </w:r>
      <w:r>
        <w:rPr>
          <w:rFonts w:hint="default" w:ascii="Times New Roman" w:hAnsi="Times New Roman" w:cs="Times New Roman"/>
          <w:color w:val="auto"/>
          <w:sz w:val="21"/>
          <w:szCs w:val="21"/>
          <w:highlight w:val="none"/>
        </w:rPr>
        <w:t>.1 开标在招标文件确定的提交投标文件截止时间的同一时间进行。开标地点详见</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14.2 开标由采购人或者采购代理机构主持，邀请投标人参加。评标委员会成员不得参加开标活动。</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14.3 开标时，由投标人或者其推选的代表检查投标文件的密封情况；经确认无误后，由采购人或者采购代理机构工作人员当众拆封，宣布投标人名称、投标价格和招标文件规定的需要宣布的其他内容。</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14.4 开标过程由采购人或者采购代理机构负责记录，由参加开标的各投标人代表和相关工作人员签字确认后随采购文件一并存档。投标人未参加开标的，视同认可开标结果。</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14.5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14.6 在政府采购活动中，采购人员及相关人员与投标人有下列利害关系之一的，应当回避：</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（1）参加采购活动前3年内与投标人存在劳动关系；</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（2）参加采购活动前3年内担任投标人的董事、监事；</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（3）参加采购活动前3年内是投标人的控股股东或者实际控制人；</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（4）与投标人的法定代表人或者负责人有夫妻、直系血亲、三代以内旁系血亲或者近姻亲关系；</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（5）与投标人有其他可能影响政府采购活动公平、公正进行的关系。</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认为采购人员及相关人员（包括评标委员会的组成人员）与其他投标人有利害关系的，可以向采购人或者采购代理机构书面提出回避申请，并说明理由。采购人或者采购代理机构应当及时询问被申请回避人员，有利害关系的被申请回避人员应当回避。</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rPr>
        <w:t>14.7 对线上采购项目，</w:t>
      </w:r>
      <w:r>
        <w:rPr>
          <w:rFonts w:hint="default" w:ascii="Times New Roman" w:hAnsi="Times New Roman" w:eastAsia="宋体" w:cs="Times New Roman"/>
          <w:color w:val="auto"/>
          <w:sz w:val="21"/>
          <w:szCs w:val="21"/>
          <w:highlight w:val="none"/>
        </w:rPr>
        <w:t>采购人</w:t>
      </w:r>
      <w:r>
        <w:rPr>
          <w:rFonts w:hint="default" w:ascii="Times New Roman" w:hAnsi="Times New Roman" w:cs="Times New Roman"/>
          <w:color w:val="auto"/>
          <w:sz w:val="21"/>
          <w:szCs w:val="21"/>
          <w:highlight w:val="none"/>
        </w:rPr>
        <w:t>或者采购代理机构</w:t>
      </w:r>
      <w:r>
        <w:rPr>
          <w:rFonts w:hint="default" w:ascii="Times New Roman" w:hAnsi="Times New Roman" w:eastAsia="宋体" w:cs="Times New Roman"/>
          <w:color w:val="auto"/>
          <w:sz w:val="21"/>
          <w:szCs w:val="21"/>
          <w:highlight w:val="none"/>
        </w:rPr>
        <w:t>将在</w:t>
      </w:r>
      <w:r>
        <w:rPr>
          <w:rFonts w:hint="default" w:ascii="Times New Roman" w:hAnsi="Times New Roman" w:eastAsia="宋体" w:cs="Times New Roman"/>
          <w:b/>
          <w:color w:val="auto"/>
          <w:sz w:val="21"/>
          <w:szCs w:val="21"/>
          <w:highlight w:val="none"/>
        </w:rPr>
        <w:t>投标人须知前附表</w:t>
      </w:r>
      <w:r>
        <w:rPr>
          <w:rFonts w:hint="default" w:ascii="Times New Roman" w:hAnsi="Times New Roman" w:eastAsia="宋体" w:cs="Times New Roman"/>
          <w:color w:val="auto"/>
          <w:sz w:val="21"/>
          <w:szCs w:val="21"/>
          <w:highlight w:val="none"/>
        </w:rPr>
        <w:t>规定的时间进行电子开标，采购人</w:t>
      </w:r>
      <w:r>
        <w:rPr>
          <w:rFonts w:hint="default" w:ascii="Times New Roman" w:hAnsi="Times New Roman" w:cs="Times New Roman"/>
          <w:color w:val="auto"/>
          <w:sz w:val="21"/>
          <w:szCs w:val="21"/>
          <w:highlight w:val="none"/>
        </w:rPr>
        <w:t>或者采购代理机构</w:t>
      </w:r>
      <w:r>
        <w:rPr>
          <w:rFonts w:hint="default" w:ascii="Times New Roman" w:hAnsi="Times New Roman" w:eastAsia="宋体" w:cs="Times New Roman"/>
          <w:color w:val="auto"/>
          <w:sz w:val="21"/>
          <w:szCs w:val="21"/>
          <w:highlight w:val="none"/>
        </w:rPr>
        <w:t>将对开标、评标现场活动进行全程录音录像，音像资料作为采购文件一并存档。开标由采购人</w:t>
      </w:r>
      <w:r>
        <w:rPr>
          <w:rFonts w:hint="default" w:ascii="Times New Roman" w:hAnsi="Times New Roman" w:cs="Times New Roman"/>
          <w:color w:val="auto"/>
          <w:sz w:val="21"/>
          <w:szCs w:val="21"/>
          <w:highlight w:val="none"/>
        </w:rPr>
        <w:t>或者采购代理机构</w:t>
      </w:r>
      <w:r>
        <w:rPr>
          <w:rFonts w:hint="default" w:ascii="Times New Roman" w:hAnsi="Times New Roman" w:eastAsia="宋体" w:cs="Times New Roman"/>
          <w:color w:val="auto"/>
          <w:sz w:val="21"/>
          <w:szCs w:val="21"/>
          <w:highlight w:val="none"/>
        </w:rPr>
        <w:t>主持，投标人通过登录评审管理系统进入开标大厅远程参加。</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15</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投标资格审查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15.1 公开招标采购项目开标结束后，由采购人或者采购代理机构依法对投标人的资格进行审查，以确定投标人是否具备投标资格。</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15.1.1 审查投标人按照8.2.1提交的</w:t>
      </w:r>
      <w:r>
        <w:rPr>
          <w:rFonts w:hint="default" w:ascii="Times New Roman" w:hAnsi="Times New Roman" w:eastAsia="宋体" w:cs="Times New Roman"/>
          <w:b/>
          <w:color w:val="auto"/>
          <w:sz w:val="21"/>
          <w:szCs w:val="21"/>
          <w:highlight w:val="none"/>
        </w:rPr>
        <w:t>“资格证明文件”</w:t>
      </w:r>
      <w:r>
        <w:rPr>
          <w:rFonts w:hint="default" w:ascii="Times New Roman" w:hAnsi="Times New Roman" w:eastAsia="宋体"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color w:val="auto"/>
          <w:sz w:val="21"/>
          <w:szCs w:val="21"/>
          <w:highlight w:val="none"/>
        </w:rPr>
        <w:t>15.1.2 信用记录审查。</w:t>
      </w:r>
      <w:r>
        <w:rPr>
          <w:rFonts w:hint="default" w:ascii="Times New Roman" w:hAnsi="Times New Roman" w:eastAsia="宋体" w:cs="Times New Roman"/>
          <w:b/>
          <w:bCs/>
          <w:color w:val="auto"/>
          <w:sz w:val="21"/>
          <w:szCs w:val="21"/>
          <w:highlight w:val="none"/>
        </w:rPr>
        <w:t>见投标人须知前附表。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15.2 未通过资格审查的投标人，其投标无效。</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15.3 合格投标人不足3家的，不得评标。</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16</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评标委员会的组成</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16.1 采购人或者采购代理机构根据有关法律法规规定组建评标委员会，评标委员会由采购人代表和评审专家组成。</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17</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投标符合性审查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17.1 评标委员会对符合资格的投标人的投标文件进行符合性审查，以确定其是否符合招标文件的商务、技术等实质性要求。</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17.2 未通过符合性审查的投标人，其投标无效。</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17.3 通过符合性审查的投标人不足3家的，应予以废标。</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18</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投标文件的澄清</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18.1对于投标文件中含义不明确、同类问题表述不一致或者有明显文字和计算错误的内容，评标委员会应当以书面形式要求投标人作出必要的澄清、说明或者补正。</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18.2投标人的澄清、说明或者补正应当采用书面形式，并加盖公章，或者由法定代表人或其授权的代表签字。（线上采购项目的通过评审管理系统上传加盖电子公章的扫描件）。投标人的澄清、说明或者补正不得超出投标文件的范围或者改变投标文件的实质性内容。</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18.3关于投标描述（即投标文件中描述的内容）</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（1）投标描述前后不一致且不涉及证明材料的：按照本节第18.1条规定执行。</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（2）投标描述与证明材料不一致或多份证明材料之间不一致的：</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①评标委员会将要求投标人进行书面澄清，无法澄清的将按照不利于投标人的内容进行评标。</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②投标人按照要求进行澄清的，采购人以澄清内容为准进行验收；投标人未按照要求进行澄清的，采购人以投标描述或证明材料中有利于采购人的内容进行验收。投标人应对证明材料的真实性、有效性承担责任。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21"/>
        <w:pageBreakBefore w:val="0"/>
        <w:widowControl w:val="0"/>
        <w:kinsoku/>
        <w:wordWrap/>
        <w:bidi w:val="0"/>
        <w:spacing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18.4 除评标委员会要求投标人做出的澄清、说明或者补正以外，评标委员会不接受投标人的任何询问、说明、更改及文件。</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18.5 投标人的澄清必须在规定的时间内提交。</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19</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核价原则</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Cs/>
          <w:color w:val="auto"/>
          <w:sz w:val="21"/>
          <w:szCs w:val="21"/>
          <w:highlight w:val="none"/>
        </w:rPr>
        <w:t xml:space="preserve">19.1 </w:t>
      </w:r>
      <w:r>
        <w:rPr>
          <w:rFonts w:hint="default" w:ascii="Times New Roman" w:hAnsi="Times New Roman" w:eastAsia="宋体" w:cs="Times New Roman"/>
          <w:color w:val="auto"/>
          <w:sz w:val="21"/>
          <w:szCs w:val="21"/>
          <w:highlight w:val="none"/>
        </w:rPr>
        <w:t>投标文件报价出现前后不一致的，除招标文件另有规定外，按照下列规定修正：</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（1）投标文件中开标一览表（总报价表）内容与投标文件中相应内容不一致的，以开标一览表（总报价表）为准；</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（2）大写金额和小写金额不一致的，以大写金额为准；</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（3）单价金额小数点或者百分比有明显错位的，以开标一览表的总价为准，并修改单价；</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（4）总价金额与按单价汇总金额不一致的，以单价金额计算结果为准。</w:t>
      </w:r>
    </w:p>
    <w:p>
      <w:pPr>
        <w:pageBreakBefore w:val="0"/>
        <w:kinsoku/>
        <w:wordWrap/>
        <w:overflowPunct w:val="0"/>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（5）同时出现两种以上不一致的，按照前款规定的顺序修正。修正后的报价按照18.2条的规定经投标人确认后产生约束力，投标人不确认的，其投标无效。</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20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投标无效</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20.1 投标人及投标文件有下列情况之一的，应当在资格审查时按照投标无效处理：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 不具备招标文件中规定的资格要求的；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 投标文件组成中“资格证明文件”未提供或无效的；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 未通过信用记录审查或未提供相关证明材料的。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20.2 投标人及投标文件有下列情况之一的，应当在符合性审查时按照投标无效处理：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 投标文件组成中除“资格证明文件”外，★条款相关文件及资料未提供或提供无效的；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 投标文件未按招标文件要求签署、盖章的；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 投标报价超过招标文件中规定的预算金额或者最高限价的；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 投标有效期不足的；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 投标文件含有采购人不能接受的附加条件的；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20.3 除20.1及20.2情形外，投标人及投标文件有下列情况之一的，应当按照投标无效处理：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 提供虚假投标文件材料的；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 投标人串通投标的；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 投标报价明显低于其他通过符合性审查投标人的报价，且不能证明其报价合理性的。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 法律、法规和招标文件规定的其他无效情形。</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21</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比较与评价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21.1 评标委员会按照招标文件中规定的评标方法和标准，对符合性审查合格的投标文件进行商务和技术评估，综合比较与评价。</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21.2 价格分应当采用低价优先法计算。小型、微型企业和监狱企业、残疾人福利性单位的投标报价按照</w:t>
      </w:r>
      <w:r>
        <w:rPr>
          <w:rFonts w:hint="default" w:ascii="Times New Roman" w:hAnsi="Times New Roman" w:eastAsia="宋体" w:cs="Times New Roman"/>
          <w:b/>
          <w:color w:val="auto"/>
          <w:sz w:val="21"/>
          <w:szCs w:val="21"/>
          <w:highlight w:val="none"/>
        </w:rPr>
        <w:t>投标人须知前附表</w:t>
      </w:r>
      <w:r>
        <w:rPr>
          <w:rFonts w:hint="default" w:ascii="Times New Roman" w:hAnsi="Times New Roman" w:eastAsia="宋体" w:cs="Times New Roman"/>
          <w:color w:val="auto"/>
          <w:sz w:val="21"/>
          <w:szCs w:val="21"/>
          <w:highlight w:val="none"/>
        </w:rPr>
        <w:t>规定，分别给予扣除，并以扣除后的报价计算价格分。未提供《中小型企业声明函》、《监狱企业证明文件》、《残疾人福利性单位声明函》的，价格不予扣除。同一投标人不得重复享受价格扣除政策。</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21.3 评标委员会各成员独立对每个投标人的投标文件进行评价，并汇总得出每个投标人的评审得分。</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21.4 评标结果按评审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color w:val="auto"/>
          <w:sz w:val="21"/>
          <w:szCs w:val="21"/>
          <w:highlight w:val="none"/>
        </w:rPr>
        <w:t>21.5 评标方法及标准</w:t>
      </w:r>
      <w:r>
        <w:rPr>
          <w:rFonts w:hint="default" w:ascii="Times New Roman" w:hAnsi="Times New Roman" w:eastAsia="宋体" w:cs="Times New Roman"/>
          <w:b/>
          <w:color w:val="auto"/>
          <w:sz w:val="21"/>
          <w:szCs w:val="21"/>
          <w:highlight w:val="none"/>
        </w:rPr>
        <w:t>详见招标文件商务部分第三章。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21.6 评标委员会成员应当在评标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22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color w:val="auto"/>
          <w:sz w:val="21"/>
          <w:szCs w:val="21"/>
          <w:highlight w:val="none"/>
        </w:rPr>
        <w:t>废标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22.1 在招标采购中，出现下列情形之一的，应予废标：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（1）符合专业条件的供应商或者对招标文件作实质响应的供应商不足三家的；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（2）出现影响采购公正的违法、违规行为的；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（3）投标人的报价均超过了采购预算，采购人不能支付的；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（4）因重大变故，采购任务取消的。</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22.2 废标后，采购人或者采购代理机构将废标理由通知所有投标人。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35" w:name="_Toc132880279"/>
      <w:r>
        <w:rPr>
          <w:rFonts w:hint="eastAsia" w:ascii="黑体" w:hAnsi="黑体" w:eastAsia="黑体" w:cs="黑体"/>
          <w:color w:val="auto"/>
          <w:highlight w:val="none"/>
        </w:rPr>
        <w:t>六、中标和合同</w:t>
      </w:r>
      <w:bookmarkEnd w:id="35"/>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23</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中标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23.1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采购人自行组织招标的，采购人应当在评标结束后5个工作日内，按评标报告推荐的中标候选人顺序确定中标人。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23.2 采购人或者采购代理机构应当自中标人确定之日起2个工作日内，在</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规定的媒体上公告中标结果，招标文件应随中标结果同时公告。中标公告期限为1个工作日。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23.3 在公告中标结果的同时，采购人或者采购代理机构应当向中标人发出中标通知书（对线上采购项目，通过评审管理系统发出中标通知书）；对未通过资格审查的投标人，告知其未通过的原因；采用综合评分法评审的，同时告知未中标人本人的评审得分与排序。</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23.4 中标通知书发出后，采购人或者采购代理机构不得违法改变中标结果，中标人无正当理由不得放弃中标。</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23.5 中标通知书对采购人和中标人具有同等法律效力。</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24</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签订合同</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24.1 采购人应当自中标通知书发出之日起30日内，按照招标文件和中标人投标文件的规定，与中标人签订合同。</w:t>
      </w:r>
      <w:r>
        <w:rPr>
          <w:rFonts w:hint="default" w:ascii="Times New Roman" w:hAnsi="Times New Roman" w:cs="Times New Roman"/>
          <w:color w:val="auto"/>
          <w:sz w:val="21"/>
          <w:szCs w:val="21"/>
          <w:highlight w:val="none"/>
          <w:u w:val="single"/>
        </w:rPr>
        <w:t>线上采购项目可通过评审管理系统签订合同</w:t>
      </w:r>
      <w:r>
        <w:rPr>
          <w:rFonts w:hint="default" w:ascii="Times New Roman" w:hAnsi="Times New Roman"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24.2 所签订的合同不得对招标文件确定的事项和中标人投标文件作实质性修改。</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24.3 采购人不得向中标人提出任何不合理的要求作为签订合同的条件。</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24.4 中标人拒绝与采购人签订合同的，采购人可以按照评审报告推荐的中标候选人名单排序，确定下一候选人为中标人，也可以重新开展政府采购活动。</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25</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履约保证金</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25.1 需提交履约保证金的项目，中标人应在合同签订之日起30日内，按照</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的规定，向采购人提交履约保证金。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36" w:name="_Toc132880280"/>
      <w:r>
        <w:rPr>
          <w:rFonts w:hint="eastAsia" w:ascii="黑体" w:hAnsi="黑体" w:eastAsia="黑体" w:cs="黑体"/>
          <w:color w:val="auto"/>
          <w:highlight w:val="none"/>
        </w:rPr>
        <w:t>七、询问和质疑</w:t>
      </w:r>
      <w:bookmarkEnd w:id="36"/>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26. 询问</w:t>
      </w:r>
    </w:p>
    <w:p>
      <w:pPr>
        <w:pageBreakBefore w:val="0"/>
        <w:kinsoku/>
        <w:wordWrap/>
        <w:topLinePunct/>
        <w:autoSpaceDE w:val="0"/>
        <w:autoSpaceDN w:val="0"/>
        <w:bidi w:val="0"/>
        <w:adjustRightInd w:val="0"/>
        <w:snapToGrid w:val="0"/>
        <w:spacing w:after="0"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26.1潜在投标人、投标人对政府采购活动事项有疑问的，可以向采购人或者采购代理机构提出询问，采购人或者采购代理机构应当在3个工作日内对依法提出的询问作出答复，但答复的内容不得涉及商业秘密。</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27</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质疑</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27.1潜在投标人、投标人（统称质疑人）认为招标文件、招标过程和中标结果使自己的权益受到损害的，可以在知道或者应知其权益受到损害之日起7个工作日内以书面形式向采购人或者采购代理机构提出质疑（线上采购项目可以通过评审管理系统提交）。联系部门、联系电话、通讯地址、电子邮箱</w:t>
      </w:r>
      <w:r>
        <w:rPr>
          <w:rFonts w:hint="default" w:ascii="Times New Roman" w:hAnsi="Times New Roman" w:cs="Times New Roman"/>
          <w:b/>
          <w:bCs/>
          <w:color w:val="auto"/>
          <w:sz w:val="21"/>
          <w:szCs w:val="21"/>
          <w:highlight w:val="none"/>
        </w:rPr>
        <w:t>见</w:t>
      </w:r>
      <w:r>
        <w:rPr>
          <w:rFonts w:hint="default" w:ascii="Times New Roman" w:hAnsi="Times New Roman" w:cs="Times New Roman"/>
          <w:b/>
          <w:color w:val="auto"/>
          <w:sz w:val="21"/>
          <w:szCs w:val="21"/>
          <w:highlight w:val="none"/>
        </w:rPr>
        <w:t>投标人须知前附表</w:t>
      </w:r>
      <w:r>
        <w:rPr>
          <w:rFonts w:hint="default" w:ascii="Times New Roman" w:hAnsi="Times New Roman" w:cs="Times New Roman"/>
          <w:color w:val="auto"/>
          <w:sz w:val="21"/>
          <w:szCs w:val="21"/>
          <w:highlight w:val="none"/>
        </w:rPr>
        <w:t>。</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27.2在法定质疑期内，针对同一采购程序环节的质疑应一次性提出。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27.3质疑人应知其权益受到损害之日，是指： </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（1）对可以质疑的采购文件提出质疑的，为收到采购文件之日或者采购文件公告期限届满之日；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（2）对采购过程提出质疑的，为各采购程序环节结束之日；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（3）对中标结果提出质疑的，为中标结果公告期限届满之日。</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27.4质疑应当有明确的请求和必要的证明材料。供应商为自然人的，应当由本人签字；供应商为法人或者其他组织的，应当由法定代表人、主要负责人，或者其授权代表签字或者签章，并加盖公章。</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27.5 采购人或者代理机构应当在收到供应商的质疑函后7个工作日内，对质疑内容作出答复，</w:t>
      </w:r>
      <w:r>
        <w:rPr>
          <w:rFonts w:hint="default" w:ascii="Times New Roman" w:hAnsi="Times New Roman" w:cs="Times New Roman"/>
          <w:bCs/>
          <w:color w:val="auto"/>
          <w:sz w:val="21"/>
          <w:szCs w:val="21"/>
          <w:highlight w:val="none"/>
        </w:rPr>
        <w:t>书面形式</w:t>
      </w:r>
      <w:r>
        <w:rPr>
          <w:rFonts w:hint="default" w:ascii="Times New Roman" w:hAnsi="Times New Roman" w:cs="Times New Roman"/>
          <w:color w:val="auto"/>
          <w:sz w:val="21"/>
          <w:szCs w:val="21"/>
          <w:highlight w:val="none"/>
        </w:rPr>
        <w:t>通知质疑供应商和其他有关供应商，但答复内容不得涉及商业秘密。</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27.6质疑人对采购人、采购代理机构的答复不满意或者采购人、采购代理机构未在规定的时间内作出答复的，可以在答复期满后15个工作日内向同级人民政府财政部门投诉。</w:t>
      </w:r>
    </w:p>
    <w:p>
      <w:pPr>
        <w:pStyle w:val="21"/>
        <w:pageBreakBefore w:val="0"/>
        <w:widowControl w:val="0"/>
        <w:kinsoku/>
        <w:wordWrap/>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27.7投诉应当有明确的请求和必要的证明材料。投诉的事项不得超出已质疑事项的范围。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highlight w:val="none"/>
        </w:rPr>
      </w:pPr>
      <w:bookmarkStart w:id="37" w:name="_Toc132880281"/>
      <w:r>
        <w:rPr>
          <w:rFonts w:hint="eastAsia" w:ascii="黑体" w:hAnsi="黑体" w:eastAsia="黑体" w:cs="黑体"/>
          <w:color w:val="auto"/>
          <w:highlight w:val="none"/>
        </w:rPr>
        <w:t>八、其他</w:t>
      </w:r>
      <w:bookmarkEnd w:id="37"/>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bookmarkStart w:id="38" w:name="_Toc217989361"/>
      <w:bookmarkStart w:id="39" w:name="_Toc262111390"/>
      <w:bookmarkStart w:id="40" w:name="_Toc319519285"/>
      <w:bookmarkStart w:id="41" w:name="_Toc233181902"/>
      <w:r>
        <w:rPr>
          <w:rFonts w:hint="default" w:ascii="Times New Roman" w:hAnsi="Times New Roman" w:cs="Times New Roman"/>
          <w:b/>
          <w:color w:val="auto"/>
          <w:sz w:val="21"/>
          <w:szCs w:val="21"/>
          <w:highlight w:val="none"/>
        </w:rPr>
        <w:t>28</w:t>
      </w:r>
      <w:r>
        <w:rPr>
          <w:rFonts w:hint="default" w:ascii="Times New Roman" w:hAnsi="Times New Roman" w:cs="Times New Roman"/>
          <w:color w:val="auto"/>
          <w:sz w:val="21"/>
          <w:szCs w:val="21"/>
          <w:highlight w:val="none"/>
        </w:rPr>
        <w:t>．</w:t>
      </w:r>
      <w:r>
        <w:rPr>
          <w:rFonts w:hint="default" w:ascii="Times New Roman" w:hAnsi="Times New Roman" w:cs="Times New Roman"/>
          <w:b/>
          <w:color w:val="auto"/>
          <w:sz w:val="21"/>
          <w:szCs w:val="21"/>
          <w:highlight w:val="none"/>
        </w:rPr>
        <w:t>保密</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28.1采购人、采购代理机构应当采取必要措施，保证评标在严格保密的情况下进行。除采购人代表、评标现场组织人员外，采购人的其他工作人员以及与评标工作无关的人员不得进入评标现场。</w:t>
      </w:r>
    </w:p>
    <w:p>
      <w:pPr>
        <w:pageBreakBefore w:val="0"/>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28.2 评标委员会成员和参与评标工作的有关人员对评标情况以及在评标过程中获悉的国家秘密、商业秘密负有保密责任。</w:t>
      </w:r>
    </w:p>
    <w:p>
      <w:pPr>
        <w:pageBreakBefore w:val="0"/>
        <w:kinsoku/>
        <w:wordWrap/>
        <w:topLinePunct/>
        <w:autoSpaceDE w:val="0"/>
        <w:autoSpaceDN w:val="0"/>
        <w:bidi w:val="0"/>
        <w:adjustRightInd w:val="0"/>
        <w:snapToGrid w:val="0"/>
        <w:spacing w:after="0" w:line="360" w:lineRule="auto"/>
        <w:ind w:firstLine="422"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29. 知识产权与规避专利、版权纠纷</w:t>
      </w:r>
      <w:bookmarkEnd w:id="38"/>
      <w:bookmarkEnd w:id="39"/>
      <w:bookmarkEnd w:id="40"/>
      <w:bookmarkEnd w:id="41"/>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29.1 知识产权</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29.1.1 项目系统的版权属于采购人所有，中标人应向采购人开放并提供涉及本项目软件开发、升级完善、运行维护等工作的全部源代码（含保证期内的后续升级版本）。由本项目系统形成的技术和成果的专利申请权、专利权、技术秘密的所有权、使用权、转让权等知识产权归采购人所有。</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 规避专利、版权纠纷</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29.2.1 投标人应保证其投标方案中的有关软件、文件、图纸等没有违反有关专利和版权等知识产权的规定。</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29.2.2 中标人应保证采购人在中华人民共和国使用本项目成果任何一部分、或接受乙方服务时，免受第三方提出的侵犯其专利权、商标权或工业设计权等知识产权的索赔或起诉。</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29.2.3 如果采购人在使用本项目任何一部分时被任何第三方诉称侵犯了第三方知识产权或任何其它权利，中标人应负责处理这一指控并应以中标人的名义自负费用向起诉方提出抗辩。由此可能产生的一切法律责任和经济责任均由中标人承担。</w:t>
      </w:r>
    </w:p>
    <w:p>
      <w:pPr>
        <w:pageBreakBefore w:val="0"/>
        <w:widowControl/>
        <w:kinsoku/>
        <w:wordWrap/>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29.2.4 如果采购人发现任何第三方在采购人未被许可的范围内非法使用采购人获得的知识产权，采购人应通知中标人。中标人应在收到采购人通知后14天内采取行动制止非法使用行为，否则由中标人承担相应的责任。</w:t>
      </w:r>
    </w:p>
    <w:p>
      <w:pPr>
        <w:pageBreakBefore w:val="0"/>
        <w:kinsoku/>
        <w:wordWrap/>
        <w:bidi w:val="0"/>
        <w:spacing w:line="360" w:lineRule="auto"/>
        <w:textAlignment w:val="auto"/>
        <w:rPr>
          <w:rFonts w:hint="default" w:ascii="Times New Roman" w:hAnsi="Times New Roman" w:cs="Times New Roman"/>
          <w:color w:val="auto"/>
          <w:sz w:val="21"/>
          <w:szCs w:val="21"/>
          <w:highlight w:val="none"/>
        </w:rPr>
        <w:sectPr>
          <w:pgSz w:w="11906" w:h="16838"/>
          <w:pgMar w:top="1440" w:right="1752" w:bottom="1440" w:left="1752"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bidi w:val="0"/>
        <w:rPr>
          <w:rFonts w:hint="eastAsia" w:ascii="华文中宋" w:hAnsi="华文中宋" w:eastAsia="华文中宋" w:cs="华文中宋"/>
          <w:color w:val="auto"/>
          <w:sz w:val="28"/>
          <w:szCs w:val="28"/>
          <w:highlight w:val="none"/>
        </w:rPr>
      </w:pPr>
      <w:bookmarkStart w:id="42" w:name="_Toc132880282"/>
      <w:bookmarkStart w:id="43" w:name="_Toc38030149"/>
      <w:bookmarkStart w:id="44" w:name="_Toc1380332034"/>
      <w:bookmarkStart w:id="45" w:name="_Toc1762322514"/>
      <w:bookmarkStart w:id="46" w:name="_Toc937455070"/>
      <w:bookmarkStart w:id="47" w:name="_Toc1298913388"/>
      <w:bookmarkStart w:id="48" w:name="_Toc525052846"/>
      <w:bookmarkStart w:id="49" w:name="_Toc1481241717"/>
      <w:bookmarkStart w:id="50" w:name="_Toc1168671576"/>
      <w:r>
        <w:rPr>
          <w:rFonts w:hint="eastAsia" w:ascii="华文中宋" w:hAnsi="华文中宋" w:eastAsia="华文中宋" w:cs="华文中宋"/>
          <w:color w:val="auto"/>
          <w:sz w:val="28"/>
          <w:szCs w:val="28"/>
          <w:highlight w:val="none"/>
        </w:rPr>
        <w:t>第三章  评标方法及标准</w:t>
      </w:r>
      <w:bookmarkEnd w:id="42"/>
      <w:bookmarkEnd w:id="43"/>
      <w:bookmarkEnd w:id="44"/>
      <w:bookmarkEnd w:id="45"/>
      <w:bookmarkEnd w:id="46"/>
      <w:bookmarkEnd w:id="47"/>
      <w:bookmarkEnd w:id="48"/>
      <w:bookmarkEnd w:id="49"/>
      <w:bookmarkEnd w:id="50"/>
    </w:p>
    <w:p>
      <w:pPr>
        <w:topLinePunct/>
        <w:autoSpaceDE w:val="0"/>
        <w:autoSpaceDN w:val="0"/>
        <w:adjustRightInd w:val="0"/>
        <w:snapToGrid w:val="0"/>
        <w:spacing w:after="0" w:line="360" w:lineRule="auto"/>
        <w:ind w:firstLine="422"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1.评标方法</w:t>
      </w:r>
    </w:p>
    <w:p>
      <w:pPr>
        <w:widowControl/>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 本项目评标方法：</w:t>
      </w:r>
      <w:r>
        <w:rPr>
          <w:rFonts w:hint="default" w:ascii="Times New Roman" w:hAnsi="Times New Roman" w:cs="Times New Roman"/>
          <w:b/>
          <w:color w:val="auto"/>
          <w:sz w:val="21"/>
          <w:szCs w:val="21"/>
          <w:highlight w:val="none"/>
          <w:u w:val="single"/>
        </w:rPr>
        <w:t>采用综合评分法</w:t>
      </w:r>
    </w:p>
    <w:p>
      <w:pPr>
        <w:topLinePunct/>
        <w:autoSpaceDE w:val="0"/>
        <w:autoSpaceDN w:val="0"/>
        <w:adjustRightInd w:val="0"/>
        <w:snapToGrid w:val="0"/>
        <w:spacing w:after="0" w:line="360" w:lineRule="auto"/>
        <w:ind w:firstLine="422" w:firstLineChars="200"/>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2.评标标准</w:t>
      </w:r>
    </w:p>
    <w:p>
      <w:pPr>
        <w:pStyle w:val="21"/>
        <w:widowControl w:val="0"/>
        <w:spacing w:line="360" w:lineRule="auto"/>
        <w:ind w:firstLine="420" w:firstLineChars="20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2.1 本项目</w:t>
      </w:r>
      <w:r>
        <w:rPr>
          <w:rFonts w:hint="default" w:ascii="Times New Roman" w:hAnsi="Times New Roman" w:cs="Times New Roman"/>
          <w:b/>
          <w:color w:val="auto"/>
          <w:sz w:val="21"/>
          <w:szCs w:val="21"/>
          <w:highlight w:val="none"/>
          <w:u w:val="single"/>
        </w:rPr>
        <w:t>采用综合评分法</w:t>
      </w:r>
      <w:r>
        <w:rPr>
          <w:rFonts w:hint="default" w:ascii="Times New Roman" w:hAnsi="Times New Roman" w:cs="Times New Roman"/>
          <w:color w:val="auto"/>
          <w:sz w:val="21"/>
          <w:szCs w:val="21"/>
          <w:highlight w:val="none"/>
        </w:rPr>
        <w:t>进行评标，综合评分法是指投标文件满足招标文件全部实质性要求，且按照评审因素的量化指标评审得分最高的投标人为中标候选人的评标方法。评审因素主要内容如下表。</w:t>
      </w:r>
    </w:p>
    <w:p>
      <w:pPr>
        <w:topLinePunct/>
        <w:autoSpaceDE w:val="0"/>
        <w:autoSpaceDN w:val="0"/>
        <w:spacing w:after="0" w:line="360" w:lineRule="auto"/>
        <w:ind w:firstLine="420" w:firstLineChars="200"/>
        <w:rPr>
          <w:rFonts w:ascii="宋体" w:hAnsi="宋体" w:cs="宋体"/>
          <w:color w:val="auto"/>
          <w:sz w:val="24"/>
          <w:highlight w:val="none"/>
        </w:rPr>
      </w:pPr>
      <w:r>
        <w:rPr>
          <w:rFonts w:hint="default" w:ascii="Times New Roman" w:hAnsi="Times New Roman" w:cs="Times New Roman"/>
          <w:color w:val="auto"/>
          <w:sz w:val="21"/>
          <w:szCs w:val="21"/>
          <w:highlight w:val="none"/>
        </w:rPr>
        <w:t>2.2 本项目价格分值为</w:t>
      </w:r>
      <w:r>
        <w:rPr>
          <w:rFonts w:hint="default" w:ascii="Times New Roman" w:hAnsi="Times New Roman"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10</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分，其余评审因素分值为</w:t>
      </w:r>
      <w:r>
        <w:rPr>
          <w:rFonts w:hint="default" w:ascii="Times New Roman" w:hAnsi="Times New Roman"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90</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分。评审标准如下表</w:t>
      </w:r>
      <w:r>
        <w:rPr>
          <w:rFonts w:hint="eastAsia" w:ascii="宋体" w:hAnsi="宋体" w:cs="宋体"/>
          <w:color w:val="auto"/>
          <w:sz w:val="24"/>
          <w:highlight w:val="none"/>
        </w:rPr>
        <w:t>：</w:t>
      </w:r>
    </w:p>
    <w:tbl>
      <w:tblPr>
        <w:tblStyle w:val="13"/>
        <w:tblW w:w="902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03"/>
        <w:gridCol w:w="1217"/>
        <w:gridCol w:w="791"/>
        <w:gridCol w:w="5677"/>
        <w:gridCol w:w="8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序号</w:t>
            </w: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评审因素</w:t>
            </w: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主要内容</w:t>
            </w:r>
          </w:p>
        </w:tc>
        <w:tc>
          <w:tcPr>
            <w:tcW w:w="567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指标要求</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细项</w:t>
            </w:r>
          </w:p>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w:t>
            </w: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投标报价</w:t>
            </w: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价 格</w:t>
            </w:r>
          </w:p>
        </w:tc>
        <w:tc>
          <w:tcPr>
            <w:tcW w:w="5677" w:type="dxa"/>
            <w:tcBorders>
              <w:top w:val="single" w:color="auto" w:sz="4" w:space="0"/>
              <w:left w:val="single" w:color="auto" w:sz="4" w:space="0"/>
              <w:bottom w:val="single" w:color="auto" w:sz="4" w:space="0"/>
              <w:right w:val="single" w:color="auto" w:sz="4" w:space="0"/>
            </w:tcBorders>
            <w:noWrap/>
            <w:vAlign w:val="center"/>
          </w:tcPr>
          <w:p>
            <w:pPr>
              <w:pStyle w:val="21"/>
              <w:widowControl w:val="0"/>
              <w:spacing w:line="360" w:lineRule="auto"/>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投标报价得分=（评标基准价／投标报价）× 满分值</w:t>
            </w:r>
          </w:p>
          <w:p>
            <w:pPr>
              <w:pStyle w:val="21"/>
              <w:widowControl w:val="0"/>
              <w:spacing w:line="360" w:lineRule="auto"/>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（1）评标基准价是指满足招标文件要求且投标价格最低的投标报价。</w:t>
            </w:r>
          </w:p>
          <w:p>
            <w:pPr>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rPr>
              <w:t>（2）因落实政府采购政策进行价格调整的，以调整后的价格计算评标基准价和投标报价。</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b/>
                <w:bCs/>
                <w:color w:val="auto"/>
                <w:kern w:val="0"/>
                <w:sz w:val="21"/>
                <w:szCs w:val="21"/>
                <w:highlight w:val="none"/>
                <w:lang w:val="en-US" w:eastAsia="zh-CN"/>
              </w:rPr>
            </w:pPr>
            <w:r>
              <w:rPr>
                <w:rFonts w:hint="eastAsia" w:ascii="Times New Roman" w:hAnsi="Times New Roman" w:cs="Times New Roman"/>
                <w:b/>
                <w:bCs/>
                <w:color w:val="auto"/>
                <w:kern w:val="0"/>
                <w:sz w:val="21"/>
                <w:szCs w:val="21"/>
                <w:highlight w:val="none"/>
                <w:lang w:val="en-US" w:eastAsia="zh-CN"/>
              </w:rPr>
              <w:t>2</w:t>
            </w:r>
          </w:p>
        </w:tc>
        <w:tc>
          <w:tcPr>
            <w:tcW w:w="1217" w:type="dxa"/>
            <w:vMerge w:val="restart"/>
            <w:tcBorders>
              <w:top w:val="single" w:color="auto" w:sz="4" w:space="0"/>
              <w:left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技术因素</w:t>
            </w: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服务方案</w:t>
            </w:r>
          </w:p>
        </w:tc>
        <w:tc>
          <w:tcPr>
            <w:tcW w:w="567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人根据采购项目服务要求的“（一）服务范围”、“（三）卫生要求”、“（四）安全要求”提供针对本项目的服务方案，方案包括①服务范围；②卫生要求；③安全要求其中一项内容的得2分，最高得6分，不提供不得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根据服务方案的描述进行评审：</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1.方案合理，内容详细，完全满足且优于项目需求的得9分，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2.方案较合理，内容较详细，完全满足项目需求的得6分，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3.方案不合理，内容简单，不完全满足项目需求的得3分，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4. 未提供相关内容的得 0 分。</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w:t>
            </w:r>
          </w:p>
        </w:tc>
        <w:tc>
          <w:tcPr>
            <w:tcW w:w="1217" w:type="dxa"/>
            <w:vMerge w:val="continue"/>
            <w:tcBorders>
              <w:left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菜式及出品方案</w:t>
            </w:r>
          </w:p>
        </w:tc>
        <w:tc>
          <w:tcPr>
            <w:tcW w:w="567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投标人根据“（五）菜式及出品方案”提供针对本项目的菜式及出品方案，方案包括①菜单及搭配；②出品说明其中一项内容的得2分，最高得4分，不提供不得分。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根据菜式及出品方案的描述进行评审：</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1.方案合理，内容详细，完全满足且优于项目需求的得9分，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2.方案较合理，内容较详细，完全满足项目需求的得6分，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3.方案不合理，内容简单，不完全满足项目需求的得3分，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4. 未提供相关内容的得 0 分。</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w:t>
            </w: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食品安全及卫生保障方案</w:t>
            </w:r>
          </w:p>
        </w:tc>
        <w:tc>
          <w:tcPr>
            <w:tcW w:w="567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投标人根据采购需求提供针对本项目的“（六）食品安全及卫生保障方案”，方案包括①配合食材验收；②保障食品仓储卫生；③执行冷藏保鲜其中一项内容的得2分，最高得6分，不提供不得分。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根据食品安全及卫生保障方案的描述进行评审</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1.方案合理，内容详细，完全满足且优于项目需求的得9分，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2.方案较合理，内容较详细，完全满足项目需求的得6分，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3.方案不合理，内容简单，不完全满足项目需求的得3分，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4. 未提供相关内容的得 0 分。</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5</w:t>
            </w:r>
          </w:p>
        </w:tc>
        <w:tc>
          <w:tcPr>
            <w:tcW w:w="1217" w:type="dxa"/>
            <w:vMerge w:val="continue"/>
            <w:tcBorders>
              <w:left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管理制度方案</w:t>
            </w:r>
          </w:p>
        </w:tc>
        <w:tc>
          <w:tcPr>
            <w:tcW w:w="567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人根据采购需求“（七）管理运作制度”提供针对本项目的管理制度，制度包括①厨房纪律；②厨房出品制度；③清洁卫生制度；④员工考勤休假制度；⑤饭堂设施设备使用维护制度；⑥服务人员培训与管理其中一项内容的得1分，最高得6分，不提供不得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根据管理制度方案的描述进行评审：</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1.方案合理，内容详细，完全满足且优于项目需求的得7分，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2.方案较合理，内容较详细，完全满足项目需求的得4分，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3.方案不合理，内容简单，不完全满足项目需求的得1分，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4. 未提供相关内容的得 0 分。</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6</w:t>
            </w:r>
          </w:p>
        </w:tc>
        <w:tc>
          <w:tcPr>
            <w:tcW w:w="1217" w:type="dxa"/>
            <w:vMerge w:val="continue"/>
            <w:tcBorders>
              <w:left w:val="single" w:color="auto" w:sz="4" w:space="0"/>
              <w:bottom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应急方案</w:t>
            </w:r>
          </w:p>
        </w:tc>
        <w:tc>
          <w:tcPr>
            <w:tcW w:w="567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人根据采购需求“（八）应急处置方案”提供针对本项目的应急方案，方案包括①应急食物储备方案；②突发食物中毒；③水源污染；④食材污染；⑤人为破坏其中一项内容的得1分，最高得5分，不提供不得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根据应急方案的描述进行评审：</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1.方案合理，内容详细，完全满足且优于项目需求的得8分，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2.方案较合理，内容较详细，完全满足项目需求的得5分，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3.方案不合理，内容简单，不完全满足项目需求的得2分，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4. 未提供相关内容的得 0 分。</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7</w:t>
            </w:r>
          </w:p>
        </w:tc>
        <w:tc>
          <w:tcPr>
            <w:tcW w:w="1217" w:type="dxa"/>
            <w:vMerge w:val="restart"/>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商务因素</w:t>
            </w: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同类业绩</w:t>
            </w:r>
          </w:p>
        </w:tc>
        <w:tc>
          <w:tcPr>
            <w:tcW w:w="567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 xml:space="preserve">自2021年1月1日以来（以合同签订时间为准）完成过同类业绩的，每个得2.5分，此项最高得5分。 </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注：提供合同关键页或中标通知书复印件，否则不得分。</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8</w:t>
            </w:r>
          </w:p>
        </w:tc>
        <w:tc>
          <w:tcPr>
            <w:tcW w:w="1217" w:type="dxa"/>
            <w:vMerge w:val="continue"/>
            <w:tcBorders>
              <w:top w:val="single" w:color="auto" w:sz="4" w:space="0"/>
              <w:left w:val="single" w:color="auto" w:sz="4" w:space="0"/>
              <w:bottom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拟投入服务团队配置方案</w:t>
            </w:r>
          </w:p>
        </w:tc>
        <w:tc>
          <w:tcPr>
            <w:tcW w:w="567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人根据采购需求“（二）服务团队配置要求”提供针对本项目的服务团队配置方案，方案包括①岗位设置结构；②各类工作人员素质；③员工培训计划；④岗位调配和更换人员制度其中一项内容得1分，最高得4分，不提供不得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根据服务团队配置方案的描述进行评审：</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1.方案合理，内容详细，完全满足且优于项目需求的得6分，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2.方案较合理，内容较详细，完全满足项目需求的得4分，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3.方案不合理，内容简单，不完全满足项目需求的得2分，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4. 未提供相关内容的得 0 分。</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9</w:t>
            </w:r>
          </w:p>
        </w:tc>
        <w:tc>
          <w:tcPr>
            <w:tcW w:w="1217" w:type="dxa"/>
            <w:vMerge w:val="continue"/>
            <w:tcBorders>
              <w:top w:val="single" w:color="auto" w:sz="4" w:space="0"/>
              <w:left w:val="single" w:color="auto" w:sz="4" w:space="0"/>
              <w:bottom w:val="single" w:color="auto" w:sz="4" w:space="0"/>
              <w:right w:val="single" w:color="auto" w:sz="4" w:space="0"/>
            </w:tcBorders>
            <w:noWrap/>
            <w:vAlign w:val="top"/>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p>
        </w:tc>
        <w:tc>
          <w:tcPr>
            <w:tcW w:w="791"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购买的食品安全责任险情况（有效期内）</w:t>
            </w:r>
          </w:p>
        </w:tc>
        <w:tc>
          <w:tcPr>
            <w:tcW w:w="5677"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投标人购买食品安全责任险情况:承诺如在本项目成为中标人，在签订合同后5个工作日内专门为本项目购买保险保额≥200万元食品安全责任险，保险限期包括本项目服务期在内，得6分</w:t>
            </w:r>
          </w:p>
          <w:p>
            <w:pPr>
              <w:widowControl/>
              <w:overflowPunct w:val="0"/>
              <w:autoSpaceDE w:val="0"/>
              <w:autoSpaceDN w:val="0"/>
              <w:adjustRightInd w:val="0"/>
              <w:spacing w:after="0" w:line="360" w:lineRule="auto"/>
              <w:jc w:val="left"/>
              <w:textAlignment w:val="baseline"/>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注:须提供承诺函。投标人承诺如果中标,签订合同后5个工作日内配备到位(投标时提交承诺函，格式自拟）函中须清晰明确购买到位时间及保证本项目合同期在该保险期限内)。</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188" w:type="dxa"/>
            <w:gridSpan w:val="4"/>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合     计</w:t>
            </w:r>
          </w:p>
        </w:tc>
        <w:tc>
          <w:tcPr>
            <w:tcW w:w="838" w:type="dxa"/>
            <w:tcBorders>
              <w:top w:val="single" w:color="auto" w:sz="4" w:space="0"/>
              <w:left w:val="single" w:color="auto" w:sz="4" w:space="0"/>
              <w:bottom w:val="single" w:color="auto" w:sz="4" w:space="0"/>
              <w:right w:val="single" w:color="auto" w:sz="4" w:space="0"/>
            </w:tcBorders>
            <w:noWrap/>
            <w:vAlign w:val="center"/>
          </w:tcPr>
          <w:p>
            <w:pPr>
              <w:widowControl/>
              <w:overflowPunct w:val="0"/>
              <w:autoSpaceDE w:val="0"/>
              <w:autoSpaceDN w:val="0"/>
              <w:adjustRightInd w:val="0"/>
              <w:spacing w:after="0" w:line="360" w:lineRule="auto"/>
              <w:jc w:val="center"/>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 xml:space="preserve">100 </w:t>
            </w:r>
          </w:p>
        </w:tc>
      </w:tr>
    </w:tbl>
    <w:p>
      <w:pPr>
        <w:keepNext w:val="0"/>
        <w:keepLines w:val="0"/>
        <w:pageBreakBefore w:val="0"/>
        <w:widowControl w:val="0"/>
        <w:kinsoku/>
        <w:wordWrap/>
        <w:overflowPunct/>
        <w:topLinePunct/>
        <w:autoSpaceDE w:val="0"/>
        <w:autoSpaceDN w:val="0"/>
        <w:bidi w:val="0"/>
        <w:adjustRightInd/>
        <w:snapToGrid/>
        <w:spacing w:after="0" w:line="360" w:lineRule="auto"/>
        <w:ind w:firstLine="42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1"/>
          <w:szCs w:val="21"/>
          <w:highlight w:val="none"/>
        </w:rPr>
        <w:t>2.3 落实政府采购政策进行价格调整的规则：</w:t>
      </w:r>
    </w:p>
    <w:tbl>
      <w:tblPr>
        <w:tblStyle w:val="14"/>
        <w:tblW w:w="89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8"/>
        <w:gridCol w:w="3561"/>
        <w:gridCol w:w="3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1"/>
              <w:widowControl w:val="0"/>
              <w:spacing w:line="360" w:lineRule="auto"/>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政府采购政策</w:t>
            </w:r>
          </w:p>
        </w:tc>
        <w:tc>
          <w:tcPr>
            <w:tcW w:w="3561" w:type="dxa"/>
            <w:noWrap w:val="0"/>
            <w:vAlign w:val="center"/>
          </w:tcPr>
          <w:p>
            <w:pPr>
              <w:pStyle w:val="21"/>
              <w:widowControl w:val="0"/>
              <w:spacing w:line="360" w:lineRule="auto"/>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价格扣除规则</w:t>
            </w:r>
          </w:p>
        </w:tc>
        <w:tc>
          <w:tcPr>
            <w:tcW w:w="3355" w:type="dxa"/>
            <w:noWrap w:val="0"/>
            <w:vAlign w:val="center"/>
          </w:tcPr>
          <w:p>
            <w:pPr>
              <w:pStyle w:val="21"/>
              <w:widowControl w:val="0"/>
              <w:spacing w:line="360" w:lineRule="auto"/>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享受价格扣除的条件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1"/>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节约能源政策</w:t>
            </w:r>
          </w:p>
        </w:tc>
        <w:tc>
          <w:tcPr>
            <w:tcW w:w="3561" w:type="dxa"/>
            <w:noWrap w:val="0"/>
            <w:vAlign w:val="center"/>
          </w:tcPr>
          <w:p>
            <w:pPr>
              <w:pStyle w:val="21"/>
              <w:widowControl w:val="0"/>
              <w:spacing w:line="360" w:lineRule="auto"/>
              <w:jc w:val="center"/>
              <w:rPr>
                <w:rFonts w:hint="default" w:ascii="宋体" w:hAnsi="宋体"/>
                <w:color w:val="auto"/>
                <w:kern w:val="2"/>
                <w:sz w:val="21"/>
                <w:szCs w:val="21"/>
                <w:highlight w:val="none"/>
              </w:rPr>
            </w:pPr>
            <w:r>
              <w:rPr>
                <w:rFonts w:hint="eastAsia" w:ascii="宋体" w:hAnsi="宋体"/>
                <w:color w:val="auto"/>
                <w:kern w:val="2"/>
                <w:sz w:val="21"/>
                <w:szCs w:val="21"/>
                <w:highlight w:val="none"/>
                <w:lang w:val="en-US" w:eastAsia="zh-CN"/>
              </w:rPr>
              <w:t>/</w:t>
            </w:r>
          </w:p>
        </w:tc>
        <w:tc>
          <w:tcPr>
            <w:tcW w:w="3355" w:type="dxa"/>
            <w:noWrap w:val="0"/>
            <w:vAlign w:val="center"/>
          </w:tcPr>
          <w:p>
            <w:pPr>
              <w:pStyle w:val="21"/>
              <w:widowControl w:val="0"/>
              <w:spacing w:line="36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1"/>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保护环境政策</w:t>
            </w:r>
          </w:p>
        </w:tc>
        <w:tc>
          <w:tcPr>
            <w:tcW w:w="3561" w:type="dxa"/>
            <w:noWrap w:val="0"/>
            <w:vAlign w:val="center"/>
          </w:tcPr>
          <w:p>
            <w:pPr>
              <w:pStyle w:val="21"/>
              <w:widowControl w:val="0"/>
              <w:spacing w:line="36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3355" w:type="dxa"/>
            <w:noWrap w:val="0"/>
            <w:vAlign w:val="center"/>
          </w:tcPr>
          <w:p>
            <w:pPr>
              <w:widowControl w:val="0"/>
              <w:spacing w:line="360" w:lineRule="auto"/>
              <w:jc w:val="center"/>
              <w:rPr>
                <w:rFonts w:hint="default" w:ascii="宋体" w:hAnsi="宋体"/>
                <w:color w:val="auto"/>
                <w:kern w:val="2"/>
                <w:sz w:val="21"/>
                <w:szCs w:val="21"/>
                <w:highlight w:val="none"/>
                <w:lang w:val="en-US"/>
              </w:rPr>
            </w:pPr>
            <w:r>
              <w:rPr>
                <w:rFonts w:hint="eastAsia" w:ascii="宋体" w:hAnsi="宋体"/>
                <w:color w:val="auto"/>
                <w:kern w:val="2"/>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1"/>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促进中小企业</w:t>
            </w:r>
          </w:p>
          <w:p>
            <w:pPr>
              <w:pStyle w:val="21"/>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发展政策</w:t>
            </w:r>
          </w:p>
        </w:tc>
        <w:tc>
          <w:tcPr>
            <w:tcW w:w="3561" w:type="dxa"/>
            <w:noWrap w:val="0"/>
            <w:vAlign w:val="center"/>
          </w:tcPr>
          <w:p>
            <w:pPr>
              <w:pStyle w:val="21"/>
              <w:widowControl w:val="0"/>
              <w:spacing w:line="360" w:lineRule="auto"/>
              <w:jc w:val="center"/>
              <w:rPr>
                <w:rFonts w:hint="eastAsia" w:ascii="宋体" w:hAnsi="宋体" w:eastAsia="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w:t>
            </w:r>
          </w:p>
        </w:tc>
        <w:tc>
          <w:tcPr>
            <w:tcW w:w="3355" w:type="dxa"/>
            <w:noWrap w:val="0"/>
            <w:vAlign w:val="center"/>
          </w:tcPr>
          <w:p>
            <w:pPr>
              <w:pStyle w:val="21"/>
              <w:widowControl w:val="0"/>
              <w:spacing w:line="360" w:lineRule="auto"/>
              <w:jc w:val="center"/>
              <w:rPr>
                <w:rFonts w:hint="default" w:ascii="宋体" w:hAnsi="宋体"/>
                <w:color w:val="auto"/>
                <w:kern w:val="2"/>
                <w:sz w:val="21"/>
                <w:szCs w:val="21"/>
                <w:highlight w:val="none"/>
              </w:rPr>
            </w:pPr>
            <w:r>
              <w:rPr>
                <w:rFonts w:hint="eastAsia" w:ascii="宋体" w:hAnsi="宋体"/>
                <w:color w:val="auto"/>
                <w:kern w:val="2"/>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1"/>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促进残疾人就业政策</w:t>
            </w:r>
          </w:p>
        </w:tc>
        <w:tc>
          <w:tcPr>
            <w:tcW w:w="3561" w:type="dxa"/>
            <w:noWrap w:val="0"/>
            <w:vAlign w:val="center"/>
          </w:tcPr>
          <w:p>
            <w:pPr>
              <w:pStyle w:val="21"/>
              <w:widowControl w:val="0"/>
              <w:spacing w:line="360" w:lineRule="auto"/>
              <w:jc w:val="center"/>
              <w:rPr>
                <w:rFonts w:hint="eastAsia" w:ascii="宋体" w:hAnsi="宋体" w:eastAsia="宋体"/>
                <w:color w:val="auto"/>
                <w:kern w:val="2"/>
                <w:sz w:val="21"/>
                <w:szCs w:val="21"/>
                <w:highlight w:val="none"/>
                <w:lang w:eastAsia="zh-CN"/>
              </w:rPr>
            </w:pPr>
            <w:r>
              <w:rPr>
                <w:rFonts w:hint="eastAsia" w:ascii="宋体" w:hAnsi="宋体"/>
                <w:color w:val="auto"/>
                <w:kern w:val="2"/>
                <w:sz w:val="21"/>
                <w:szCs w:val="21"/>
                <w:highlight w:val="none"/>
                <w:lang w:val="en-US" w:eastAsia="zh-CN"/>
              </w:rPr>
              <w:t>/</w:t>
            </w:r>
          </w:p>
        </w:tc>
        <w:tc>
          <w:tcPr>
            <w:tcW w:w="3355" w:type="dxa"/>
            <w:noWrap w:val="0"/>
            <w:vAlign w:val="center"/>
          </w:tcPr>
          <w:p>
            <w:pPr>
              <w:pStyle w:val="21"/>
              <w:widowControl w:val="0"/>
              <w:spacing w:line="360" w:lineRule="auto"/>
              <w:jc w:val="center"/>
              <w:rPr>
                <w:rFonts w:hint="eastAsia" w:ascii="宋体" w:hAnsi="宋体" w:eastAsia="宋体"/>
                <w:color w:val="auto"/>
                <w:kern w:val="2"/>
                <w:sz w:val="21"/>
                <w:szCs w:val="21"/>
                <w:highlight w:val="none"/>
                <w:lang w:eastAsia="zh-CN"/>
              </w:rPr>
            </w:pPr>
            <w:r>
              <w:rPr>
                <w:rFonts w:hint="eastAsia" w:ascii="宋体" w:hAnsi="宋体"/>
                <w:color w:val="auto"/>
                <w:kern w:val="2"/>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8" w:type="dxa"/>
            <w:noWrap w:val="0"/>
            <w:vAlign w:val="center"/>
          </w:tcPr>
          <w:p>
            <w:pPr>
              <w:pStyle w:val="21"/>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支持监狱企业</w:t>
            </w:r>
          </w:p>
          <w:p>
            <w:pPr>
              <w:pStyle w:val="21"/>
              <w:widowControl w:val="0"/>
              <w:spacing w:line="360" w:lineRule="auto"/>
              <w:jc w:val="center"/>
              <w:rPr>
                <w:rFonts w:hint="default" w:ascii="宋体" w:hAnsi="宋体"/>
                <w:color w:val="auto"/>
                <w:kern w:val="2"/>
                <w:sz w:val="21"/>
                <w:szCs w:val="21"/>
                <w:highlight w:val="none"/>
              </w:rPr>
            </w:pPr>
            <w:r>
              <w:rPr>
                <w:rFonts w:ascii="宋体" w:hAnsi="宋体"/>
                <w:color w:val="auto"/>
                <w:kern w:val="2"/>
                <w:sz w:val="21"/>
                <w:szCs w:val="21"/>
                <w:highlight w:val="none"/>
              </w:rPr>
              <w:t>发展政策</w:t>
            </w:r>
          </w:p>
        </w:tc>
        <w:tc>
          <w:tcPr>
            <w:tcW w:w="3561" w:type="dxa"/>
            <w:noWrap w:val="0"/>
            <w:vAlign w:val="center"/>
          </w:tcPr>
          <w:p>
            <w:pPr>
              <w:pStyle w:val="21"/>
              <w:widowControl w:val="0"/>
              <w:spacing w:line="360" w:lineRule="auto"/>
              <w:jc w:val="center"/>
              <w:rPr>
                <w:rFonts w:hint="eastAsia" w:ascii="宋体" w:hAnsi="宋体" w:eastAsia="宋体"/>
                <w:color w:val="auto"/>
                <w:kern w:val="2"/>
                <w:sz w:val="21"/>
                <w:szCs w:val="21"/>
                <w:highlight w:val="none"/>
                <w:lang w:eastAsia="zh-CN"/>
              </w:rPr>
            </w:pPr>
            <w:r>
              <w:rPr>
                <w:rFonts w:hint="eastAsia" w:ascii="宋体" w:hAnsi="宋体"/>
                <w:color w:val="auto"/>
                <w:kern w:val="2"/>
                <w:sz w:val="21"/>
                <w:szCs w:val="21"/>
                <w:highlight w:val="none"/>
                <w:lang w:val="en-US" w:eastAsia="zh-CN"/>
              </w:rPr>
              <w:t>/</w:t>
            </w:r>
          </w:p>
        </w:tc>
        <w:tc>
          <w:tcPr>
            <w:tcW w:w="3355" w:type="dxa"/>
            <w:noWrap w:val="0"/>
            <w:vAlign w:val="center"/>
          </w:tcPr>
          <w:p>
            <w:pPr>
              <w:pStyle w:val="21"/>
              <w:widowControl w:val="0"/>
              <w:spacing w:line="360" w:lineRule="auto"/>
              <w:jc w:val="center"/>
              <w:rPr>
                <w:rFonts w:hint="eastAsia" w:ascii="宋体" w:hAnsi="宋体" w:eastAsia="宋体"/>
                <w:color w:val="auto"/>
                <w:kern w:val="2"/>
                <w:sz w:val="21"/>
                <w:szCs w:val="21"/>
                <w:highlight w:val="none"/>
                <w:lang w:eastAsia="zh-CN"/>
              </w:rPr>
            </w:pPr>
            <w:r>
              <w:rPr>
                <w:rFonts w:hint="eastAsia" w:ascii="宋体" w:hAnsi="宋体"/>
                <w:color w:val="auto"/>
                <w:kern w:val="2"/>
                <w:sz w:val="21"/>
                <w:szCs w:val="21"/>
                <w:highlight w:val="none"/>
                <w:lang w:val="en-US" w:eastAsia="zh-CN"/>
              </w:rPr>
              <w:t>/</w:t>
            </w:r>
          </w:p>
        </w:tc>
      </w:tr>
    </w:tbl>
    <w:p>
      <w:pPr>
        <w:pStyle w:val="21"/>
        <w:keepNext w:val="0"/>
        <w:keepLines w:val="0"/>
        <w:pageBreakBefore w:val="0"/>
        <w:widowControl w:val="0"/>
        <w:kinsoku/>
        <w:wordWrap/>
        <w:overflowPunct/>
        <w:bidi w:val="0"/>
        <w:spacing w:line="36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2.4推荐中标候选人</w:t>
      </w:r>
    </w:p>
    <w:p>
      <w:pPr>
        <w:keepNext w:val="0"/>
        <w:keepLines w:val="0"/>
        <w:pageBreakBefore w:val="0"/>
        <w:widowControl/>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2.4.1按评审后得分由高到低顺序排列。得分相同的，按投标报价由低到高顺序排列。得分且投标报价相同的并列。</w:t>
      </w:r>
    </w:p>
    <w:p>
      <w:pPr>
        <w:keepNext w:val="0"/>
        <w:keepLines w:val="0"/>
        <w:pageBreakBefore w:val="0"/>
        <w:widowControl/>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2.4.2本采购包推荐中标候选人的数量：</w:t>
      </w:r>
      <w:r>
        <w:rPr>
          <w:rFonts w:hint="default" w:ascii="Times New Roman" w:hAnsi="Times New Roman"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3</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家。</w:t>
      </w:r>
    </w:p>
    <w:p>
      <w:pPr>
        <w:keepNext w:val="0"/>
        <w:keepLines w:val="0"/>
        <w:pageBreakBefore w:val="0"/>
        <w:widowControl/>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2.4.3中标人数量：</w:t>
      </w:r>
      <w:r>
        <w:rPr>
          <w:rFonts w:hint="default" w:ascii="Times New Roman" w:hAnsi="Times New Roman" w:cs="Times New Roman"/>
          <w:color w:val="auto"/>
          <w:sz w:val="21"/>
          <w:szCs w:val="21"/>
          <w:highlight w:val="none"/>
          <w:u w:val="single"/>
        </w:rPr>
        <w:t xml:space="preserve"> </w:t>
      </w:r>
      <w:r>
        <w:rPr>
          <w:rFonts w:hint="eastAsia" w:ascii="Times New Roman" w:hAnsi="Times New Roman" w:cs="Times New Roman"/>
          <w:color w:val="auto"/>
          <w:sz w:val="21"/>
          <w:szCs w:val="21"/>
          <w:highlight w:val="none"/>
          <w:u w:val="single"/>
          <w:lang w:val="en-US" w:eastAsia="zh-CN"/>
        </w:rPr>
        <w:t>1</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家。</w:t>
      </w:r>
    </w:p>
    <w:p>
      <w:pPr>
        <w:widowControl/>
        <w:topLinePunct/>
        <w:autoSpaceDE w:val="0"/>
        <w:autoSpaceDN w:val="0"/>
        <w:adjustRightInd w:val="0"/>
        <w:snapToGrid w:val="0"/>
        <w:spacing w:after="0" w:line="360" w:lineRule="auto"/>
        <w:ind w:firstLine="420" w:firstLineChars="200"/>
        <w:rPr>
          <w:rFonts w:ascii="宋体" w:hAnsi="宋体"/>
          <w:color w:val="auto"/>
          <w:sz w:val="21"/>
          <w:szCs w:val="21"/>
          <w:highlight w:val="none"/>
        </w:rPr>
      </w:pPr>
      <w:r>
        <w:rPr>
          <w:rFonts w:ascii="宋体" w:hAnsi="宋体"/>
          <w:color w:val="auto"/>
          <w:sz w:val="21"/>
          <w:szCs w:val="21"/>
          <w:highlight w:val="none"/>
        </w:rPr>
        <w:t>中标候选人并列的，</w:t>
      </w:r>
      <w:r>
        <w:rPr>
          <w:rFonts w:hint="eastAsia" w:ascii="宋体" w:hAnsi="宋体"/>
          <w:color w:val="auto"/>
          <w:sz w:val="21"/>
          <w:szCs w:val="21"/>
          <w:highlight w:val="none"/>
        </w:rPr>
        <w:t>按照</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w:t>
      </w:r>
      <w:r>
        <w:rPr>
          <w:rFonts w:hint="eastAsia" w:ascii="宋体" w:hAnsi="宋体"/>
          <w:color w:val="auto"/>
          <w:sz w:val="21"/>
          <w:szCs w:val="21"/>
          <w:highlight w:val="none"/>
          <w:u w:val="single"/>
        </w:rPr>
        <w:t xml:space="preserve">      </w:t>
      </w:r>
      <w:r>
        <w:rPr>
          <w:rFonts w:ascii="宋体" w:hAnsi="宋体"/>
          <w:color w:val="auto"/>
          <w:sz w:val="21"/>
          <w:szCs w:val="21"/>
          <w:highlight w:val="none"/>
        </w:rPr>
        <w:t>的方式确定中标人。招标文件未规定的，采取</w:t>
      </w:r>
      <w:r>
        <w:rPr>
          <w:rFonts w:ascii="宋体" w:hAnsi="宋体" w:cs="宋体"/>
          <w:color w:val="auto"/>
          <w:sz w:val="21"/>
          <w:szCs w:val="21"/>
          <w:highlight w:val="none"/>
        </w:rPr>
        <w:t>随机</w:t>
      </w:r>
      <w:r>
        <w:rPr>
          <w:rFonts w:ascii="宋体" w:hAnsi="宋体"/>
          <w:color w:val="auto"/>
          <w:sz w:val="21"/>
          <w:szCs w:val="21"/>
          <w:highlight w:val="none"/>
        </w:rPr>
        <w:t>抽取的方式确定。</w:t>
      </w:r>
    </w:p>
    <w:p>
      <w:pPr>
        <w:rPr>
          <w:color w:val="auto"/>
          <w:sz w:val="21"/>
          <w:szCs w:val="21"/>
          <w:highlight w:val="none"/>
        </w:rPr>
        <w:sectPr>
          <w:pgSz w:w="11906" w:h="16838"/>
          <w:pgMar w:top="1440" w:right="1752" w:bottom="1440" w:left="1752"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bidi w:val="0"/>
        <w:rPr>
          <w:rFonts w:hint="eastAsia" w:ascii="华文中宋" w:hAnsi="华文中宋" w:eastAsia="华文中宋" w:cs="华文中宋"/>
          <w:color w:val="auto"/>
          <w:sz w:val="28"/>
          <w:szCs w:val="28"/>
          <w:highlight w:val="none"/>
        </w:rPr>
      </w:pPr>
      <w:bookmarkStart w:id="51" w:name="_Toc1484421284"/>
      <w:bookmarkStart w:id="52" w:name="_Toc353483817"/>
      <w:bookmarkStart w:id="53" w:name="_Toc1505390621"/>
      <w:bookmarkStart w:id="54" w:name="_Toc132880283"/>
      <w:bookmarkStart w:id="55" w:name="_Toc525052847"/>
      <w:bookmarkStart w:id="56" w:name="_Toc614538032"/>
      <w:bookmarkStart w:id="57" w:name="_Toc1914430521"/>
      <w:bookmarkStart w:id="58" w:name="_Toc1406510925"/>
      <w:bookmarkStart w:id="59" w:name="_Toc38030150"/>
      <w:r>
        <w:rPr>
          <w:rFonts w:hint="eastAsia" w:ascii="华文中宋" w:hAnsi="华文中宋" w:eastAsia="华文中宋" w:cs="华文中宋"/>
          <w:color w:val="auto"/>
          <w:sz w:val="28"/>
          <w:szCs w:val="28"/>
          <w:highlight w:val="none"/>
        </w:rPr>
        <w:t>第四章  政府采购合同文本</w:t>
      </w:r>
      <w:bookmarkEnd w:id="51"/>
      <w:bookmarkEnd w:id="52"/>
      <w:bookmarkEnd w:id="53"/>
      <w:bookmarkEnd w:id="54"/>
      <w:bookmarkEnd w:id="55"/>
      <w:bookmarkEnd w:id="56"/>
      <w:bookmarkEnd w:id="57"/>
      <w:bookmarkEnd w:id="58"/>
      <w:bookmarkEnd w:id="59"/>
    </w:p>
    <w:p>
      <w:pPr>
        <w:pStyle w:val="2"/>
        <w:keepNext/>
        <w:keepLines/>
        <w:spacing w:line="360" w:lineRule="auto"/>
        <w:ind w:left="0" w:firstLine="0"/>
        <w:jc w:val="center"/>
        <w:rPr>
          <w:rFonts w:ascii="Calibri" w:hAnsi="Calibri"/>
          <w:bCs/>
          <w:color w:val="auto"/>
          <w:kern w:val="44"/>
          <w:highlight w:val="none"/>
        </w:rPr>
      </w:pPr>
      <w:r>
        <w:rPr>
          <w:rFonts w:ascii="Calibri" w:hAnsi="Calibri"/>
          <w:bCs/>
          <w:color w:val="auto"/>
          <w:kern w:val="44"/>
          <w:highlight w:val="none"/>
        </w:rPr>
        <w:t>合同书格式</w:t>
      </w:r>
    </w:p>
    <w:p>
      <w:pPr>
        <w:adjustRightInd w:val="0"/>
        <w:snapToGrid w:val="0"/>
        <w:spacing w:line="360" w:lineRule="auto"/>
        <w:ind w:left="180"/>
        <w:jc w:val="center"/>
        <w:rPr>
          <w:rFonts w:hint="eastAsia" w:ascii="新宋体" w:hAnsi="新宋体" w:eastAsia="新宋体"/>
          <w:b/>
          <w:bCs/>
          <w:color w:val="auto"/>
          <w:kern w:val="2"/>
          <w:sz w:val="32"/>
          <w:szCs w:val="24"/>
          <w:highlight w:val="none"/>
        </w:rPr>
      </w:pPr>
    </w:p>
    <w:p>
      <w:pPr>
        <w:spacing w:line="360" w:lineRule="auto"/>
        <w:jc w:val="center"/>
        <w:rPr>
          <w:rFonts w:hint="eastAsia" w:ascii="新宋体" w:hAnsi="新宋体" w:eastAsia="新宋体"/>
          <w:b/>
          <w:color w:val="auto"/>
          <w:kern w:val="2"/>
          <w:sz w:val="28"/>
          <w:szCs w:val="28"/>
          <w:highlight w:val="none"/>
        </w:rPr>
      </w:pPr>
      <w:r>
        <w:rPr>
          <w:rFonts w:hint="eastAsia" w:ascii="新宋体" w:hAnsi="新宋体" w:eastAsia="新宋体"/>
          <w:b/>
          <w:color w:val="auto"/>
          <w:kern w:val="2"/>
          <w:sz w:val="28"/>
          <w:szCs w:val="28"/>
          <w:highlight w:val="none"/>
        </w:rPr>
        <w:t xml:space="preserve"> </w:t>
      </w:r>
      <w:r>
        <w:rPr>
          <w:rFonts w:hint="eastAsia" w:ascii="新宋体" w:hAnsi="新宋体" w:eastAsia="新宋体"/>
          <w:b/>
          <w:bCs/>
          <w:color w:val="auto"/>
          <w:kern w:val="2"/>
          <w:sz w:val="28"/>
          <w:szCs w:val="28"/>
          <w:highlight w:val="none"/>
        </w:rPr>
        <w:t xml:space="preserve">                      </w:t>
      </w:r>
    </w:p>
    <w:p>
      <w:pPr>
        <w:spacing w:line="360" w:lineRule="auto"/>
        <w:ind w:firstLine="3969" w:firstLineChars="1412"/>
        <w:jc w:val="left"/>
        <w:rPr>
          <w:rFonts w:ascii="宋体" w:hAnsi="宋体"/>
          <w:b/>
          <w:color w:val="auto"/>
          <w:kern w:val="2"/>
          <w:sz w:val="28"/>
          <w:szCs w:val="28"/>
          <w:highlight w:val="none"/>
        </w:rPr>
      </w:pPr>
      <w:r>
        <w:rPr>
          <w:rFonts w:hint="eastAsia" w:ascii="宋体" w:hAnsi="宋体"/>
          <w:b/>
          <w:color w:val="auto"/>
          <w:kern w:val="2"/>
          <w:sz w:val="28"/>
          <w:szCs w:val="28"/>
          <w:highlight w:val="none"/>
          <w:u w:val="single"/>
        </w:rPr>
        <w:t xml:space="preserve">        </w:t>
      </w:r>
      <w:r>
        <w:rPr>
          <w:rFonts w:hint="eastAsia" w:ascii="宋体" w:hAnsi="宋体"/>
          <w:b/>
          <w:color w:val="auto"/>
          <w:kern w:val="2"/>
          <w:sz w:val="28"/>
          <w:szCs w:val="28"/>
          <w:highlight w:val="none"/>
        </w:rPr>
        <w:t>政府采购</w:t>
      </w:r>
    </w:p>
    <w:p>
      <w:pPr>
        <w:spacing w:line="360" w:lineRule="auto"/>
        <w:ind w:firstLine="562" w:firstLineChars="200"/>
        <w:jc w:val="left"/>
        <w:rPr>
          <w:rFonts w:ascii="宋体" w:hAnsi="宋体"/>
          <w:b/>
          <w:color w:val="auto"/>
          <w:kern w:val="2"/>
          <w:sz w:val="28"/>
          <w:szCs w:val="28"/>
          <w:highlight w:val="none"/>
        </w:rPr>
      </w:pPr>
    </w:p>
    <w:p>
      <w:pPr>
        <w:spacing w:line="360" w:lineRule="auto"/>
        <w:ind w:firstLine="4245" w:firstLineChars="1510"/>
        <w:jc w:val="left"/>
        <w:rPr>
          <w:rFonts w:ascii="宋体" w:hAnsi="宋体"/>
          <w:b/>
          <w:color w:val="auto"/>
          <w:kern w:val="2"/>
          <w:sz w:val="28"/>
          <w:szCs w:val="28"/>
          <w:highlight w:val="none"/>
        </w:rPr>
      </w:pPr>
      <w:r>
        <w:rPr>
          <w:rFonts w:hint="eastAsia" w:ascii="宋体" w:hAnsi="宋体"/>
          <w:b/>
          <w:color w:val="auto"/>
          <w:kern w:val="2"/>
          <w:sz w:val="28"/>
          <w:szCs w:val="28"/>
          <w:highlight w:val="none"/>
        </w:rPr>
        <w:t>合 同 书</w:t>
      </w:r>
    </w:p>
    <w:p>
      <w:pPr>
        <w:spacing w:line="360" w:lineRule="auto"/>
        <w:ind w:firstLine="4110" w:firstLineChars="1462"/>
        <w:jc w:val="left"/>
        <w:rPr>
          <w:rFonts w:ascii="宋体" w:hAnsi="宋体"/>
          <w:b/>
          <w:color w:val="auto"/>
          <w:kern w:val="2"/>
          <w:sz w:val="28"/>
          <w:szCs w:val="28"/>
          <w:highlight w:val="none"/>
        </w:rPr>
      </w:pPr>
      <w:r>
        <w:rPr>
          <w:rFonts w:hint="eastAsia" w:ascii="宋体" w:hAnsi="宋体"/>
          <w:b/>
          <w:color w:val="auto"/>
          <w:kern w:val="2"/>
          <w:sz w:val="28"/>
          <w:szCs w:val="28"/>
          <w:highlight w:val="none"/>
        </w:rPr>
        <w:t>（服务类）</w:t>
      </w:r>
    </w:p>
    <w:p>
      <w:pPr>
        <w:spacing w:line="360" w:lineRule="auto"/>
        <w:jc w:val="left"/>
        <w:rPr>
          <w:rFonts w:hint="eastAsia" w:ascii="宋体" w:hAnsi="宋体"/>
          <w:b/>
          <w:color w:val="auto"/>
          <w:kern w:val="2"/>
          <w:szCs w:val="21"/>
          <w:highlight w:val="none"/>
        </w:rPr>
      </w:pPr>
    </w:p>
    <w:p>
      <w:pPr>
        <w:spacing w:line="360" w:lineRule="auto"/>
        <w:jc w:val="left"/>
        <w:rPr>
          <w:rFonts w:hint="eastAsia" w:ascii="宋体" w:hAnsi="宋体"/>
          <w:b/>
          <w:color w:val="auto"/>
          <w:kern w:val="2"/>
          <w:szCs w:val="21"/>
          <w:highlight w:val="none"/>
        </w:rPr>
      </w:pPr>
    </w:p>
    <w:p>
      <w:pPr>
        <w:spacing w:line="360" w:lineRule="auto"/>
        <w:jc w:val="left"/>
        <w:rPr>
          <w:rFonts w:hint="eastAsia" w:ascii="宋体" w:hAnsi="宋体"/>
          <w:b/>
          <w:color w:val="auto"/>
          <w:kern w:val="2"/>
          <w:szCs w:val="21"/>
          <w:highlight w:val="none"/>
        </w:rPr>
      </w:pPr>
    </w:p>
    <w:p>
      <w:pPr>
        <w:spacing w:line="360" w:lineRule="auto"/>
        <w:jc w:val="left"/>
        <w:rPr>
          <w:rFonts w:hint="eastAsia" w:ascii="宋体" w:hAnsi="宋体"/>
          <w:b/>
          <w:color w:val="auto"/>
          <w:kern w:val="2"/>
          <w:szCs w:val="21"/>
          <w:highlight w:val="none"/>
        </w:rPr>
      </w:pPr>
    </w:p>
    <w:p>
      <w:pPr>
        <w:spacing w:line="360" w:lineRule="auto"/>
        <w:jc w:val="left"/>
        <w:rPr>
          <w:rFonts w:hint="eastAsia" w:ascii="宋体" w:hAnsi="宋体"/>
          <w:b/>
          <w:color w:val="auto"/>
          <w:kern w:val="2"/>
          <w:szCs w:val="21"/>
          <w:highlight w:val="none"/>
        </w:rPr>
      </w:pPr>
    </w:p>
    <w:tbl>
      <w:tblPr>
        <w:tblStyle w:val="13"/>
        <w:tblW w:w="0" w:type="auto"/>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noWrap w:val="0"/>
            <w:vAlign w:val="top"/>
          </w:tcPr>
          <w:p>
            <w:pPr>
              <w:spacing w:line="360" w:lineRule="auto"/>
              <w:ind w:firstLine="422" w:firstLineChars="200"/>
              <w:jc w:val="left"/>
              <w:rPr>
                <w:rFonts w:ascii="宋体" w:hAnsi="宋体"/>
                <w:b/>
                <w:color w:val="auto"/>
                <w:kern w:val="2"/>
                <w:szCs w:val="21"/>
                <w:highlight w:val="none"/>
                <w:u w:val="single"/>
              </w:rPr>
            </w:pPr>
            <w:r>
              <w:rPr>
                <w:rFonts w:hint="eastAsia" w:ascii="宋体" w:hAnsi="宋体"/>
                <w:b/>
                <w:color w:val="auto"/>
                <w:kern w:val="2"/>
                <w:szCs w:val="21"/>
                <w:highlight w:val="none"/>
              </w:rPr>
              <w:t>项目编号：</w:t>
            </w:r>
            <w:r>
              <w:rPr>
                <w:rFonts w:hint="eastAsia" w:ascii="宋体" w:hAnsi="宋体"/>
                <w:b/>
                <w:color w:val="auto"/>
                <w:kern w:val="2"/>
                <w:szCs w:val="21"/>
                <w:highlight w:val="none"/>
                <w:u w:val="single"/>
              </w:rPr>
              <w:t xml:space="preserve">                          </w:t>
            </w:r>
            <w:r>
              <w:rPr>
                <w:rFonts w:hint="eastAsia" w:ascii="宋体" w:hAnsi="宋体"/>
                <w:b/>
                <w:color w:val="auto"/>
                <w:kern w:val="2"/>
                <w:szCs w:val="21"/>
                <w:highlight w:val="none"/>
              </w:rPr>
              <w:t xml:space="preserve">           </w:t>
            </w:r>
          </w:p>
        </w:tc>
      </w:tr>
      <w:tr>
        <w:tblPrEx>
          <w:tblCellMar>
            <w:top w:w="0" w:type="dxa"/>
            <w:left w:w="108" w:type="dxa"/>
            <w:bottom w:w="0" w:type="dxa"/>
            <w:right w:w="108" w:type="dxa"/>
          </w:tblCellMar>
        </w:tblPrEx>
        <w:trPr>
          <w:trHeight w:val="446" w:hRule="atLeast"/>
          <w:jc w:val="center"/>
        </w:trPr>
        <w:tc>
          <w:tcPr>
            <w:tcW w:w="5400" w:type="dxa"/>
            <w:noWrap w:val="0"/>
            <w:vAlign w:val="top"/>
          </w:tcPr>
          <w:p>
            <w:pPr>
              <w:spacing w:line="360" w:lineRule="auto"/>
              <w:ind w:firstLine="422" w:firstLineChars="200"/>
              <w:jc w:val="left"/>
              <w:rPr>
                <w:rFonts w:ascii="宋体" w:hAnsi="宋体"/>
                <w:b/>
                <w:color w:val="auto"/>
                <w:kern w:val="2"/>
                <w:szCs w:val="21"/>
                <w:highlight w:val="none"/>
                <w:u w:val="single"/>
              </w:rPr>
            </w:pPr>
          </w:p>
        </w:tc>
      </w:tr>
      <w:tr>
        <w:tblPrEx>
          <w:tblCellMar>
            <w:top w:w="0" w:type="dxa"/>
            <w:left w:w="108" w:type="dxa"/>
            <w:bottom w:w="0" w:type="dxa"/>
            <w:right w:w="108" w:type="dxa"/>
          </w:tblCellMar>
        </w:tblPrEx>
        <w:trPr>
          <w:trHeight w:val="446" w:hRule="atLeast"/>
          <w:jc w:val="center"/>
        </w:trPr>
        <w:tc>
          <w:tcPr>
            <w:tcW w:w="5400" w:type="dxa"/>
            <w:noWrap w:val="0"/>
            <w:vAlign w:val="top"/>
          </w:tcPr>
          <w:p>
            <w:pPr>
              <w:spacing w:line="360" w:lineRule="auto"/>
              <w:ind w:firstLine="422" w:firstLineChars="200"/>
              <w:jc w:val="left"/>
              <w:rPr>
                <w:rFonts w:ascii="宋体" w:hAnsi="宋体"/>
                <w:b/>
                <w:color w:val="auto"/>
                <w:kern w:val="2"/>
                <w:szCs w:val="21"/>
                <w:highlight w:val="none"/>
              </w:rPr>
            </w:pPr>
            <w:r>
              <w:rPr>
                <w:rFonts w:hint="eastAsia" w:ascii="宋体" w:hAnsi="宋体"/>
                <w:b/>
                <w:color w:val="auto"/>
                <w:kern w:val="2"/>
                <w:szCs w:val="21"/>
                <w:highlight w:val="none"/>
              </w:rPr>
              <w:t>项目名称：</w:t>
            </w:r>
            <w:r>
              <w:rPr>
                <w:rFonts w:hint="eastAsia" w:ascii="宋体" w:hAnsi="宋体"/>
                <w:b/>
                <w:color w:val="auto"/>
                <w:kern w:val="2"/>
                <w:szCs w:val="21"/>
                <w:highlight w:val="none"/>
                <w:u w:val="single"/>
              </w:rPr>
              <w:t xml:space="preserve">                           </w:t>
            </w:r>
          </w:p>
        </w:tc>
      </w:tr>
      <w:tr>
        <w:tblPrEx>
          <w:tblCellMar>
            <w:top w:w="0" w:type="dxa"/>
            <w:left w:w="108" w:type="dxa"/>
            <w:bottom w:w="0" w:type="dxa"/>
            <w:right w:w="108" w:type="dxa"/>
          </w:tblCellMar>
        </w:tblPrEx>
        <w:trPr>
          <w:trHeight w:val="460" w:hRule="atLeast"/>
          <w:jc w:val="center"/>
        </w:trPr>
        <w:tc>
          <w:tcPr>
            <w:tcW w:w="5400" w:type="dxa"/>
            <w:noWrap w:val="0"/>
            <w:vAlign w:val="top"/>
          </w:tcPr>
          <w:p>
            <w:pPr>
              <w:spacing w:line="360" w:lineRule="auto"/>
              <w:ind w:firstLine="422" w:firstLineChars="200"/>
              <w:jc w:val="left"/>
              <w:rPr>
                <w:rFonts w:ascii="宋体" w:hAnsi="宋体"/>
                <w:b/>
                <w:color w:val="auto"/>
                <w:kern w:val="2"/>
                <w:szCs w:val="21"/>
                <w:highlight w:val="none"/>
              </w:rPr>
            </w:pPr>
          </w:p>
        </w:tc>
      </w:tr>
    </w:tbl>
    <w:p>
      <w:pPr>
        <w:spacing w:line="360" w:lineRule="auto"/>
        <w:ind w:firstLine="422" w:firstLineChars="200"/>
        <w:jc w:val="left"/>
        <w:rPr>
          <w:rFonts w:ascii="宋体" w:hAnsi="宋体"/>
          <w:b/>
          <w:color w:val="auto"/>
          <w:kern w:val="2"/>
          <w:szCs w:val="21"/>
          <w:highlight w:val="none"/>
        </w:rPr>
      </w:pPr>
    </w:p>
    <w:p>
      <w:pPr>
        <w:spacing w:line="360" w:lineRule="auto"/>
        <w:jc w:val="left"/>
        <w:rPr>
          <w:rFonts w:ascii="宋体" w:hAnsi="宋体"/>
          <w:b/>
          <w:color w:val="auto"/>
          <w:kern w:val="2"/>
          <w:sz w:val="24"/>
          <w:szCs w:val="24"/>
          <w:highlight w:val="none"/>
        </w:rPr>
      </w:pPr>
      <w:r>
        <w:rPr>
          <w:rFonts w:hint="eastAsia" w:ascii="宋体" w:hAnsi="宋体"/>
          <w:b/>
          <w:color w:val="auto"/>
          <w:kern w:val="2"/>
          <w:sz w:val="24"/>
          <w:szCs w:val="24"/>
          <w:highlight w:val="none"/>
        </w:rPr>
        <w:t>注：本合同仅为合同的参考文本，合同签订双方可根据项目的具体要求进行修订（实质性条款除外）。</w:t>
      </w:r>
    </w:p>
    <w:p>
      <w:pPr>
        <w:spacing w:line="360" w:lineRule="auto"/>
        <w:ind w:firstLine="482" w:firstLineChars="200"/>
        <w:jc w:val="left"/>
        <w:rPr>
          <w:rFonts w:ascii="宋体" w:hAnsi="宋体"/>
          <w:b/>
          <w:color w:val="auto"/>
          <w:kern w:val="2"/>
          <w:sz w:val="24"/>
          <w:szCs w:val="24"/>
          <w:highlight w:val="none"/>
        </w:rPr>
      </w:pPr>
    </w:p>
    <w:p>
      <w:pPr>
        <w:spacing w:line="360" w:lineRule="auto"/>
        <w:rPr>
          <w:rFonts w:hint="eastAsia" w:ascii="宋体" w:hAnsi="宋体"/>
          <w:b/>
          <w:color w:val="auto"/>
          <w:kern w:val="2"/>
          <w:sz w:val="24"/>
          <w:szCs w:val="24"/>
          <w:highlight w:val="none"/>
        </w:rPr>
      </w:pPr>
      <w:r>
        <w:rPr>
          <w:rFonts w:hint="eastAsia" w:ascii="宋体" w:hAnsi="宋体"/>
          <w:b/>
          <w:color w:val="auto"/>
          <w:kern w:val="2"/>
          <w:szCs w:val="21"/>
          <w:highlight w:val="none"/>
        </w:rPr>
        <w:br w:type="page"/>
      </w:r>
      <w:r>
        <w:rPr>
          <w:rFonts w:hint="eastAsia" w:ascii="宋体" w:hAnsi="宋体"/>
          <w:b/>
          <w:color w:val="auto"/>
          <w:kern w:val="2"/>
          <w:szCs w:val="21"/>
          <w:highlight w:val="none"/>
        </w:rPr>
        <w:t xml:space="preserve"> </w:t>
      </w:r>
      <w:r>
        <w:rPr>
          <w:rFonts w:hint="eastAsia" w:ascii="宋体" w:hAnsi="宋体"/>
          <w:b/>
          <w:color w:val="auto"/>
          <w:kern w:val="2"/>
          <w:sz w:val="24"/>
          <w:szCs w:val="24"/>
          <w:highlight w:val="none"/>
        </w:rPr>
        <w:t xml:space="preserve">   </w:t>
      </w:r>
      <w:r>
        <w:rPr>
          <w:rFonts w:ascii="宋体" w:hAnsi="宋体"/>
          <w:b/>
          <w:color w:val="auto"/>
          <w:kern w:val="2"/>
          <w:sz w:val="24"/>
          <w:szCs w:val="24"/>
          <w:highlight w:val="none"/>
        </w:rPr>
        <w:t>甲</w:t>
      </w:r>
      <w:r>
        <w:rPr>
          <w:rFonts w:hint="eastAsia" w:ascii="宋体" w:hAnsi="宋体"/>
          <w:b/>
          <w:color w:val="auto"/>
          <w:kern w:val="2"/>
          <w:sz w:val="24"/>
          <w:szCs w:val="24"/>
          <w:highlight w:val="none"/>
        </w:rPr>
        <w:t xml:space="preserve">    </w:t>
      </w:r>
      <w:r>
        <w:rPr>
          <w:rFonts w:ascii="宋体" w:hAnsi="宋体"/>
          <w:b/>
          <w:color w:val="auto"/>
          <w:kern w:val="2"/>
          <w:sz w:val="24"/>
          <w:szCs w:val="24"/>
          <w:highlight w:val="none"/>
        </w:rPr>
        <w:t>方：</w:t>
      </w:r>
      <w:r>
        <w:rPr>
          <w:rFonts w:hint="eastAsia" w:ascii="宋体" w:hAnsi="宋体"/>
          <w:b/>
          <w:color w:val="auto"/>
          <w:kern w:val="2"/>
          <w:sz w:val="24"/>
          <w:szCs w:val="24"/>
          <w:highlight w:val="none"/>
          <w:u w:val="single"/>
        </w:rPr>
        <w:t xml:space="preserve">                 </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电    话：</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　   传  真：           地  址：</w:t>
      </w:r>
    </w:p>
    <w:p>
      <w:pPr>
        <w:spacing w:line="360" w:lineRule="auto"/>
        <w:ind w:left="420" w:leftChars="200"/>
        <w:jc w:val="left"/>
        <w:rPr>
          <w:rFonts w:hint="eastAsia" w:ascii="宋体" w:hAnsi="宋体"/>
          <w:color w:val="auto"/>
          <w:kern w:val="2"/>
          <w:sz w:val="24"/>
          <w:szCs w:val="24"/>
          <w:highlight w:val="none"/>
        </w:rPr>
      </w:pPr>
      <w:r>
        <w:rPr>
          <w:rFonts w:ascii="宋体" w:hAnsi="宋体"/>
          <w:b/>
          <w:color w:val="auto"/>
          <w:kern w:val="2"/>
          <w:sz w:val="24"/>
          <w:szCs w:val="24"/>
          <w:highlight w:val="none"/>
        </w:rPr>
        <w:t>乙</w:t>
      </w:r>
      <w:r>
        <w:rPr>
          <w:rFonts w:hint="eastAsia" w:ascii="宋体" w:hAnsi="宋体"/>
          <w:b/>
          <w:color w:val="auto"/>
          <w:kern w:val="2"/>
          <w:sz w:val="24"/>
          <w:szCs w:val="24"/>
          <w:highlight w:val="none"/>
        </w:rPr>
        <w:t xml:space="preserve">    </w:t>
      </w:r>
      <w:r>
        <w:rPr>
          <w:rFonts w:ascii="宋体" w:hAnsi="宋体"/>
          <w:b/>
          <w:color w:val="auto"/>
          <w:kern w:val="2"/>
          <w:sz w:val="24"/>
          <w:szCs w:val="24"/>
          <w:highlight w:val="none"/>
        </w:rPr>
        <w:t>方：</w:t>
      </w:r>
      <w:r>
        <w:rPr>
          <w:rFonts w:hint="eastAsia" w:ascii="宋体" w:hAnsi="宋体"/>
          <w:b/>
          <w:color w:val="auto"/>
          <w:kern w:val="2"/>
          <w:sz w:val="24"/>
          <w:szCs w:val="24"/>
          <w:highlight w:val="none"/>
          <w:u w:val="single"/>
        </w:rPr>
        <w:t xml:space="preserve">                  </w:t>
      </w:r>
      <w:r>
        <w:rPr>
          <w:rFonts w:ascii="宋体" w:hAnsi="宋体"/>
          <w:b/>
          <w:color w:val="auto"/>
          <w:kern w:val="2"/>
          <w:sz w:val="24"/>
          <w:szCs w:val="24"/>
          <w:highlight w:val="none"/>
        </w:rPr>
        <w:br w:type="textWrapping"/>
      </w:r>
      <w:r>
        <w:rPr>
          <w:rFonts w:hint="eastAsia" w:ascii="宋体" w:hAnsi="宋体"/>
          <w:color w:val="auto"/>
          <w:kern w:val="2"/>
          <w:sz w:val="24"/>
          <w:szCs w:val="24"/>
          <w:highlight w:val="none"/>
        </w:rPr>
        <w:t>电    话：</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传  真：           地  址：</w:t>
      </w:r>
      <w:r>
        <w:rPr>
          <w:rFonts w:ascii="宋体" w:hAnsi="宋体"/>
          <w:color w:val="auto"/>
          <w:kern w:val="2"/>
          <w:sz w:val="24"/>
          <w:szCs w:val="24"/>
          <w:highlight w:val="none"/>
        </w:rPr>
        <w:t xml:space="preserve">   </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 xml:space="preserve">项目名称：                                   项目编号：  </w:t>
      </w:r>
    </w:p>
    <w:p>
      <w:pPr>
        <w:spacing w:line="360" w:lineRule="auto"/>
        <w:ind w:firstLine="480" w:firstLineChars="200"/>
        <w:jc w:val="left"/>
        <w:rPr>
          <w:rFonts w:ascii="宋体" w:hAnsi="宋体"/>
          <w:color w:val="auto"/>
          <w:kern w:val="2"/>
          <w:sz w:val="24"/>
          <w:szCs w:val="24"/>
          <w:highlight w:val="none"/>
        </w:rPr>
      </w:pPr>
      <w:r>
        <w:rPr>
          <w:rFonts w:hint="eastAsia" w:ascii="宋体" w:hAnsi="宋体"/>
          <w:color w:val="auto"/>
          <w:kern w:val="2"/>
          <w:sz w:val="24"/>
          <w:szCs w:val="24"/>
          <w:highlight w:val="none"/>
        </w:rPr>
        <w:t xml:space="preserve">根据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的采购结果，按照《中华人民共和国政府采购法》、《中华人民共和国民法典（合同编）》的规定，</w:t>
      </w:r>
      <w:r>
        <w:rPr>
          <w:rFonts w:hint="eastAsia" w:ascii="宋体" w:hAnsi="宋体"/>
          <w:color w:val="auto"/>
          <w:kern w:val="28"/>
          <w:sz w:val="24"/>
          <w:szCs w:val="24"/>
          <w:highlight w:val="none"/>
        </w:rPr>
        <w:t>经双方协商，</w:t>
      </w:r>
      <w:r>
        <w:rPr>
          <w:rFonts w:hint="eastAsia" w:ascii="宋体" w:hAnsi="宋体"/>
          <w:color w:val="auto"/>
          <w:kern w:val="2"/>
          <w:sz w:val="24"/>
          <w:szCs w:val="24"/>
          <w:highlight w:val="none"/>
        </w:rPr>
        <w:t>本着平等互利和诚实信用的原则，</w:t>
      </w:r>
      <w:r>
        <w:rPr>
          <w:rFonts w:hint="eastAsia" w:ascii="宋体" w:hAnsi="宋体"/>
          <w:color w:val="auto"/>
          <w:kern w:val="28"/>
          <w:sz w:val="24"/>
          <w:szCs w:val="24"/>
          <w:highlight w:val="none"/>
        </w:rPr>
        <w:t>一致同意签订本合同如下</w:t>
      </w:r>
      <w:r>
        <w:rPr>
          <w:rFonts w:hint="eastAsia" w:ascii="宋体" w:hAnsi="宋体"/>
          <w:color w:val="auto"/>
          <w:kern w:val="2"/>
          <w:sz w:val="24"/>
          <w:szCs w:val="24"/>
          <w:highlight w:val="none"/>
        </w:rPr>
        <w:t>。</w:t>
      </w:r>
    </w:p>
    <w:p>
      <w:pPr>
        <w:spacing w:line="360" w:lineRule="auto"/>
        <w:ind w:firstLine="482" w:firstLineChars="200"/>
        <w:jc w:val="left"/>
        <w:rPr>
          <w:rFonts w:hint="eastAsia" w:ascii="宋体" w:hAnsi="宋体"/>
          <w:b/>
          <w:color w:val="auto"/>
          <w:kern w:val="2"/>
          <w:sz w:val="24"/>
          <w:szCs w:val="24"/>
          <w:highlight w:val="none"/>
        </w:rPr>
      </w:pPr>
      <w:r>
        <w:rPr>
          <w:rFonts w:hint="eastAsia" w:ascii="宋体" w:hAnsi="宋体"/>
          <w:b/>
          <w:color w:val="auto"/>
          <w:kern w:val="2"/>
          <w:sz w:val="24"/>
          <w:szCs w:val="24"/>
          <w:highlight w:val="none"/>
        </w:rPr>
        <w:t>一、合同金额</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合同总金额为：（大写）人民币</w:t>
      </w:r>
      <w:r>
        <w:rPr>
          <w:rFonts w:ascii="宋体" w:hAnsi="宋体"/>
          <w:color w:val="auto"/>
          <w:kern w:val="2"/>
          <w:sz w:val="24"/>
          <w:szCs w:val="24"/>
          <w:highlight w:val="none"/>
        </w:rPr>
        <w:t>_________________</w:t>
      </w:r>
      <w:r>
        <w:rPr>
          <w:rFonts w:hint="eastAsia" w:ascii="宋体" w:hAnsi="宋体"/>
          <w:color w:val="auto"/>
          <w:kern w:val="2"/>
          <w:sz w:val="24"/>
          <w:szCs w:val="24"/>
          <w:highlight w:val="none"/>
        </w:rPr>
        <w:t>元（¥</w:t>
      </w:r>
      <w:r>
        <w:rPr>
          <w:rFonts w:ascii="宋体" w:hAnsi="宋体"/>
          <w:color w:val="auto"/>
          <w:kern w:val="2"/>
          <w:sz w:val="24"/>
          <w:szCs w:val="24"/>
          <w:highlight w:val="none"/>
        </w:rPr>
        <w:t>_______________</w:t>
      </w:r>
      <w:r>
        <w:rPr>
          <w:rFonts w:hint="eastAsia" w:ascii="宋体" w:hAnsi="宋体"/>
          <w:color w:val="auto"/>
          <w:kern w:val="2"/>
          <w:sz w:val="24"/>
          <w:szCs w:val="24"/>
          <w:highlight w:val="none"/>
        </w:rPr>
        <w:t>元）</w:t>
      </w:r>
      <w:r>
        <w:rPr>
          <w:rFonts w:hint="eastAsia" w:ascii="宋体" w:hAnsi="宋体"/>
          <w:color w:val="auto"/>
          <w:kern w:val="2"/>
          <w:sz w:val="24"/>
          <w:szCs w:val="21"/>
          <w:highlight w:val="none"/>
        </w:rPr>
        <w:t>；</w:t>
      </w:r>
    </w:p>
    <w:p>
      <w:pPr>
        <w:keepNext/>
        <w:keepLines/>
        <w:spacing w:before="260" w:after="260" w:line="416" w:lineRule="auto"/>
        <w:ind w:firstLine="480" w:firstLineChars="200"/>
        <w:outlineLvl w:val="1"/>
        <w:rPr>
          <w:rFonts w:hint="eastAsia" w:ascii="宋体" w:hAnsi="宋体"/>
          <w:color w:val="auto"/>
          <w:kern w:val="2"/>
          <w:sz w:val="24"/>
          <w:szCs w:val="24"/>
          <w:highlight w:val="none"/>
        </w:rPr>
      </w:pPr>
      <w:r>
        <w:rPr>
          <w:rFonts w:hint="eastAsia" w:ascii="宋体" w:hAnsi="宋体"/>
          <w:color w:val="auto"/>
          <w:kern w:val="2"/>
          <w:sz w:val="24"/>
          <w:szCs w:val="24"/>
          <w:highlight w:val="none"/>
        </w:rPr>
        <w:t>每年合同金额：（大写）人民币</w:t>
      </w:r>
      <w:r>
        <w:rPr>
          <w:rFonts w:ascii="宋体" w:hAnsi="宋体" w:eastAsia="黑体"/>
          <w:b/>
          <w:bCs/>
          <w:color w:val="auto"/>
          <w:kern w:val="2"/>
          <w:sz w:val="24"/>
          <w:szCs w:val="24"/>
          <w:highlight w:val="none"/>
        </w:rPr>
        <w:t>________</w:t>
      </w:r>
      <w:r>
        <w:rPr>
          <w:rFonts w:hint="eastAsia" w:ascii="宋体" w:hAnsi="宋体"/>
          <w:color w:val="auto"/>
          <w:kern w:val="2"/>
          <w:sz w:val="24"/>
          <w:szCs w:val="24"/>
          <w:highlight w:val="none"/>
        </w:rPr>
        <w:t>元/年（¥</w:t>
      </w:r>
      <w:r>
        <w:rPr>
          <w:rFonts w:ascii="宋体" w:hAnsi="宋体" w:eastAsia="黑体"/>
          <w:b/>
          <w:bCs/>
          <w:color w:val="auto"/>
          <w:kern w:val="2"/>
          <w:sz w:val="24"/>
          <w:szCs w:val="24"/>
          <w:highlight w:val="none"/>
        </w:rPr>
        <w:t>________</w:t>
      </w:r>
      <w:r>
        <w:rPr>
          <w:rFonts w:hint="eastAsia" w:ascii="宋体" w:hAnsi="宋体" w:eastAsia="黑体"/>
          <w:b/>
          <w:bCs/>
          <w:color w:val="auto"/>
          <w:kern w:val="2"/>
          <w:sz w:val="24"/>
          <w:szCs w:val="24"/>
          <w:highlight w:val="none"/>
        </w:rPr>
        <w:t xml:space="preserve"> </w:t>
      </w:r>
      <w:r>
        <w:rPr>
          <w:rFonts w:hint="eastAsia" w:ascii="宋体" w:hAnsi="宋体"/>
          <w:color w:val="auto"/>
          <w:kern w:val="2"/>
          <w:sz w:val="24"/>
          <w:szCs w:val="24"/>
          <w:highlight w:val="none"/>
        </w:rPr>
        <w:t>元/年）。</w:t>
      </w:r>
    </w:p>
    <w:p>
      <w:pPr>
        <w:spacing w:line="360" w:lineRule="auto"/>
        <w:ind w:firstLine="482" w:firstLineChars="200"/>
        <w:jc w:val="left"/>
        <w:rPr>
          <w:rFonts w:ascii="宋体" w:hAnsi="宋体"/>
          <w:b/>
          <w:color w:val="auto"/>
          <w:kern w:val="2"/>
          <w:sz w:val="24"/>
          <w:szCs w:val="24"/>
          <w:highlight w:val="none"/>
        </w:rPr>
      </w:pPr>
      <w:r>
        <w:rPr>
          <w:rFonts w:hint="eastAsia" w:ascii="宋体" w:hAnsi="宋体"/>
          <w:b/>
          <w:color w:val="auto"/>
          <w:kern w:val="2"/>
          <w:sz w:val="24"/>
          <w:szCs w:val="24"/>
          <w:highlight w:val="none"/>
        </w:rPr>
        <w:t>二、服务范围</w:t>
      </w:r>
    </w:p>
    <w:p>
      <w:pPr>
        <w:spacing w:line="360" w:lineRule="auto"/>
        <w:ind w:firstLine="480" w:firstLineChars="200"/>
        <w:jc w:val="left"/>
        <w:rPr>
          <w:rFonts w:hint="eastAsia" w:ascii="宋体" w:hAnsi="宋体" w:cs="宋体"/>
          <w:b/>
          <w:bCs/>
          <w:color w:val="auto"/>
          <w:kern w:val="2"/>
          <w:sz w:val="24"/>
          <w:szCs w:val="24"/>
          <w:highlight w:val="none"/>
        </w:rPr>
      </w:pPr>
      <w:r>
        <w:rPr>
          <w:rFonts w:hint="eastAsia" w:ascii="宋体" w:hAnsi="宋体"/>
          <w:color w:val="auto"/>
          <w:kern w:val="2"/>
          <w:sz w:val="24"/>
          <w:szCs w:val="24"/>
          <w:highlight w:val="none"/>
        </w:rPr>
        <w:t>甲方聘请乙方提供以下服务：</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为甲方饭堂提供早、中、晚餐服务，为全体工作人员提供卫生、营养、可口的丰富餐饮服务及舒适卫生的就餐环境。</w:t>
      </w:r>
    </w:p>
    <w:p>
      <w:pPr>
        <w:spacing w:line="500" w:lineRule="exact"/>
        <w:ind w:firstLine="480"/>
        <w:textAlignment w:val="center"/>
        <w:rPr>
          <w:rFonts w:hint="eastAsia" w:ascii="宋体" w:hAnsi="宋体"/>
          <w:color w:val="auto"/>
          <w:kern w:val="2"/>
          <w:sz w:val="24"/>
          <w:szCs w:val="24"/>
          <w:highlight w:val="none"/>
        </w:rPr>
      </w:pPr>
      <w:r>
        <w:rPr>
          <w:rFonts w:hint="eastAsia" w:ascii="宋体" w:hAnsi="宋体"/>
          <w:color w:val="auto"/>
          <w:kern w:val="2"/>
          <w:sz w:val="24"/>
          <w:szCs w:val="24"/>
          <w:highlight w:val="none"/>
        </w:rPr>
        <w:t>1、乙方应明确服务人员各岗位的目标和责任，对菜式出品、卫生安全及应急处置实施严格管理，坚持厉行节约，注重效率，提供高质量服务。</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2、甲方提供的设施设备以及所需食材，乙方应正当使用及认真处理。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3、甲方主管部门根据《服务质量考核方案》，对乙方服务质量按月进行考核，考核方式包括日常检查和专项检查。对检查中发现的问题，由甲方检查人员进行记录，填写记录并经乙方确认，月度汇总后作为考核的依据。每月的管理服务质量月度考核表需经过双方签字或盖章确认后，方可作为核定标准的依据。</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4、乙方在做好服务工作的同时，有责任向甲方提供合理化建议，以提高管理效率和管理质量。</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5、乙方不得以任何方式转包或分包本项目，一经甲方发现，有权终止合同。</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三、服务事项</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1、负责食品制作、餐饮服务、餐厅清洁及管理工作。</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2、负责厨房食品制作任务和餐厅工作协调，确保员工关系和谐。</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3、负责菜单的筹划和更换，以及新品种的研发。</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4、按照要求控制好营业成本并保证菜肴质量、服务水平。</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5、负责食品卫生安全、消防安全工作及</w:t>
      </w:r>
      <w:r>
        <w:rPr>
          <w:rFonts w:hint="eastAsia" w:ascii="宋体" w:hAnsi="宋体"/>
          <w:color w:val="auto"/>
          <w:kern w:val="2"/>
          <w:sz w:val="24"/>
          <w:szCs w:val="24"/>
          <w:highlight w:val="none"/>
          <w:lang w:val="zh-CN"/>
        </w:rPr>
        <w:t>疫情防控工作</w:t>
      </w:r>
      <w:r>
        <w:rPr>
          <w:rFonts w:hint="eastAsia" w:ascii="宋体" w:hAnsi="宋体"/>
          <w:color w:val="auto"/>
          <w:kern w:val="2"/>
          <w:sz w:val="24"/>
          <w:szCs w:val="24"/>
          <w:highlight w:val="none"/>
        </w:rPr>
        <w:t>。</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四、服务地址</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1、茂名市电白区水东街道海滨四路1号；</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2、茂名市电白区水东街道海滨二路118号。</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五、总体要求</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1、乙方负责服务人员的岗前培训工作。</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2、在服务过程中，甲方有权实施监督检查。</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3、服务人员工资、社保、相关福利及加班费等人员费用均由乙方负责。</w:t>
      </w:r>
    </w:p>
    <w:p>
      <w:pPr>
        <w:adjustRightInd w:val="0"/>
        <w:snapToGrid w:val="0"/>
        <w:spacing w:line="360" w:lineRule="auto"/>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4、乙方须按规定为服务人员缴纳社会保险等费用。在缴纳期间，若国家、省、市政府有新的政策规定，则按新规定相应进行调整。因社保费政策调增部分由乙方承担。乙方应按调整后的金额对服务人员应交的社会保险金额进行调整，甲方不追加采购费用。</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5、乙方应及时处理和协调甲方与服务人员之间的工作纠纷。</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6、因人员辞职而需新招聘员工的，招聘工作以及由此产生的相关费用由乙方负责。</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7、乙方按国家法律法规相关规定承担用人单位应承担的所有经济和法律责任。</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8、签订合同前必须按照国家相关保密规定，由乙方分别与甲方、服务人员签订相关保密协议，保守甲方的工作秘密。服务人员签订的保密协议，乙方需将复印件交给甲方备案；乙方确保服务人员保守甲方所有与业务工作相关的秘密，严禁泄露给无关的第三人。因乙方保密履责不到位，造成不良影响和损失的，甲方有权追究乙方法律责任。</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9、乙方在合同履行期间存在“围猎”甲方税务人员行为的（指以获取不正当利益为目的，采取馈赠礼品礼金、邀请娱乐旅游消费、提供便利条件等非正常交往手段“围猎”相关税务人员及其亲属），自甲方及甲方主管机关认定或通报之日起三年内，甲方可以拒绝乙方参与其政府采购活动。</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10、罚则</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（1）若乙方在签订合同并生效后15天内仍无法保证服务正常运作的，则视为乙方违约，甲方有权终止合同，且不为此承担任何责任。</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在服务期间，服务人员因为调走、辞职或被乙方辞退等原因导致服务人员缺岗的，乙方应在10天内及时补齐符合项目要求的服务人员，否则甲方有权按缺岗情况扣除乙方对应的服务费用，情况严重的，视为乙方主动违约，甲方有权终止合同，且不为此承担任何违约责任。</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3）因乙方安排的服务人员违反甲方内部管理制度、蓄意破坏设备设施、违反工作规程造成重大事故的，一经查实，则视为乙方严重违约，甲方有权终止合同，责令乙方赔偿损失，情节严重的依法追究乙方法律责任。</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（4）因乙方安排的服务人员违反治安管理规定、公序良俗等影响采购人日常工作的，经甲方要求，乙方应及时更换相关服务人员。</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（5）若乙方在服务期内违反其服务承诺，则视为乙方违约，甲方有权拒绝支付本期项目服务费。</w:t>
      </w:r>
    </w:p>
    <w:p>
      <w:pPr>
        <w:spacing w:line="360" w:lineRule="auto"/>
        <w:ind w:firstLine="482" w:firstLineChars="200"/>
        <w:jc w:val="left"/>
        <w:rPr>
          <w:rFonts w:hint="eastAsia" w:ascii="宋体" w:hAnsi="宋体"/>
          <w:color w:val="auto"/>
          <w:kern w:val="2"/>
          <w:sz w:val="24"/>
          <w:szCs w:val="24"/>
          <w:highlight w:val="none"/>
        </w:rPr>
      </w:pPr>
      <w:r>
        <w:rPr>
          <w:rFonts w:hint="eastAsia" w:ascii="宋体" w:hAnsi="宋体" w:cs="宋体"/>
          <w:b/>
          <w:color w:val="auto"/>
          <w:kern w:val="2"/>
          <w:sz w:val="24"/>
          <w:szCs w:val="24"/>
          <w:highlight w:val="none"/>
        </w:rPr>
        <w:t>六、服务</w:t>
      </w:r>
      <w:r>
        <w:rPr>
          <w:rFonts w:hint="eastAsia" w:ascii="宋体" w:hAnsi="宋体" w:cs="宋体"/>
          <w:b/>
          <w:bCs/>
          <w:color w:val="auto"/>
          <w:kern w:val="2"/>
          <w:sz w:val="24"/>
          <w:szCs w:val="24"/>
          <w:highlight w:val="none"/>
        </w:rPr>
        <w:t>团队</w:t>
      </w:r>
      <w:r>
        <w:rPr>
          <w:rFonts w:hint="eastAsia" w:ascii="宋体" w:hAnsi="宋体" w:cs="宋体"/>
          <w:b/>
          <w:color w:val="auto"/>
          <w:kern w:val="2"/>
          <w:sz w:val="24"/>
          <w:szCs w:val="24"/>
          <w:highlight w:val="none"/>
        </w:rPr>
        <w:t>配置要求</w:t>
      </w:r>
      <w:r>
        <w:rPr>
          <w:rFonts w:hint="eastAsia" w:ascii="宋体" w:hAnsi="宋体"/>
          <w:color w:val="auto"/>
          <w:kern w:val="2"/>
          <w:sz w:val="24"/>
          <w:szCs w:val="24"/>
          <w:highlight w:val="none"/>
        </w:rPr>
        <w:tab/>
      </w:r>
    </w:p>
    <w:p>
      <w:pPr>
        <w:spacing w:line="360" w:lineRule="auto"/>
        <w:ind w:firstLine="480" w:firstLineChars="200"/>
        <w:jc w:val="left"/>
        <w:rPr>
          <w:rFonts w:hint="eastAsia" w:ascii="宋体" w:hAnsi="宋体" w:cs="宋体"/>
          <w:color w:val="auto"/>
          <w:kern w:val="2"/>
          <w:sz w:val="24"/>
          <w:szCs w:val="24"/>
          <w:highlight w:val="none"/>
          <w:shd w:val="clear" w:color="FFFFFF" w:fill="auto"/>
        </w:rPr>
      </w:pPr>
      <w:r>
        <w:rPr>
          <w:rFonts w:hint="eastAsia" w:ascii="宋体" w:hAnsi="宋体"/>
          <w:color w:val="auto"/>
          <w:kern w:val="2"/>
          <w:sz w:val="24"/>
          <w:szCs w:val="24"/>
          <w:highlight w:val="none"/>
        </w:rPr>
        <w:t>1、乙方</w:t>
      </w:r>
      <w:r>
        <w:rPr>
          <w:rFonts w:hint="eastAsia" w:ascii="宋体" w:hAnsi="宋体" w:cs="宋体"/>
          <w:color w:val="auto"/>
          <w:kern w:val="2"/>
          <w:sz w:val="24"/>
          <w:szCs w:val="24"/>
          <w:highlight w:val="none"/>
        </w:rPr>
        <w:t>配备专业的服务团队，岗位设置结构完整，配备主厨、点心师、中厨、普厨、刀工、餐厅主管、餐厅服务员等岗位，</w:t>
      </w:r>
      <w:r>
        <w:rPr>
          <w:rFonts w:hint="eastAsia" w:ascii="宋体" w:hAnsi="宋体" w:cs="宋体"/>
          <w:color w:val="auto"/>
          <w:kern w:val="2"/>
          <w:sz w:val="24"/>
          <w:szCs w:val="24"/>
          <w:highlight w:val="none"/>
          <w:shd w:val="clear" w:color="FFFFFF" w:fill="auto"/>
        </w:rPr>
        <w:t>服务人员总人数不少于</w:t>
      </w:r>
      <w:r>
        <w:rPr>
          <w:rFonts w:ascii="宋体" w:hAnsi="宋体"/>
          <w:color w:val="auto"/>
          <w:kern w:val="2"/>
          <w:sz w:val="24"/>
          <w:szCs w:val="24"/>
          <w:highlight w:val="none"/>
          <w:shd w:val="clear" w:color="FFFFFF" w:fill="auto"/>
        </w:rPr>
        <w:t>____</w:t>
      </w:r>
      <w:r>
        <w:rPr>
          <w:rFonts w:hint="eastAsia" w:ascii="宋体" w:hAnsi="宋体"/>
          <w:color w:val="auto"/>
          <w:kern w:val="2"/>
          <w:sz w:val="24"/>
          <w:szCs w:val="24"/>
          <w:highlight w:val="none"/>
          <w:shd w:val="clear" w:color="FFFFFF" w:fill="auto"/>
        </w:rPr>
        <w:t>人</w:t>
      </w:r>
      <w:r>
        <w:rPr>
          <w:rFonts w:hint="eastAsia" w:ascii="宋体" w:hAnsi="宋体" w:cs="宋体"/>
          <w:color w:val="auto"/>
          <w:kern w:val="2"/>
          <w:sz w:val="24"/>
          <w:szCs w:val="24"/>
          <w:highlight w:val="none"/>
          <w:shd w:val="clear" w:color="FFFFFF" w:fill="auto"/>
        </w:rPr>
        <w:t>。为保障服务质量和效率，所有岗位人员须经</w:t>
      </w:r>
      <w:r>
        <w:rPr>
          <w:rFonts w:hint="eastAsia" w:ascii="宋体" w:hAnsi="宋体"/>
          <w:color w:val="auto"/>
          <w:kern w:val="2"/>
          <w:sz w:val="24"/>
          <w:szCs w:val="24"/>
          <w:highlight w:val="none"/>
          <w:shd w:val="clear" w:color="FFFFFF" w:fill="auto"/>
        </w:rPr>
        <w:t>甲方</w:t>
      </w:r>
      <w:r>
        <w:rPr>
          <w:rFonts w:hint="eastAsia" w:ascii="宋体" w:hAnsi="宋体" w:cs="宋体"/>
          <w:color w:val="auto"/>
          <w:kern w:val="2"/>
          <w:sz w:val="24"/>
          <w:szCs w:val="24"/>
          <w:highlight w:val="none"/>
          <w:shd w:val="clear" w:color="FFFFFF" w:fill="auto"/>
        </w:rPr>
        <w:t>同意，才可安排服务。</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2、签订合</w:t>
      </w:r>
      <w:r>
        <w:rPr>
          <w:rFonts w:hint="eastAsia" w:ascii="宋体" w:hAnsi="宋体"/>
          <w:color w:val="auto"/>
          <w:kern w:val="2"/>
          <w:sz w:val="24"/>
          <w:szCs w:val="24"/>
          <w:highlight w:val="none"/>
          <w:lang w:val="en-US" w:eastAsia="zh-CN"/>
        </w:rPr>
        <w:t>同</w:t>
      </w:r>
      <w:r>
        <w:rPr>
          <w:rFonts w:hint="eastAsia" w:ascii="宋体" w:hAnsi="宋体"/>
          <w:color w:val="auto"/>
          <w:kern w:val="2"/>
          <w:sz w:val="24"/>
          <w:szCs w:val="24"/>
          <w:highlight w:val="none"/>
        </w:rPr>
        <w:t>及服务期内，乙方须提供有关卫生部门对拟安排工作人员的</w:t>
      </w:r>
      <w:r>
        <w:rPr>
          <w:rFonts w:hint="eastAsia" w:ascii="宋体" w:hAnsi="宋体"/>
          <w:color w:val="auto"/>
          <w:kern w:val="2"/>
          <w:sz w:val="24"/>
          <w:szCs w:val="24"/>
          <w:highlight w:val="none"/>
          <w:lang w:val="en-US" w:eastAsia="zh-CN"/>
        </w:rPr>
        <w:t>有效的</w:t>
      </w:r>
      <w:r>
        <w:rPr>
          <w:rFonts w:hint="eastAsia" w:ascii="宋体" w:hAnsi="宋体"/>
          <w:color w:val="auto"/>
          <w:kern w:val="2"/>
          <w:sz w:val="24"/>
          <w:szCs w:val="24"/>
          <w:highlight w:val="none"/>
        </w:rPr>
        <w:t>健康证明。</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3、乙方配备使用的各类工作人员须符合有关法律法规的规定，按用工性质持证上岗，须五官端正、谈吐清晰，具有一定的文化素质，着装、仪容要求整洁整齐，上班穿工作服。</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4、乙方应制定员工培训计划，使各岗位的工作人员具备相应的专业素质，并熟悉各项管理规定，能够按照各项管理规定提供高水平的服务。</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5、乙方不得随意更换服务人员，有人员变动情况，需提前10个工作日以书面形式告</w:t>
      </w:r>
      <w:r>
        <w:rPr>
          <w:rFonts w:hint="eastAsia" w:ascii="宋体" w:hAnsi="宋体"/>
          <w:color w:val="auto"/>
          <w:kern w:val="2"/>
          <w:sz w:val="24"/>
          <w:szCs w:val="24"/>
          <w:highlight w:val="none"/>
          <w:u w:val="none"/>
        </w:rPr>
        <w:t>知甲方</w:t>
      </w:r>
      <w:r>
        <w:rPr>
          <w:rFonts w:hint="eastAsia" w:ascii="Times New Roman" w:hAnsi="Times New Roman" w:cs="Times New Roman"/>
          <w:color w:val="auto"/>
          <w:sz w:val="24"/>
          <w:szCs w:val="24"/>
          <w:highlight w:val="none"/>
          <w:u w:val="none"/>
          <w:lang w:val="en-US" w:eastAsia="zh-CN"/>
        </w:rPr>
        <w:t>并取得甲方同意</w:t>
      </w:r>
      <w:r>
        <w:rPr>
          <w:rFonts w:hint="eastAsia" w:ascii="宋体" w:hAnsi="宋体"/>
          <w:color w:val="auto"/>
          <w:kern w:val="2"/>
          <w:sz w:val="24"/>
          <w:szCs w:val="24"/>
          <w:highlight w:val="none"/>
          <w:u w:val="none"/>
        </w:rPr>
        <w:t>。</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6、甲方有权根据实际需要对服务人员进行岗位调配和提出更换人员要求，乙方应在收到甲方书面通知10个工作日内免费更换。</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七、卫生要求</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1、乙方须制定严格的餐饮卫生管理制度和食品安全突发事故应急预案，严格执行国家《食品安全法》及《餐饮服务食品安全操作规范》，规范服务，卫生防疫、就餐环境须达到</w:t>
      </w:r>
      <w:r>
        <w:rPr>
          <w:rFonts w:hint="eastAsia" w:ascii="宋体" w:hAnsi="宋体" w:cs="宋体"/>
          <w:color w:val="auto"/>
          <w:kern w:val="2"/>
          <w:sz w:val="24"/>
          <w:szCs w:val="24"/>
          <w:highlight w:val="none"/>
        </w:rPr>
        <w:t>本市</w:t>
      </w:r>
      <w:r>
        <w:rPr>
          <w:rFonts w:hint="eastAsia" w:ascii="宋体" w:hAnsi="宋体"/>
          <w:color w:val="auto"/>
          <w:kern w:val="2"/>
          <w:sz w:val="24"/>
          <w:szCs w:val="24"/>
          <w:highlight w:val="none"/>
        </w:rPr>
        <w:t>职能部门制定的标准。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2、就餐环境要求良好，应保证饭堂通风、干净卫生、地面无积水，有剩饭剩菜等垃圾处理措施，每天清理厨余垃圾。</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 xml:space="preserve">3、乙方按照国家有关餐具卫生管理要求，做好公共餐具清洗和消毒工作。 </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4、乙方负责定期洗涤台布和椅套，保证无污渍。</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八、安全要求</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1、乙方须做好安全用水、用火、用电、煤气等工作，须服从甲方的监督和检查。因乙方原因造成火灾及工伤等事故所造成的一切经济损失由乙方负责。</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乙方为食品制作卫生安全直接责任人，须严格把好食品卫生安全关。乙方须做好食品留样等常规安全手续并做好存档资料工作。服务期间，因食堂食品安全造成的且经食品药品监督部门检查认定或卫生行政部门检验鉴定确认是乙方的责任所引起的食品安全事故，由乙方承担相关责任和支付全部罚金及一切费用，且甲方有权立即取消乙方的服务资格。</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3、乙方要有针对不可抗力情况，如停水、停电等情况进行如何响应的方案，投标时提交各项保障措施。</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4、乙方对厨房服务人员每季度进行一次消防演练培训。</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九、菜式及出品方案</w:t>
      </w:r>
    </w:p>
    <w:p>
      <w:pPr>
        <w:spacing w:line="360" w:lineRule="auto"/>
        <w:ind w:firstLine="480" w:firstLineChars="200"/>
        <w:jc w:val="left"/>
        <w:rPr>
          <w:rFonts w:hint="eastAsia" w:ascii="宋体" w:hAnsi="宋体"/>
          <w:color w:val="auto"/>
          <w:kern w:val="2"/>
          <w:sz w:val="24"/>
          <w:szCs w:val="24"/>
          <w:highlight w:val="none"/>
          <w:lang w:val="zh-CN"/>
        </w:rPr>
      </w:pPr>
      <w:r>
        <w:rPr>
          <w:rFonts w:hint="eastAsia" w:ascii="宋体" w:hAnsi="宋体"/>
          <w:color w:val="auto"/>
          <w:kern w:val="2"/>
          <w:sz w:val="24"/>
          <w:szCs w:val="24"/>
          <w:highlight w:val="none"/>
        </w:rPr>
        <w:t>1、</w:t>
      </w:r>
      <w:r>
        <w:rPr>
          <w:rFonts w:hint="eastAsia" w:ascii="宋体" w:hAnsi="宋体"/>
          <w:color w:val="auto"/>
          <w:kern w:val="2"/>
          <w:sz w:val="24"/>
          <w:szCs w:val="24"/>
          <w:highlight w:val="none"/>
          <w:lang w:val="zh-CN"/>
        </w:rPr>
        <w:t>菜单编制合理、审核、公示及时。</w:t>
      </w:r>
    </w:p>
    <w:p>
      <w:pPr>
        <w:spacing w:line="360" w:lineRule="auto"/>
        <w:ind w:firstLine="480" w:firstLineChars="200"/>
        <w:jc w:val="left"/>
        <w:rPr>
          <w:rFonts w:hint="eastAsia" w:ascii="宋体" w:hAnsi="宋体"/>
          <w:color w:val="auto"/>
          <w:kern w:val="2"/>
          <w:sz w:val="24"/>
          <w:szCs w:val="24"/>
          <w:highlight w:val="none"/>
          <w:lang w:val="zh-CN"/>
        </w:rPr>
      </w:pPr>
      <w:r>
        <w:rPr>
          <w:rFonts w:hint="eastAsia" w:ascii="宋体" w:hAnsi="宋体"/>
          <w:color w:val="auto"/>
          <w:kern w:val="2"/>
          <w:sz w:val="24"/>
          <w:szCs w:val="24"/>
          <w:highlight w:val="none"/>
        </w:rPr>
        <w:t>2、</w:t>
      </w:r>
      <w:r>
        <w:rPr>
          <w:rFonts w:hint="eastAsia" w:ascii="宋体" w:hAnsi="宋体"/>
          <w:color w:val="auto"/>
          <w:kern w:val="2"/>
          <w:sz w:val="24"/>
          <w:szCs w:val="24"/>
          <w:highlight w:val="none"/>
          <w:lang w:val="zh-CN"/>
        </w:rPr>
        <w:t>按照季节搭配菜式、按标准制作。</w:t>
      </w:r>
    </w:p>
    <w:p>
      <w:pPr>
        <w:spacing w:line="360" w:lineRule="auto"/>
        <w:ind w:firstLine="480" w:firstLineChars="200"/>
        <w:jc w:val="left"/>
        <w:rPr>
          <w:rFonts w:hint="eastAsia" w:ascii="宋体" w:hAnsi="宋体"/>
          <w:color w:val="auto"/>
          <w:kern w:val="2"/>
          <w:sz w:val="24"/>
          <w:szCs w:val="24"/>
          <w:highlight w:val="none"/>
          <w:lang w:val="zh-CN"/>
        </w:rPr>
      </w:pPr>
      <w:r>
        <w:rPr>
          <w:rFonts w:hint="eastAsia" w:ascii="宋体" w:hAnsi="宋体"/>
          <w:color w:val="auto"/>
          <w:kern w:val="2"/>
          <w:sz w:val="24"/>
          <w:szCs w:val="24"/>
          <w:highlight w:val="none"/>
        </w:rPr>
        <w:t>3、</w:t>
      </w:r>
      <w:r>
        <w:rPr>
          <w:rFonts w:hint="eastAsia" w:ascii="宋体" w:hAnsi="宋体"/>
          <w:color w:val="auto"/>
          <w:kern w:val="2"/>
          <w:sz w:val="24"/>
          <w:szCs w:val="24"/>
          <w:highlight w:val="none"/>
          <w:lang w:val="zh-CN"/>
        </w:rPr>
        <w:t>口味、颜色、刀工无影响菜品现象。</w:t>
      </w:r>
    </w:p>
    <w:p>
      <w:pPr>
        <w:spacing w:line="360" w:lineRule="auto"/>
        <w:ind w:firstLine="480" w:firstLineChars="200"/>
        <w:jc w:val="left"/>
        <w:rPr>
          <w:rFonts w:hint="eastAsia" w:ascii="宋体" w:hAnsi="宋体"/>
          <w:color w:val="auto"/>
          <w:kern w:val="2"/>
          <w:sz w:val="24"/>
          <w:szCs w:val="24"/>
          <w:highlight w:val="none"/>
          <w:lang w:val="zh-CN"/>
        </w:rPr>
      </w:pPr>
      <w:r>
        <w:rPr>
          <w:rFonts w:hint="eastAsia" w:ascii="宋体" w:hAnsi="宋体"/>
          <w:color w:val="auto"/>
          <w:kern w:val="2"/>
          <w:sz w:val="24"/>
          <w:szCs w:val="24"/>
          <w:highlight w:val="none"/>
        </w:rPr>
        <w:t>4、</w:t>
      </w:r>
      <w:r>
        <w:rPr>
          <w:rFonts w:hint="eastAsia" w:ascii="宋体" w:hAnsi="宋体"/>
          <w:color w:val="auto"/>
          <w:kern w:val="2"/>
          <w:sz w:val="24"/>
          <w:szCs w:val="24"/>
          <w:highlight w:val="none"/>
          <w:lang w:val="zh-CN"/>
        </w:rPr>
        <w:t>无变质、变味、半熟出品。</w:t>
      </w:r>
    </w:p>
    <w:p>
      <w:pPr>
        <w:spacing w:line="360" w:lineRule="auto"/>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olor w:val="auto"/>
          <w:kern w:val="2"/>
          <w:sz w:val="24"/>
          <w:szCs w:val="24"/>
          <w:highlight w:val="none"/>
        </w:rPr>
        <w:t>5、</w:t>
      </w:r>
      <w:r>
        <w:rPr>
          <w:rFonts w:hint="eastAsia" w:ascii="宋体" w:hAnsi="宋体"/>
          <w:color w:val="auto"/>
          <w:kern w:val="2"/>
          <w:sz w:val="24"/>
          <w:szCs w:val="24"/>
          <w:highlight w:val="none"/>
          <w:lang w:val="zh-CN"/>
        </w:rPr>
        <w:t>营养、健康、美味、无不合理搭配现象。</w:t>
      </w:r>
      <w:r>
        <w:rPr>
          <w:rFonts w:hint="eastAsia" w:ascii="宋体" w:hAnsi="宋体" w:cs="宋体"/>
          <w:color w:val="auto"/>
          <w:kern w:val="2"/>
          <w:sz w:val="24"/>
          <w:szCs w:val="24"/>
          <w:highlight w:val="none"/>
          <w:lang w:val="zh-CN" w:bidi="zh-CN"/>
        </w:rPr>
        <w:t xml:space="preserve"> </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十、食品安全及卫生保障方案</w:t>
      </w:r>
    </w:p>
    <w:p>
      <w:pPr>
        <w:spacing w:line="500" w:lineRule="exact"/>
        <w:ind w:firstLine="482"/>
        <w:textAlignment w:val="center"/>
        <w:outlineLvl w:val="2"/>
        <w:rPr>
          <w:rFonts w:hint="eastAsia" w:ascii="宋体" w:hAnsi="宋体" w:cs="宋体"/>
          <w:color w:val="auto"/>
          <w:kern w:val="2"/>
          <w:sz w:val="24"/>
          <w:szCs w:val="24"/>
          <w:highlight w:val="none"/>
          <w:lang w:bidi="zh-CN"/>
        </w:rPr>
      </w:pPr>
      <w:r>
        <w:rPr>
          <w:rFonts w:hint="eastAsia" w:ascii="宋体" w:hAnsi="宋体" w:cs="宋体"/>
          <w:color w:val="auto"/>
          <w:kern w:val="2"/>
          <w:sz w:val="24"/>
          <w:szCs w:val="24"/>
          <w:highlight w:val="none"/>
          <w:lang w:bidi="zh-CN"/>
        </w:rPr>
        <w:t>乙方配合、协助甲方主管部门对食材验收、仓储、冷藏保鲜实施严格管理。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w:t>
      </w:r>
      <w:r>
        <w:rPr>
          <w:rFonts w:hint="eastAsia" w:ascii="宋体" w:hAnsi="宋体" w:cs="宋体"/>
          <w:color w:val="auto"/>
          <w:kern w:val="2"/>
          <w:sz w:val="24"/>
          <w:szCs w:val="24"/>
          <w:highlight w:val="none"/>
          <w:lang w:bidi="zh-CN"/>
        </w:rPr>
        <w:t>配合食材验收</w:t>
      </w:r>
      <w:r>
        <w:rPr>
          <w:rFonts w:hint="eastAsia" w:ascii="宋体" w:hAnsi="宋体"/>
          <w:color w:val="auto"/>
          <w:kern w:val="2"/>
          <w:sz w:val="24"/>
          <w:szCs w:val="24"/>
          <w:highlight w:val="none"/>
        </w:rPr>
        <w:t xml:space="preserve">：包含食品入库、出库、库存登记台账记录；对劣质、霉腐食品及时退换货；食品供货单品类、数量、重量与实物不符问题的处理等等。 </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w:t>
      </w:r>
      <w:r>
        <w:rPr>
          <w:rFonts w:hint="eastAsia" w:ascii="宋体" w:hAnsi="宋体" w:cs="宋体"/>
          <w:color w:val="auto"/>
          <w:kern w:val="2"/>
          <w:sz w:val="24"/>
          <w:szCs w:val="24"/>
          <w:highlight w:val="none"/>
          <w:lang w:bidi="zh-CN"/>
        </w:rPr>
        <w:t>保障食品仓储卫生</w:t>
      </w:r>
      <w:r>
        <w:rPr>
          <w:rFonts w:hint="eastAsia" w:ascii="宋体" w:hAnsi="宋体"/>
          <w:color w:val="auto"/>
          <w:kern w:val="2"/>
          <w:sz w:val="24"/>
          <w:szCs w:val="24"/>
          <w:highlight w:val="none"/>
        </w:rPr>
        <w:t>：仓库设专人负责管理，建立健全采购、验收、发放登记管理流程；空调设备通风除湿性能良好，排风扇运转正常，库内干净整洁，无潮湿、无霉味；各类食品按类别、品种分类、分区、分架摆放整齐，离地、离墙10cm以上；防鼠、防虫、防蝇、防蟑螂设备完好，使用正常。</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3、</w:t>
      </w:r>
      <w:r>
        <w:rPr>
          <w:rFonts w:hint="eastAsia" w:ascii="宋体" w:hAnsi="宋体" w:cs="宋体"/>
          <w:color w:val="auto"/>
          <w:kern w:val="2"/>
          <w:sz w:val="24"/>
          <w:szCs w:val="24"/>
          <w:highlight w:val="none"/>
          <w:lang w:bidi="zh-CN"/>
        </w:rPr>
        <w:t>执行冷藏保鲜措施</w:t>
      </w:r>
      <w:r>
        <w:rPr>
          <w:rFonts w:hint="eastAsia" w:ascii="宋体" w:hAnsi="宋体"/>
          <w:color w:val="auto"/>
          <w:kern w:val="2"/>
          <w:sz w:val="24"/>
          <w:szCs w:val="24"/>
          <w:highlight w:val="none"/>
        </w:rPr>
        <w:t xml:space="preserve">：柜温度设定符合规定，定期除冰除霜，制冷性能良好，柜内无异味；生食与熟食、成品与半成品、植物性食品与动物性和水产类食品分柜存放，保鲜效果好；双休日和节假日停餐期间易腐食品及时清空出柜。 </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十一、管理运作制度</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实施方式说明：</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负责提供饭堂工作人员，并派驻管理及技术团队管理运营，</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负责对</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 xml:space="preserve">监督管理。 </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1、应建立基本的管理制度，主要包括厨房纪律、厨房出品制度、清洁卫生制度、员工考勤休假制度、饭堂设施设备使用维护制度、服务人员培训与管理等。</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2、在符合国家、地方和行业的餐饮、食品卫生质量标准的前提下，有服务质量管理办法，确保菜肴食品质量的卫生可口。</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3、应明确各岗位的目标和责任，对生产过程和物料处理实施管理，提高工作效率，确保饮食安全，物料足量、降低餐饮成本，厉行节约，合理使用水、电、煤气等。</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4、检验考核:每月进行一次考核工作，对菜肴品种与口味、食品质量、服务水平、服务环境清洁卫生、各项制度执行情况等进行考核，</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有权对考核工作进行监督，考核不符合要求的要限时进行整改。</w:t>
      </w:r>
    </w:p>
    <w:p>
      <w:pPr>
        <w:spacing w:line="360" w:lineRule="auto"/>
        <w:ind w:firstLine="480" w:firstLineChars="200"/>
        <w:jc w:val="left"/>
        <w:rPr>
          <w:rFonts w:hint="eastAsia" w:ascii="宋体" w:hAnsi="宋体" w:eastAsia="宋体" w:cs="Times New Roman"/>
          <w:color w:val="auto"/>
          <w:kern w:val="2"/>
          <w:sz w:val="24"/>
          <w:szCs w:val="24"/>
          <w:highlight w:val="none"/>
        </w:rPr>
      </w:pPr>
      <w:r>
        <w:rPr>
          <w:rFonts w:hint="eastAsia" w:ascii="宋体" w:hAnsi="宋体"/>
          <w:color w:val="auto"/>
          <w:kern w:val="2"/>
          <w:sz w:val="24"/>
          <w:szCs w:val="24"/>
          <w:highlight w:val="none"/>
        </w:rPr>
        <w:t>5、若合同执行期间因</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原因，发生卫生、安全事故，造成人员伤害或财产损失</w:t>
      </w:r>
      <w:r>
        <w:rPr>
          <w:rFonts w:hint="eastAsia" w:ascii="宋体" w:hAnsi="宋体" w:eastAsia="宋体" w:cs="Times New Roman"/>
          <w:color w:val="auto"/>
          <w:kern w:val="2"/>
          <w:sz w:val="24"/>
          <w:szCs w:val="24"/>
          <w:highlight w:val="none"/>
        </w:rPr>
        <w:t>的，则</w:t>
      </w:r>
      <w:r>
        <w:rPr>
          <w:rFonts w:hint="eastAsia" w:ascii="宋体" w:hAnsi="宋体" w:eastAsia="宋体" w:cs="Times New Roman"/>
          <w:color w:val="auto"/>
          <w:kern w:val="2"/>
          <w:sz w:val="24"/>
          <w:szCs w:val="24"/>
          <w:highlight w:val="none"/>
          <w:lang w:val="zh-CN"/>
        </w:rPr>
        <w:t>甲方</w:t>
      </w:r>
      <w:r>
        <w:rPr>
          <w:rFonts w:hint="eastAsia" w:ascii="宋体" w:hAnsi="宋体" w:eastAsia="宋体" w:cs="Times New Roman"/>
          <w:color w:val="auto"/>
          <w:kern w:val="2"/>
          <w:sz w:val="24"/>
          <w:szCs w:val="24"/>
          <w:highlight w:val="none"/>
        </w:rPr>
        <w:t>有权在合同执行期间以无法履约为由终止合同执行，因此而产生的损失及违约责任由</w:t>
      </w:r>
      <w:r>
        <w:rPr>
          <w:rFonts w:hint="eastAsia" w:ascii="宋体" w:hAnsi="宋体" w:eastAsia="宋体" w:cs="Times New Roman"/>
          <w:color w:val="auto"/>
          <w:kern w:val="2"/>
          <w:sz w:val="24"/>
          <w:szCs w:val="24"/>
          <w:highlight w:val="none"/>
          <w:lang w:val="zh-CN"/>
        </w:rPr>
        <w:t>乙方</w:t>
      </w:r>
      <w:r>
        <w:rPr>
          <w:rFonts w:hint="eastAsia" w:ascii="宋体" w:hAnsi="宋体" w:eastAsia="宋体" w:cs="Times New Roman"/>
          <w:color w:val="auto"/>
          <w:kern w:val="2"/>
          <w:sz w:val="24"/>
          <w:szCs w:val="24"/>
          <w:highlight w:val="none"/>
        </w:rPr>
        <w:t>承担。</w:t>
      </w:r>
    </w:p>
    <w:p>
      <w:pPr>
        <w:spacing w:line="360" w:lineRule="auto"/>
        <w:ind w:firstLine="480" w:firstLineChars="200"/>
        <w:jc w:val="left"/>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rPr>
        <w:t>6、</w:t>
      </w:r>
      <w:r>
        <w:rPr>
          <w:rFonts w:hint="eastAsia" w:ascii="宋体" w:hAnsi="宋体" w:eastAsia="宋体" w:cs="Times New Roman"/>
          <w:color w:val="auto"/>
          <w:kern w:val="2"/>
          <w:sz w:val="24"/>
          <w:szCs w:val="24"/>
          <w:highlight w:val="none"/>
          <w:lang w:val="zh-CN"/>
        </w:rPr>
        <w:t>乙方</w:t>
      </w:r>
      <w:r>
        <w:rPr>
          <w:rFonts w:hint="eastAsia" w:ascii="宋体" w:hAnsi="宋体" w:eastAsia="宋体" w:cs="Times New Roman"/>
          <w:color w:val="auto"/>
          <w:kern w:val="2"/>
          <w:sz w:val="24"/>
          <w:szCs w:val="24"/>
          <w:highlight w:val="none"/>
        </w:rPr>
        <w:t>应负责对厨房及餐厅设施、设备正常使用与管理，严格按使用规程操作。因使用不当造成损坏，由</w:t>
      </w:r>
      <w:r>
        <w:rPr>
          <w:rFonts w:hint="eastAsia" w:ascii="宋体" w:hAnsi="宋体" w:eastAsia="宋体" w:cs="Times New Roman"/>
          <w:color w:val="auto"/>
          <w:kern w:val="2"/>
          <w:sz w:val="24"/>
          <w:szCs w:val="24"/>
          <w:highlight w:val="none"/>
          <w:lang w:val="zh-CN"/>
        </w:rPr>
        <w:t>乙方</w:t>
      </w:r>
      <w:r>
        <w:rPr>
          <w:rFonts w:hint="eastAsia" w:ascii="宋体" w:hAnsi="宋体" w:eastAsia="宋体" w:cs="Times New Roman"/>
          <w:color w:val="auto"/>
          <w:kern w:val="2"/>
          <w:sz w:val="24"/>
          <w:szCs w:val="24"/>
          <w:highlight w:val="none"/>
        </w:rPr>
        <w:t>负责赔偿。</w:t>
      </w:r>
      <w:r>
        <w:rPr>
          <w:rFonts w:hint="eastAsia" w:ascii="宋体" w:hAnsi="宋体" w:eastAsia="宋体" w:cs="Times New Roman"/>
          <w:color w:val="auto"/>
          <w:kern w:val="2"/>
          <w:sz w:val="24"/>
          <w:szCs w:val="24"/>
          <w:highlight w:val="none"/>
          <w:lang w:val="zh-CN"/>
        </w:rPr>
        <w:t>乙方</w:t>
      </w:r>
      <w:r>
        <w:rPr>
          <w:rFonts w:hint="eastAsia" w:ascii="宋体" w:hAnsi="宋体" w:eastAsia="宋体" w:cs="Times New Roman"/>
          <w:color w:val="auto"/>
          <w:kern w:val="2"/>
          <w:sz w:val="24"/>
          <w:szCs w:val="24"/>
          <w:highlight w:val="none"/>
        </w:rPr>
        <w:t>专门为本项目购买公众责任险和保险保额</w:t>
      </w:r>
      <w:r>
        <w:rPr>
          <w:rFonts w:hint="eastAsia" w:ascii="宋体" w:hAnsi="宋体" w:cs="宋体"/>
          <w:color w:val="auto"/>
          <w:kern w:val="2"/>
          <w:sz w:val="24"/>
          <w:szCs w:val="24"/>
          <w:highlight w:val="none"/>
        </w:rPr>
        <w:t>______</w:t>
      </w:r>
      <w:r>
        <w:rPr>
          <w:rFonts w:hint="eastAsia" w:ascii="宋体" w:hAnsi="宋体" w:eastAsia="宋体" w:cs="Times New Roman"/>
          <w:color w:val="auto"/>
          <w:kern w:val="2"/>
          <w:sz w:val="24"/>
          <w:szCs w:val="24"/>
          <w:highlight w:val="none"/>
          <w:u w:val="none"/>
          <w:lang w:val="en-US" w:eastAsia="zh-CN"/>
        </w:rPr>
        <w:t>万元（≥200万元）</w:t>
      </w:r>
      <w:r>
        <w:rPr>
          <w:rFonts w:hint="eastAsia" w:ascii="宋体" w:hAnsi="宋体" w:eastAsia="宋体" w:cs="Times New Roman"/>
          <w:color w:val="auto"/>
          <w:kern w:val="2"/>
          <w:sz w:val="24"/>
          <w:szCs w:val="24"/>
          <w:highlight w:val="none"/>
        </w:rPr>
        <w:t>食品安全责任险。</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7、</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签订合同后应按</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的各项要求按时保质保量完成所承担事项，不得将项目分包和转让。</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 xml:space="preserve">8、服务人员培训与管理： </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定期对派驻的现场服务人员进行培训，根据现场实际情况制定各类服务人员的定期管理培训计划，培训内容符合现场实际操作需求。人员培训总体要求：制定完善的培训计划和考核制度，切实提高从业人员整体素质。 培训要求：针对餐饮服务的特点，分别提供适配其特性的培训方案。同时，应面向所有作业人员制定针对</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 xml:space="preserve">特点的培训方案。 </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9、</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必须能够严格把好卫生关，注重搞好饭堂的就餐环境，能够严格做好食品储藏；做好食品加工卫生和餐具消毒等基本工作必须达到有关标准要求。</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10、</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必须制定和执行食品卫生安全管理制度。一旦发生食物中毒或其他食源性疾患事故，必须立即向双方主管部门报告及采取相应的措施。</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11、</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必须接受</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对所服务饭堂的质量、卫生和服务，进行全方位监督、检查和质量评估工作。</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12、因卫生、安全、消防、环境、缴费等问题和其他管理问题所造成</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的不良后果，特别是食物中毒事件，</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应承担全部责任（包括行政、经济、刑事的处罚），</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不负任何责任。如</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的行为造成</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的场地、设备等损失，</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应予以赔偿。</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13、</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必须做好服务人员的安全教育及安全措施，保证服务人员的安全，</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服务人员在</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饭堂服务范围内发生的事故，一切责任由</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负责。</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14、如遇到国家、省、市特殊情况或封闭、封控期，</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必须接受</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防疫要求进行防疫，配合</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做好防疫封闭期间的供餐工作。</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十二、应急处置方案</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w:t>
      </w:r>
      <w:r>
        <w:rPr>
          <w:rFonts w:hint="eastAsia" w:ascii="宋体" w:hAnsi="宋体"/>
          <w:color w:val="auto"/>
          <w:kern w:val="2"/>
          <w:sz w:val="24"/>
          <w:szCs w:val="24"/>
          <w:highlight w:val="none"/>
          <w:lang w:val="zh-CN"/>
        </w:rPr>
        <w:t>乙方</w:t>
      </w:r>
      <w:r>
        <w:rPr>
          <w:rFonts w:hint="eastAsia" w:ascii="宋体" w:hAnsi="宋体"/>
          <w:color w:val="auto"/>
          <w:kern w:val="2"/>
          <w:sz w:val="24"/>
          <w:szCs w:val="24"/>
          <w:highlight w:val="none"/>
        </w:rPr>
        <w:t>需做好包括突发停水、停电情况下如何保障</w:t>
      </w:r>
      <w:r>
        <w:rPr>
          <w:rFonts w:hint="eastAsia" w:ascii="宋体" w:hAnsi="宋体"/>
          <w:color w:val="auto"/>
          <w:kern w:val="2"/>
          <w:sz w:val="24"/>
          <w:szCs w:val="24"/>
          <w:highlight w:val="none"/>
          <w:lang w:val="zh-CN"/>
        </w:rPr>
        <w:t>甲方</w:t>
      </w:r>
      <w:r>
        <w:rPr>
          <w:rFonts w:hint="eastAsia" w:ascii="宋体" w:hAnsi="宋体"/>
          <w:color w:val="auto"/>
          <w:kern w:val="2"/>
          <w:sz w:val="24"/>
          <w:szCs w:val="24"/>
          <w:highlight w:val="none"/>
        </w:rPr>
        <w:t>职工就餐，突发食物中毒，水源污染、食材污染、人为破坏等突发事项的应急处理办法，制订各项应急保障措施。</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2、甲方</w:t>
      </w:r>
      <w:r>
        <w:rPr>
          <w:rFonts w:hint="eastAsia"/>
          <w:color w:val="auto"/>
          <w:kern w:val="2"/>
          <w:sz w:val="24"/>
          <w:szCs w:val="24"/>
          <w:highlight w:val="none"/>
        </w:rPr>
        <w:t>有</w:t>
      </w:r>
      <w:r>
        <w:rPr>
          <w:rFonts w:hint="eastAsia" w:ascii="宋体" w:hAnsi="宋体" w:cs="宋体"/>
          <w:color w:val="auto"/>
          <w:kern w:val="2"/>
          <w:sz w:val="24"/>
          <w:szCs w:val="24"/>
          <w:highlight w:val="none"/>
          <w:lang w:bidi="zh-CN"/>
        </w:rPr>
        <w:t>临时性工作任务时，提前1小时告知乙方，乙方须及时到达项目地址，按时完成服务。</w:t>
      </w:r>
    </w:p>
    <w:p>
      <w:pPr>
        <w:spacing w:line="500" w:lineRule="exact"/>
        <w:ind w:firstLine="482" w:firstLineChars="200"/>
        <w:textAlignment w:val="center"/>
        <w:outlineLvl w:val="2"/>
        <w:rPr>
          <w:rFonts w:hint="eastAsia" w:ascii="宋体" w:hAnsi="宋体" w:cs="宋体"/>
          <w:b/>
          <w:bCs/>
          <w:color w:val="auto"/>
          <w:kern w:val="2"/>
          <w:sz w:val="24"/>
          <w:szCs w:val="24"/>
          <w:highlight w:val="none"/>
        </w:rPr>
      </w:pPr>
      <w:r>
        <w:rPr>
          <w:rFonts w:hint="eastAsia" w:ascii="宋体" w:hAnsi="宋体" w:cs="宋体"/>
          <w:b/>
          <w:bCs/>
          <w:color w:val="auto"/>
          <w:kern w:val="2"/>
          <w:sz w:val="24"/>
          <w:szCs w:val="24"/>
          <w:highlight w:val="none"/>
        </w:rPr>
        <w:t>十三、服务质量考核方案</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w:t>
      </w:r>
      <w:r>
        <w:rPr>
          <w:rFonts w:hint="eastAsia" w:ascii="宋体" w:hAnsi="宋体"/>
          <w:color w:val="auto"/>
          <w:kern w:val="2"/>
          <w:sz w:val="24"/>
          <w:szCs w:val="24"/>
          <w:highlight w:val="none"/>
          <w:lang w:val="zh-CN"/>
        </w:rPr>
        <w:t>考核与扣罚</w:t>
      </w:r>
    </w:p>
    <w:p>
      <w:pPr>
        <w:spacing w:line="360" w:lineRule="auto"/>
        <w:ind w:firstLine="480" w:firstLineChars="200"/>
        <w:jc w:val="left"/>
        <w:rPr>
          <w:rFonts w:hint="eastAsia" w:ascii="宋体" w:hAnsi="宋体"/>
          <w:color w:val="auto"/>
          <w:kern w:val="2"/>
          <w:sz w:val="24"/>
          <w:szCs w:val="24"/>
          <w:highlight w:val="none"/>
          <w:lang w:val="zh-CN"/>
        </w:rPr>
      </w:pPr>
      <w:r>
        <w:rPr>
          <w:rFonts w:hint="eastAsia" w:ascii="宋体" w:hAnsi="宋体"/>
          <w:color w:val="auto"/>
          <w:kern w:val="2"/>
          <w:sz w:val="24"/>
          <w:szCs w:val="24"/>
          <w:highlight w:val="none"/>
          <w:lang w:val="zh-CN"/>
        </w:rPr>
        <w:t>（</w:t>
      </w:r>
      <w:r>
        <w:rPr>
          <w:rFonts w:hint="eastAsia" w:ascii="宋体" w:hAnsi="宋体"/>
          <w:color w:val="auto"/>
          <w:kern w:val="2"/>
          <w:sz w:val="24"/>
          <w:szCs w:val="24"/>
          <w:highlight w:val="none"/>
        </w:rPr>
        <w:t>1</w:t>
      </w:r>
      <w:r>
        <w:rPr>
          <w:rFonts w:hint="eastAsia" w:ascii="宋体" w:hAnsi="宋体"/>
          <w:color w:val="auto"/>
          <w:kern w:val="2"/>
          <w:sz w:val="24"/>
          <w:szCs w:val="24"/>
          <w:highlight w:val="none"/>
          <w:lang w:val="zh-CN"/>
        </w:rPr>
        <w:t>）甲方成立考核小组，以日常检查和专项检查的方式对饭堂服务质量进行评分，奖励与惩罚的金额均在当月服务费中体现。</w:t>
      </w:r>
    </w:p>
    <w:p>
      <w:pPr>
        <w:spacing w:line="480" w:lineRule="exact"/>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olor w:val="auto"/>
          <w:kern w:val="2"/>
          <w:sz w:val="24"/>
          <w:szCs w:val="24"/>
          <w:highlight w:val="none"/>
          <w:lang w:val="zh-CN"/>
        </w:rPr>
        <w:t>（</w:t>
      </w:r>
      <w:r>
        <w:rPr>
          <w:rFonts w:hint="eastAsia" w:ascii="宋体" w:hAnsi="宋体"/>
          <w:color w:val="auto"/>
          <w:kern w:val="2"/>
          <w:sz w:val="24"/>
          <w:szCs w:val="24"/>
          <w:highlight w:val="none"/>
        </w:rPr>
        <w:t>2</w:t>
      </w:r>
      <w:r>
        <w:rPr>
          <w:rFonts w:hint="eastAsia" w:ascii="宋体" w:hAnsi="宋体"/>
          <w:color w:val="auto"/>
          <w:kern w:val="2"/>
          <w:sz w:val="24"/>
          <w:szCs w:val="24"/>
          <w:highlight w:val="none"/>
          <w:lang w:val="zh-CN"/>
        </w:rPr>
        <w:t>）</w:t>
      </w:r>
      <w:r>
        <w:rPr>
          <w:rFonts w:hint="eastAsia" w:ascii="宋体" w:hAnsi="宋体" w:cs="宋体"/>
          <w:color w:val="auto"/>
          <w:kern w:val="2"/>
          <w:sz w:val="24"/>
          <w:szCs w:val="24"/>
          <w:highlight w:val="none"/>
          <w:lang w:val="zh-CN" w:bidi="zh-CN"/>
        </w:rPr>
        <w:t>服务费的奖罚</w:t>
      </w:r>
    </w:p>
    <w:p>
      <w:pPr>
        <w:spacing w:line="480" w:lineRule="exact"/>
        <w:ind w:firstLine="480" w:firstLineChars="200"/>
        <w:jc w:val="left"/>
        <w:rPr>
          <w:rFonts w:hint="eastAsia" w:ascii="宋体" w:hAnsi="宋体" w:cs="宋体"/>
          <w:color w:val="auto"/>
          <w:kern w:val="2"/>
          <w:sz w:val="24"/>
          <w:szCs w:val="24"/>
          <w:highlight w:val="none"/>
          <w:lang w:bidi="zh-CN"/>
        </w:rPr>
      </w:pPr>
      <w:r>
        <w:rPr>
          <w:rFonts w:hint="eastAsia" w:ascii="宋体" w:hAnsi="宋体" w:cs="宋体"/>
          <w:color w:val="auto"/>
          <w:kern w:val="2"/>
          <w:sz w:val="24"/>
          <w:szCs w:val="24"/>
          <w:highlight w:val="none"/>
          <w:lang w:bidi="zh-CN"/>
        </w:rPr>
        <w:t>每月服务费中有2000元是属于服务质量考核奖金。</w:t>
      </w:r>
    </w:p>
    <w:p>
      <w:pPr>
        <w:spacing w:line="480" w:lineRule="exact"/>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1）当月</w:t>
      </w:r>
      <w:r>
        <w:rPr>
          <w:rFonts w:hint="eastAsia" w:ascii="宋体" w:hAnsi="宋体" w:cs="宋体"/>
          <w:color w:val="auto"/>
          <w:kern w:val="2"/>
          <w:sz w:val="24"/>
          <w:szCs w:val="24"/>
          <w:highlight w:val="none"/>
          <w:lang w:val="zh-CN" w:bidi="zh-CN"/>
        </w:rPr>
        <w:t>服务质量考核结果</w:t>
      </w:r>
      <w:r>
        <w:rPr>
          <w:rFonts w:hint="eastAsia" w:ascii="宋体" w:hAnsi="宋体" w:cs="宋体"/>
          <w:color w:val="auto"/>
          <w:kern w:val="2"/>
          <w:sz w:val="24"/>
          <w:szCs w:val="24"/>
          <w:highlight w:val="none"/>
          <w:lang w:bidi="zh-CN"/>
        </w:rPr>
        <w:t>90</w:t>
      </w:r>
      <w:r>
        <w:rPr>
          <w:rFonts w:hint="eastAsia" w:ascii="宋体" w:hAnsi="宋体" w:cs="宋体"/>
          <w:color w:val="auto"/>
          <w:kern w:val="2"/>
          <w:sz w:val="24"/>
          <w:szCs w:val="24"/>
          <w:highlight w:val="none"/>
          <w:lang w:val="zh-CN" w:bidi="zh-CN"/>
        </w:rPr>
        <w:t>分（含</w:t>
      </w:r>
      <w:r>
        <w:rPr>
          <w:rFonts w:hint="eastAsia" w:ascii="宋体" w:hAnsi="宋体" w:cs="宋体"/>
          <w:color w:val="auto"/>
          <w:kern w:val="2"/>
          <w:sz w:val="24"/>
          <w:szCs w:val="24"/>
          <w:highlight w:val="none"/>
          <w:lang w:bidi="zh-CN"/>
        </w:rPr>
        <w:t>90</w:t>
      </w:r>
      <w:r>
        <w:rPr>
          <w:rFonts w:hint="eastAsia" w:ascii="宋体" w:hAnsi="宋体" w:cs="宋体"/>
          <w:color w:val="auto"/>
          <w:kern w:val="2"/>
          <w:sz w:val="24"/>
          <w:szCs w:val="24"/>
          <w:highlight w:val="none"/>
          <w:lang w:val="zh-CN" w:bidi="zh-CN"/>
        </w:rPr>
        <w:t>分）以上的为</w:t>
      </w:r>
      <w:r>
        <w:rPr>
          <w:rFonts w:hint="eastAsia" w:ascii="宋体" w:hAnsi="宋体" w:cs="宋体"/>
          <w:color w:val="auto"/>
          <w:kern w:val="2"/>
          <w:sz w:val="24"/>
          <w:szCs w:val="24"/>
          <w:highlight w:val="none"/>
          <w:lang w:bidi="zh-CN"/>
        </w:rPr>
        <w:t>考核</w:t>
      </w:r>
      <w:r>
        <w:rPr>
          <w:rFonts w:hint="eastAsia" w:ascii="宋体" w:hAnsi="宋体" w:cs="宋体"/>
          <w:color w:val="auto"/>
          <w:kern w:val="2"/>
          <w:sz w:val="24"/>
          <w:szCs w:val="24"/>
          <w:highlight w:val="none"/>
          <w:lang w:val="zh-CN" w:bidi="zh-CN"/>
        </w:rPr>
        <w:t>“优”等级，全额支付服务质量考核奖。</w:t>
      </w:r>
    </w:p>
    <w:p>
      <w:pPr>
        <w:spacing w:line="480" w:lineRule="exact"/>
        <w:ind w:left="210" w:leftChars="100" w:firstLine="240" w:firstLineChars="1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2）</w:t>
      </w:r>
      <w:r>
        <w:rPr>
          <w:rFonts w:hint="eastAsia" w:ascii="宋体" w:hAnsi="宋体" w:cs="宋体"/>
          <w:color w:val="auto"/>
          <w:kern w:val="2"/>
          <w:sz w:val="24"/>
          <w:szCs w:val="24"/>
          <w:highlight w:val="none"/>
          <w:lang w:val="zh-CN" w:bidi="zh-CN"/>
        </w:rPr>
        <w:t>服务质量考核结果</w:t>
      </w:r>
      <w:r>
        <w:rPr>
          <w:rFonts w:hint="eastAsia" w:ascii="宋体" w:hAnsi="宋体" w:cs="宋体"/>
          <w:color w:val="auto"/>
          <w:kern w:val="2"/>
          <w:sz w:val="24"/>
          <w:szCs w:val="24"/>
          <w:highlight w:val="none"/>
          <w:lang w:bidi="zh-CN"/>
        </w:rPr>
        <w:t>80-89</w:t>
      </w:r>
      <w:r>
        <w:rPr>
          <w:rFonts w:hint="eastAsia" w:ascii="宋体" w:hAnsi="宋体" w:cs="宋体"/>
          <w:color w:val="auto"/>
          <w:kern w:val="2"/>
          <w:sz w:val="24"/>
          <w:szCs w:val="24"/>
          <w:highlight w:val="none"/>
          <w:lang w:val="zh-CN" w:bidi="zh-CN"/>
        </w:rPr>
        <w:t>分（含8</w:t>
      </w:r>
      <w:r>
        <w:rPr>
          <w:rFonts w:hint="eastAsia" w:ascii="宋体" w:hAnsi="宋体" w:cs="宋体"/>
          <w:color w:val="auto"/>
          <w:kern w:val="2"/>
          <w:sz w:val="24"/>
          <w:szCs w:val="24"/>
          <w:highlight w:val="none"/>
          <w:lang w:bidi="zh-CN"/>
        </w:rPr>
        <w:t>0</w:t>
      </w:r>
      <w:r>
        <w:rPr>
          <w:rFonts w:hint="eastAsia" w:ascii="宋体" w:hAnsi="宋体" w:cs="宋体"/>
          <w:color w:val="auto"/>
          <w:kern w:val="2"/>
          <w:sz w:val="24"/>
          <w:szCs w:val="24"/>
          <w:highlight w:val="none"/>
          <w:lang w:val="zh-CN" w:bidi="zh-CN"/>
        </w:rPr>
        <w:t>分）的为</w:t>
      </w:r>
      <w:r>
        <w:rPr>
          <w:rFonts w:hint="eastAsia" w:ascii="宋体" w:hAnsi="宋体" w:cs="宋体"/>
          <w:color w:val="auto"/>
          <w:kern w:val="2"/>
          <w:sz w:val="24"/>
          <w:szCs w:val="24"/>
          <w:highlight w:val="none"/>
          <w:lang w:bidi="zh-CN"/>
        </w:rPr>
        <w:t>考核</w:t>
      </w:r>
      <w:r>
        <w:rPr>
          <w:rFonts w:hint="eastAsia" w:ascii="宋体" w:hAnsi="宋体" w:cs="宋体"/>
          <w:color w:val="auto"/>
          <w:kern w:val="2"/>
          <w:sz w:val="24"/>
          <w:szCs w:val="24"/>
          <w:highlight w:val="none"/>
          <w:lang w:val="zh-CN" w:bidi="zh-CN"/>
        </w:rPr>
        <w:t>“良”等级</w:t>
      </w:r>
      <w:r>
        <w:rPr>
          <w:rFonts w:hint="eastAsia" w:ascii="宋体" w:hAnsi="宋体" w:cs="宋体"/>
          <w:color w:val="auto"/>
          <w:kern w:val="2"/>
          <w:sz w:val="24"/>
          <w:szCs w:val="24"/>
          <w:highlight w:val="none"/>
          <w:lang w:bidi="zh-CN"/>
        </w:rPr>
        <w:t>,</w:t>
      </w:r>
      <w:r>
        <w:rPr>
          <w:rFonts w:hint="eastAsia" w:ascii="宋体" w:hAnsi="宋体" w:cs="宋体"/>
          <w:color w:val="auto"/>
          <w:kern w:val="2"/>
          <w:sz w:val="24"/>
          <w:szCs w:val="24"/>
          <w:highlight w:val="none"/>
          <w:lang w:val="zh-CN" w:bidi="zh-CN"/>
        </w:rPr>
        <w:t>支付服务质量考核奖的</w:t>
      </w:r>
      <w:r>
        <w:rPr>
          <w:rFonts w:hint="eastAsia" w:ascii="宋体" w:hAnsi="宋体" w:cs="宋体"/>
          <w:color w:val="auto"/>
          <w:kern w:val="2"/>
          <w:sz w:val="24"/>
          <w:szCs w:val="24"/>
          <w:highlight w:val="none"/>
          <w:lang w:bidi="zh-CN"/>
        </w:rPr>
        <w:t>50%。</w:t>
      </w:r>
    </w:p>
    <w:p>
      <w:pPr>
        <w:spacing w:line="480" w:lineRule="exact"/>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3）</w:t>
      </w:r>
      <w:r>
        <w:rPr>
          <w:rFonts w:hint="eastAsia" w:ascii="宋体" w:hAnsi="宋体" w:cs="宋体"/>
          <w:color w:val="auto"/>
          <w:kern w:val="2"/>
          <w:sz w:val="24"/>
          <w:szCs w:val="24"/>
          <w:highlight w:val="none"/>
          <w:lang w:val="zh-CN" w:bidi="zh-CN"/>
        </w:rPr>
        <w:t>服务质量考核结果8</w:t>
      </w:r>
      <w:r>
        <w:rPr>
          <w:rFonts w:hint="eastAsia" w:ascii="宋体" w:hAnsi="宋体" w:cs="宋体"/>
          <w:color w:val="auto"/>
          <w:kern w:val="2"/>
          <w:sz w:val="24"/>
          <w:szCs w:val="24"/>
          <w:highlight w:val="none"/>
          <w:lang w:bidi="zh-CN"/>
        </w:rPr>
        <w:t>0</w:t>
      </w:r>
      <w:r>
        <w:rPr>
          <w:rFonts w:hint="eastAsia" w:ascii="宋体" w:hAnsi="宋体" w:cs="宋体"/>
          <w:color w:val="auto"/>
          <w:kern w:val="2"/>
          <w:sz w:val="24"/>
          <w:szCs w:val="24"/>
          <w:highlight w:val="none"/>
          <w:lang w:val="zh-CN" w:bidi="zh-CN"/>
        </w:rPr>
        <w:t>分以下60分（含</w:t>
      </w:r>
      <w:r>
        <w:rPr>
          <w:rFonts w:hint="eastAsia" w:ascii="宋体" w:hAnsi="宋体" w:cs="宋体"/>
          <w:color w:val="auto"/>
          <w:kern w:val="2"/>
          <w:sz w:val="24"/>
          <w:szCs w:val="24"/>
          <w:highlight w:val="none"/>
          <w:lang w:bidi="zh-CN"/>
        </w:rPr>
        <w:t>60</w:t>
      </w:r>
      <w:r>
        <w:rPr>
          <w:rFonts w:hint="eastAsia" w:ascii="宋体" w:hAnsi="宋体" w:cs="宋体"/>
          <w:color w:val="auto"/>
          <w:kern w:val="2"/>
          <w:sz w:val="24"/>
          <w:szCs w:val="24"/>
          <w:highlight w:val="none"/>
          <w:lang w:val="zh-CN" w:bidi="zh-CN"/>
        </w:rPr>
        <w:t>分）以上的为考核“一般”等级，全额扣罚服务质量考核奖，</w:t>
      </w:r>
      <w:r>
        <w:rPr>
          <w:rFonts w:hint="eastAsia" w:ascii="宋体" w:hAnsi="宋体" w:cs="宋体"/>
          <w:color w:val="auto"/>
          <w:kern w:val="2"/>
          <w:sz w:val="24"/>
          <w:szCs w:val="24"/>
          <w:highlight w:val="none"/>
          <w:lang w:bidi="zh-CN"/>
        </w:rPr>
        <w:t>其中：</w:t>
      </w:r>
      <w:r>
        <w:rPr>
          <w:rFonts w:hint="eastAsia" w:ascii="宋体" w:hAnsi="宋体" w:cs="宋体"/>
          <w:color w:val="auto"/>
          <w:kern w:val="2"/>
          <w:sz w:val="24"/>
          <w:szCs w:val="24"/>
          <w:highlight w:val="none"/>
          <w:lang w:val="zh-CN" w:bidi="zh-CN"/>
        </w:rPr>
        <w:t>服务质量考核结果</w:t>
      </w:r>
      <w:r>
        <w:rPr>
          <w:rFonts w:hint="eastAsia" w:ascii="宋体" w:hAnsi="宋体" w:cs="宋体"/>
          <w:color w:val="auto"/>
          <w:kern w:val="2"/>
          <w:sz w:val="24"/>
          <w:szCs w:val="24"/>
          <w:highlight w:val="none"/>
          <w:lang w:bidi="zh-CN"/>
        </w:rPr>
        <w:t>70-79</w:t>
      </w:r>
      <w:r>
        <w:rPr>
          <w:rFonts w:hint="eastAsia" w:ascii="宋体" w:hAnsi="宋体" w:cs="宋体"/>
          <w:color w:val="auto"/>
          <w:kern w:val="2"/>
          <w:sz w:val="24"/>
          <w:szCs w:val="24"/>
          <w:highlight w:val="none"/>
          <w:lang w:val="zh-CN" w:bidi="zh-CN"/>
        </w:rPr>
        <w:t>分，全额扣罚服务质量考核奖；服务质量考核结果</w:t>
      </w:r>
      <w:r>
        <w:rPr>
          <w:rFonts w:hint="eastAsia" w:ascii="宋体" w:hAnsi="宋体" w:cs="宋体"/>
          <w:color w:val="auto"/>
          <w:kern w:val="2"/>
          <w:sz w:val="24"/>
          <w:szCs w:val="24"/>
          <w:highlight w:val="none"/>
          <w:lang w:bidi="zh-CN"/>
        </w:rPr>
        <w:t>60-69</w:t>
      </w:r>
      <w:r>
        <w:rPr>
          <w:rFonts w:hint="eastAsia" w:ascii="宋体" w:hAnsi="宋体" w:cs="宋体"/>
          <w:color w:val="auto"/>
          <w:kern w:val="2"/>
          <w:sz w:val="24"/>
          <w:szCs w:val="24"/>
          <w:highlight w:val="none"/>
          <w:lang w:val="zh-CN" w:bidi="zh-CN"/>
        </w:rPr>
        <w:t>分，全额扣罚服务质量考核奖，并从当月服务费中再扣罚</w:t>
      </w:r>
      <w:r>
        <w:rPr>
          <w:rFonts w:hint="eastAsia" w:ascii="宋体" w:hAnsi="宋体" w:cs="宋体"/>
          <w:color w:val="auto"/>
          <w:kern w:val="2"/>
          <w:sz w:val="24"/>
          <w:szCs w:val="24"/>
          <w:highlight w:val="none"/>
          <w:lang w:bidi="zh-CN"/>
        </w:rPr>
        <w:t>10000元。</w:t>
      </w:r>
    </w:p>
    <w:p>
      <w:pPr>
        <w:spacing w:line="480" w:lineRule="exact"/>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4）</w:t>
      </w:r>
      <w:r>
        <w:rPr>
          <w:rFonts w:hint="eastAsia" w:ascii="宋体" w:hAnsi="宋体" w:cs="宋体"/>
          <w:color w:val="auto"/>
          <w:kern w:val="2"/>
          <w:sz w:val="24"/>
          <w:szCs w:val="24"/>
          <w:highlight w:val="none"/>
          <w:lang w:val="zh-CN" w:bidi="zh-CN"/>
        </w:rPr>
        <w:t>服务质量考核结果60分以下为考核不合格，全额扣罚服务质量考核奖，并从当月服务费中再扣罚</w:t>
      </w:r>
      <w:r>
        <w:rPr>
          <w:rFonts w:hint="eastAsia" w:ascii="宋体" w:hAnsi="宋体" w:cs="宋体"/>
          <w:color w:val="auto"/>
          <w:kern w:val="2"/>
          <w:sz w:val="24"/>
          <w:szCs w:val="24"/>
          <w:highlight w:val="none"/>
          <w:lang w:bidi="zh-CN"/>
        </w:rPr>
        <w:t>20000元。</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lang w:val="zh-CN"/>
        </w:rPr>
        <w:t>（</w:t>
      </w:r>
      <w:r>
        <w:rPr>
          <w:rFonts w:hint="eastAsia" w:ascii="宋体" w:hAnsi="宋体"/>
          <w:color w:val="auto"/>
          <w:kern w:val="2"/>
          <w:sz w:val="24"/>
          <w:szCs w:val="24"/>
          <w:highlight w:val="none"/>
        </w:rPr>
        <w:t>3</w:t>
      </w:r>
      <w:r>
        <w:rPr>
          <w:rFonts w:hint="eastAsia" w:ascii="宋体" w:hAnsi="宋体"/>
          <w:color w:val="auto"/>
          <w:kern w:val="2"/>
          <w:sz w:val="24"/>
          <w:szCs w:val="24"/>
          <w:highlight w:val="none"/>
          <w:lang w:val="zh-CN"/>
        </w:rPr>
        <w:t>）考核细则</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lang w:val="zh-CN"/>
        </w:rPr>
        <w:t>实行每月百分制考核，总分为100分。乙方在服务期间出现服务内容未按合同或约定落实的，按项目和次数对照以下标准进行扣分：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w:t>
      </w:r>
      <w:r>
        <w:rPr>
          <w:rFonts w:hint="eastAsia" w:ascii="宋体" w:hAnsi="宋体"/>
          <w:color w:val="auto"/>
          <w:kern w:val="2"/>
          <w:sz w:val="24"/>
          <w:szCs w:val="24"/>
          <w:highlight w:val="none"/>
          <w:lang w:val="zh-CN"/>
        </w:rPr>
        <w:t>未按甲方认可菜谱提供膳食的每次扣2分。</w:t>
      </w:r>
    </w:p>
    <w:p>
      <w:pPr>
        <w:spacing w:line="360" w:lineRule="auto"/>
        <w:ind w:firstLine="480" w:firstLineChars="200"/>
        <w:jc w:val="left"/>
        <w:rPr>
          <w:rFonts w:hint="eastAsia" w:ascii="宋体" w:hAnsi="宋体"/>
          <w:color w:val="auto"/>
          <w:kern w:val="2"/>
          <w:sz w:val="24"/>
          <w:szCs w:val="24"/>
          <w:highlight w:val="none"/>
          <w:lang w:val="zh-CN"/>
        </w:rPr>
      </w:pPr>
      <w:r>
        <w:rPr>
          <w:rFonts w:hint="eastAsia" w:ascii="宋体" w:hAnsi="宋体"/>
          <w:color w:val="auto"/>
          <w:kern w:val="2"/>
          <w:sz w:val="24"/>
          <w:szCs w:val="24"/>
          <w:highlight w:val="none"/>
        </w:rPr>
        <w:t>2）</w:t>
      </w:r>
      <w:r>
        <w:rPr>
          <w:rFonts w:hint="eastAsia" w:ascii="宋体" w:hAnsi="宋体"/>
          <w:color w:val="auto"/>
          <w:kern w:val="2"/>
          <w:sz w:val="24"/>
          <w:szCs w:val="24"/>
          <w:highlight w:val="none"/>
          <w:lang w:val="zh-CN"/>
        </w:rPr>
        <w:t>按时供应膳食，延期15分钟以上的每次扣1分，超过30分钟的每次扣2分。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3）</w:t>
      </w:r>
      <w:r>
        <w:rPr>
          <w:rFonts w:hint="eastAsia" w:ascii="宋体" w:hAnsi="宋体"/>
          <w:color w:val="auto"/>
          <w:kern w:val="2"/>
          <w:sz w:val="24"/>
          <w:szCs w:val="24"/>
          <w:highlight w:val="none"/>
          <w:lang w:val="zh-CN"/>
        </w:rPr>
        <w:t>食品未清洗干净存有沙粒的每次扣1份，出现污泥、毛发、线条、塑料等不合理杂物的每次扣2分，出现蟑螂、苍蝇等每次扣5分。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4）</w:t>
      </w:r>
      <w:r>
        <w:rPr>
          <w:rFonts w:hint="eastAsia" w:ascii="宋体" w:hAnsi="宋体"/>
          <w:color w:val="auto"/>
          <w:kern w:val="2"/>
          <w:sz w:val="24"/>
          <w:szCs w:val="24"/>
          <w:highlight w:val="none"/>
          <w:lang w:val="zh-CN"/>
        </w:rPr>
        <w:t>未按规定烹饪食物，出现烹饪食物未熟的每次扣2分。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5）</w:t>
      </w:r>
      <w:r>
        <w:rPr>
          <w:rFonts w:hint="eastAsia" w:ascii="宋体" w:hAnsi="宋体"/>
          <w:color w:val="auto"/>
          <w:kern w:val="2"/>
          <w:sz w:val="24"/>
          <w:szCs w:val="24"/>
          <w:highlight w:val="none"/>
          <w:lang w:val="zh-CN"/>
        </w:rPr>
        <w:t>提供腐烂、变质、异味食物的每次扣5分。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6）</w:t>
      </w:r>
      <w:r>
        <w:rPr>
          <w:rFonts w:hint="eastAsia" w:ascii="宋体" w:hAnsi="宋体"/>
          <w:color w:val="auto"/>
          <w:kern w:val="2"/>
          <w:sz w:val="24"/>
          <w:szCs w:val="24"/>
          <w:highlight w:val="none"/>
          <w:lang w:val="zh-CN"/>
        </w:rPr>
        <w:t>新鲜的蔬菜未按一洗二浸三烫四炒的顺序操作，未进行除农药残余处理的每次扣5分。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7）</w:t>
      </w:r>
      <w:r>
        <w:rPr>
          <w:rFonts w:hint="eastAsia" w:ascii="宋体" w:hAnsi="宋体"/>
          <w:color w:val="auto"/>
          <w:kern w:val="2"/>
          <w:sz w:val="24"/>
          <w:szCs w:val="24"/>
          <w:highlight w:val="none"/>
          <w:lang w:val="zh-CN"/>
        </w:rPr>
        <w:t>未按动物性食品、植物性食品分池清洗要求的每次扣2分。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8）</w:t>
      </w:r>
      <w:r>
        <w:rPr>
          <w:rFonts w:hint="eastAsia" w:ascii="宋体" w:hAnsi="宋体"/>
          <w:color w:val="auto"/>
          <w:kern w:val="2"/>
          <w:sz w:val="24"/>
          <w:szCs w:val="24"/>
          <w:highlight w:val="none"/>
          <w:lang w:val="zh-CN"/>
        </w:rPr>
        <w:t>未按规定进行食品留样或未按规定做好留样记录的每次扣2分。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9）</w:t>
      </w:r>
      <w:r>
        <w:rPr>
          <w:rFonts w:hint="eastAsia" w:ascii="宋体" w:hAnsi="宋体"/>
          <w:color w:val="auto"/>
          <w:kern w:val="2"/>
          <w:sz w:val="24"/>
          <w:szCs w:val="24"/>
          <w:highlight w:val="none"/>
          <w:lang w:val="zh-CN"/>
        </w:rPr>
        <w:t>未按食品贮存要求分开存放生、熟食品的每次扣2分。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10）</w:t>
      </w:r>
      <w:r>
        <w:rPr>
          <w:rFonts w:hint="eastAsia" w:ascii="宋体" w:hAnsi="宋体"/>
          <w:color w:val="auto"/>
          <w:kern w:val="2"/>
          <w:sz w:val="24"/>
          <w:szCs w:val="24"/>
          <w:highlight w:val="none"/>
          <w:lang w:val="zh-CN"/>
        </w:rPr>
        <w:t>未按要求对餐具进行定期去渍、定时消毒或未按消毒要求进行消毒操作的每次扣2分；提供给就餐人员使用的餐具中出现饭菜残羹、灰尘、毛发、油渍等垃圾物的每次扣1分，情况严重的每次扣2分。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11）</w:t>
      </w:r>
      <w:r>
        <w:rPr>
          <w:rFonts w:hint="eastAsia" w:ascii="宋体" w:hAnsi="宋体"/>
          <w:color w:val="auto"/>
          <w:kern w:val="2"/>
          <w:sz w:val="24"/>
          <w:szCs w:val="24"/>
          <w:highlight w:val="none"/>
          <w:lang w:val="zh-CN"/>
        </w:rPr>
        <w:t>未按要求对厨房室内外环境、用具以及厨房通风排烟设施进行清洁的每次扣2分；未对冰箱进行定期清理或未按要求在冰箱内分类存放食物的每次扣1分。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12）</w:t>
      </w:r>
      <w:r>
        <w:rPr>
          <w:rFonts w:hint="eastAsia" w:ascii="宋体" w:hAnsi="宋体"/>
          <w:color w:val="auto"/>
          <w:kern w:val="2"/>
          <w:sz w:val="24"/>
          <w:szCs w:val="24"/>
          <w:highlight w:val="none"/>
          <w:lang w:val="zh-CN"/>
        </w:rPr>
        <w:t>未及时清理就餐大厅餐桌卫生，超过20分钟的每次扣1分。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13）</w:t>
      </w:r>
      <w:r>
        <w:rPr>
          <w:rFonts w:hint="eastAsia" w:ascii="宋体" w:hAnsi="宋体"/>
          <w:color w:val="auto"/>
          <w:kern w:val="2"/>
          <w:sz w:val="24"/>
          <w:szCs w:val="24"/>
          <w:highlight w:val="none"/>
          <w:lang w:val="zh-CN"/>
        </w:rPr>
        <w:t>未完成</w:t>
      </w:r>
      <w:r>
        <w:rPr>
          <w:rFonts w:hint="eastAsia" w:ascii="宋体" w:hAnsi="宋体"/>
          <w:color w:val="auto"/>
          <w:kern w:val="2"/>
          <w:sz w:val="24"/>
          <w:szCs w:val="24"/>
          <w:highlight w:val="none"/>
        </w:rPr>
        <w:t>饭</w:t>
      </w:r>
      <w:r>
        <w:rPr>
          <w:rFonts w:hint="eastAsia" w:ascii="宋体" w:hAnsi="宋体"/>
          <w:color w:val="auto"/>
          <w:kern w:val="2"/>
          <w:sz w:val="24"/>
          <w:szCs w:val="24"/>
          <w:highlight w:val="none"/>
          <w:lang w:val="zh-CN"/>
        </w:rPr>
        <w:t>堂门前卫生“三包”要求，未按要求对厨房内外环境进行消毒或未按要求开展除蚊、蝇、蟑螂、老鼠的每次扣2分。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14）</w:t>
      </w:r>
      <w:r>
        <w:rPr>
          <w:rFonts w:hint="eastAsia" w:ascii="宋体" w:hAnsi="宋体"/>
          <w:color w:val="auto"/>
          <w:kern w:val="2"/>
          <w:sz w:val="24"/>
          <w:szCs w:val="24"/>
          <w:highlight w:val="none"/>
          <w:lang w:val="zh-CN"/>
        </w:rPr>
        <w:t>服务人员出现着装、个人卫生问题或未按卫生要求进行服务的每次扣1分。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15）</w:t>
      </w:r>
      <w:r>
        <w:rPr>
          <w:rFonts w:hint="eastAsia" w:ascii="宋体" w:hAnsi="宋体"/>
          <w:color w:val="auto"/>
          <w:kern w:val="2"/>
          <w:sz w:val="24"/>
          <w:szCs w:val="24"/>
          <w:highlight w:val="none"/>
          <w:lang w:val="zh-CN"/>
        </w:rPr>
        <w:t>服务人员在服务过程中从事与服务无关事项或不使用文明用语的每次扣1分，服务态度恶劣的每次扣2分。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16）</w:t>
      </w:r>
      <w:r>
        <w:rPr>
          <w:rFonts w:hint="eastAsia" w:ascii="宋体" w:hAnsi="宋体"/>
          <w:color w:val="auto"/>
          <w:kern w:val="2"/>
          <w:sz w:val="24"/>
          <w:szCs w:val="24"/>
          <w:highlight w:val="none"/>
          <w:lang w:val="zh-CN"/>
        </w:rPr>
        <w:t>服务人员未按要求进行卫生体检，无上岗证（健康证）或上岗证过期的、违反甲方防疫管理要求的，每人次扣10分。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17）饭</w:t>
      </w:r>
      <w:r>
        <w:rPr>
          <w:rFonts w:hint="eastAsia" w:ascii="宋体" w:hAnsi="宋体"/>
          <w:color w:val="auto"/>
          <w:kern w:val="2"/>
          <w:sz w:val="24"/>
          <w:szCs w:val="24"/>
          <w:highlight w:val="none"/>
          <w:lang w:val="zh-CN"/>
        </w:rPr>
        <w:t>堂意见收集本上每月负面意见达到5条（含5条）以上的扣1分；网络、媒体出现反映</w:t>
      </w:r>
      <w:r>
        <w:rPr>
          <w:rFonts w:hint="eastAsia" w:ascii="宋体" w:hAnsi="宋体"/>
          <w:color w:val="auto"/>
          <w:kern w:val="2"/>
          <w:sz w:val="24"/>
          <w:szCs w:val="24"/>
          <w:highlight w:val="none"/>
        </w:rPr>
        <w:t>饭</w:t>
      </w:r>
      <w:r>
        <w:rPr>
          <w:rFonts w:hint="eastAsia" w:ascii="宋体" w:hAnsi="宋体"/>
          <w:color w:val="auto"/>
          <w:kern w:val="2"/>
          <w:sz w:val="24"/>
          <w:szCs w:val="24"/>
          <w:highlight w:val="none"/>
          <w:lang w:val="zh-CN"/>
        </w:rPr>
        <w:t>堂负面信息经査属实的每条扣3分，造成恶劣影响的扣5分，影响特别恶劣的，视同</w:t>
      </w:r>
      <w:r>
        <w:rPr>
          <w:rFonts w:hint="eastAsia" w:ascii="宋体" w:hAnsi="宋体"/>
          <w:color w:val="auto"/>
          <w:kern w:val="2"/>
          <w:sz w:val="24"/>
          <w:szCs w:val="24"/>
          <w:highlight w:val="none"/>
          <w:lang w:val="en-US" w:eastAsia="zh-CN"/>
        </w:rPr>
        <w:t>乙方</w:t>
      </w:r>
      <w:r>
        <w:rPr>
          <w:rFonts w:hint="eastAsia" w:ascii="宋体" w:hAnsi="宋体"/>
          <w:color w:val="auto"/>
          <w:kern w:val="2"/>
          <w:sz w:val="24"/>
          <w:szCs w:val="24"/>
          <w:highlight w:val="none"/>
          <w:lang w:val="zh-CN"/>
        </w:rPr>
        <w:t>违约，</w:t>
      </w:r>
      <w:r>
        <w:rPr>
          <w:rFonts w:hint="eastAsia" w:ascii="宋体" w:hAnsi="宋体"/>
          <w:color w:val="auto"/>
          <w:kern w:val="2"/>
          <w:sz w:val="24"/>
          <w:szCs w:val="24"/>
          <w:highlight w:val="none"/>
          <w:lang w:val="en-US" w:eastAsia="zh-CN"/>
        </w:rPr>
        <w:t>甲方</w:t>
      </w:r>
      <w:r>
        <w:rPr>
          <w:rFonts w:hint="eastAsia" w:ascii="宋体" w:hAnsi="宋体"/>
          <w:color w:val="auto"/>
          <w:kern w:val="2"/>
          <w:sz w:val="24"/>
          <w:szCs w:val="24"/>
          <w:highlight w:val="none"/>
          <w:lang w:val="zh-CN"/>
        </w:rPr>
        <w:t>有权终止合同，且无需支付</w:t>
      </w:r>
      <w:r>
        <w:rPr>
          <w:rFonts w:hint="eastAsia" w:ascii="宋体" w:hAnsi="宋体"/>
          <w:color w:val="auto"/>
          <w:kern w:val="2"/>
          <w:sz w:val="24"/>
          <w:szCs w:val="24"/>
          <w:highlight w:val="none"/>
          <w:lang w:val="en-US" w:eastAsia="zh-CN"/>
        </w:rPr>
        <w:t>乙方</w:t>
      </w:r>
      <w:r>
        <w:rPr>
          <w:rFonts w:hint="eastAsia" w:ascii="宋体" w:hAnsi="宋体"/>
          <w:color w:val="auto"/>
          <w:kern w:val="2"/>
          <w:sz w:val="24"/>
          <w:szCs w:val="24"/>
          <w:highlight w:val="none"/>
          <w:lang w:val="zh-CN"/>
        </w:rPr>
        <w:t>一切损失。</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18）</w:t>
      </w:r>
      <w:r>
        <w:rPr>
          <w:rFonts w:hint="eastAsia" w:ascii="宋体" w:hAnsi="宋体"/>
          <w:color w:val="auto"/>
          <w:kern w:val="2"/>
          <w:sz w:val="24"/>
          <w:szCs w:val="24"/>
          <w:highlight w:val="none"/>
          <w:lang w:val="zh-CN"/>
        </w:rPr>
        <w:t>未对服务人员进行教育培训，服务人员未按要求进行原材料领取査验、加工操作或未按食品烹饪的各个环节要求操作的每次扣1分，属甲方组织专项检査过程中发现的每次扣3分。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19）</w:t>
      </w:r>
      <w:r>
        <w:rPr>
          <w:rFonts w:hint="eastAsia" w:ascii="宋体" w:hAnsi="宋体"/>
          <w:color w:val="auto"/>
          <w:kern w:val="2"/>
          <w:sz w:val="24"/>
          <w:szCs w:val="24"/>
          <w:highlight w:val="none"/>
          <w:lang w:val="zh-CN"/>
        </w:rPr>
        <w:t>未按要求进行台账登记或台账登记不规范的每次扣1分，台账登记造假的每次扣2分。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20）</w:t>
      </w:r>
      <w:r>
        <w:rPr>
          <w:rFonts w:hint="eastAsia" w:ascii="宋体" w:hAnsi="宋体"/>
          <w:color w:val="auto"/>
          <w:kern w:val="2"/>
          <w:sz w:val="24"/>
          <w:szCs w:val="24"/>
          <w:highlight w:val="none"/>
          <w:lang w:val="zh-CN"/>
        </w:rPr>
        <w:t>未按要求对人员监督栏、从业人员健康证、就餐大厅检査表、餐具洗消记录、菜品等公示的每次扣1分。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21）</w:t>
      </w:r>
      <w:r>
        <w:rPr>
          <w:rFonts w:hint="eastAsia" w:ascii="宋体" w:hAnsi="宋体"/>
          <w:color w:val="auto"/>
          <w:kern w:val="2"/>
          <w:sz w:val="24"/>
          <w:szCs w:val="24"/>
          <w:highlight w:val="none"/>
          <w:lang w:val="zh-CN"/>
        </w:rPr>
        <w:t>未按要求制定相应消防安全管理制度或未安排消防安全员的扣2分，消防安全员未落实消防安全要求的每次扣1分。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22）</w:t>
      </w:r>
      <w:r>
        <w:rPr>
          <w:rFonts w:hint="eastAsia" w:ascii="宋体" w:hAnsi="宋体"/>
          <w:color w:val="auto"/>
          <w:kern w:val="2"/>
          <w:sz w:val="24"/>
          <w:szCs w:val="24"/>
          <w:highlight w:val="none"/>
          <w:lang w:val="zh-CN"/>
        </w:rPr>
        <w:t>出现乙方利用甲方场地及设备制作食物向外部销售的每次扣40分。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23）</w:t>
      </w:r>
      <w:r>
        <w:rPr>
          <w:rFonts w:hint="eastAsia" w:ascii="宋体" w:hAnsi="宋体"/>
          <w:color w:val="auto"/>
          <w:kern w:val="2"/>
          <w:sz w:val="24"/>
          <w:szCs w:val="24"/>
          <w:highlight w:val="none"/>
          <w:lang w:val="zh-CN"/>
        </w:rPr>
        <w:t>出现乙方工作人员未经许可对外泄露甲方工作秘密的每次扣10分，造成恶劣影响的扣40分。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24）</w:t>
      </w:r>
      <w:r>
        <w:rPr>
          <w:rFonts w:hint="eastAsia" w:ascii="宋体" w:hAnsi="宋体"/>
          <w:color w:val="auto"/>
          <w:kern w:val="2"/>
          <w:sz w:val="24"/>
          <w:szCs w:val="24"/>
          <w:highlight w:val="none"/>
          <w:lang w:val="zh-CN"/>
        </w:rPr>
        <w:t>发现服务人员私带食品或食品原材料离开</w:t>
      </w:r>
      <w:r>
        <w:rPr>
          <w:rFonts w:hint="eastAsia" w:ascii="宋体" w:hAnsi="宋体"/>
          <w:color w:val="auto"/>
          <w:kern w:val="2"/>
          <w:sz w:val="24"/>
          <w:szCs w:val="24"/>
          <w:highlight w:val="none"/>
        </w:rPr>
        <w:t>饭</w:t>
      </w:r>
      <w:r>
        <w:rPr>
          <w:rFonts w:hint="eastAsia" w:ascii="宋体" w:hAnsi="宋体"/>
          <w:color w:val="auto"/>
          <w:kern w:val="2"/>
          <w:sz w:val="24"/>
          <w:szCs w:val="24"/>
          <w:highlight w:val="none"/>
          <w:lang w:val="zh-CN"/>
        </w:rPr>
        <w:t>堂范围的每次扣40分。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25）</w:t>
      </w:r>
      <w:r>
        <w:rPr>
          <w:rFonts w:hint="eastAsia" w:ascii="宋体" w:hAnsi="宋体"/>
          <w:color w:val="auto"/>
          <w:kern w:val="2"/>
          <w:sz w:val="24"/>
          <w:szCs w:val="24"/>
          <w:highlight w:val="none"/>
          <w:lang w:val="zh-CN"/>
        </w:rPr>
        <w:t>服务人员未按甲方和相关规则要求操作，不服从甲方和相关规则工作安排的每次扣2分，服务过程中出现徇私舞弊的每次扣5分。</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26）</w:t>
      </w:r>
      <w:r>
        <w:rPr>
          <w:rFonts w:hint="eastAsia" w:ascii="宋体" w:hAnsi="宋体"/>
          <w:color w:val="auto"/>
          <w:kern w:val="2"/>
          <w:sz w:val="24"/>
          <w:szCs w:val="24"/>
          <w:highlight w:val="none"/>
          <w:lang w:val="zh-CN"/>
        </w:rPr>
        <w:t>如因食品烹饪不当、食材存放不当、器具消毒保洁不到位等原因造成食品安全事故的，一次扣40分。取消乙方承包资格，乙方赔偿由于事故造成的一切损失。</w:t>
      </w:r>
    </w:p>
    <w:p>
      <w:pPr>
        <w:spacing w:line="360" w:lineRule="auto"/>
        <w:ind w:firstLine="480" w:firstLineChars="200"/>
        <w:jc w:val="left"/>
        <w:rPr>
          <w:rFonts w:hint="eastAsia" w:ascii="宋体" w:hAnsi="宋体"/>
          <w:color w:val="auto"/>
          <w:kern w:val="2"/>
          <w:sz w:val="24"/>
          <w:szCs w:val="24"/>
          <w:highlight w:val="none"/>
          <w:lang w:val="zh-CN"/>
        </w:rPr>
      </w:pPr>
      <w:r>
        <w:rPr>
          <w:rFonts w:hint="eastAsia" w:ascii="宋体" w:hAnsi="宋体"/>
          <w:color w:val="auto"/>
          <w:kern w:val="2"/>
          <w:sz w:val="24"/>
          <w:szCs w:val="24"/>
          <w:highlight w:val="none"/>
        </w:rPr>
        <w:t>2、</w:t>
      </w:r>
      <w:r>
        <w:rPr>
          <w:rFonts w:hint="eastAsia" w:ascii="宋体" w:hAnsi="宋体"/>
          <w:color w:val="auto"/>
          <w:kern w:val="2"/>
          <w:sz w:val="24"/>
          <w:szCs w:val="24"/>
          <w:highlight w:val="none"/>
          <w:lang w:val="zh-CN"/>
        </w:rPr>
        <w:t>服务期内，累计两轮考核结果在60分以下的，甲方有权立即终止合同，取消乙方承包资格。</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十四、监督和管理要求</w:t>
      </w:r>
    </w:p>
    <w:p>
      <w:pPr>
        <w:spacing w:line="360" w:lineRule="auto"/>
        <w:ind w:firstLine="480" w:firstLineChars="200"/>
        <w:jc w:val="left"/>
        <w:rPr>
          <w:rFonts w:hint="eastAsia" w:ascii="宋体" w:hAnsi="宋体"/>
          <w:color w:val="auto"/>
          <w:kern w:val="2"/>
          <w:sz w:val="24"/>
          <w:szCs w:val="24"/>
          <w:highlight w:val="none"/>
        </w:rPr>
      </w:pPr>
      <w:r>
        <w:rPr>
          <w:rFonts w:hint="eastAsia" w:ascii="宋体" w:hAnsi="宋体"/>
          <w:color w:val="auto"/>
          <w:kern w:val="2"/>
          <w:sz w:val="24"/>
          <w:szCs w:val="24"/>
          <w:highlight w:val="none"/>
        </w:rPr>
        <w:t>1、各方职责：</w:t>
      </w:r>
    </w:p>
    <w:p>
      <w:pPr>
        <w:spacing w:line="360" w:lineRule="auto"/>
        <w:ind w:firstLine="240" w:firstLineChars="100"/>
        <w:jc w:val="left"/>
        <w:rPr>
          <w:rFonts w:hint="eastAsia" w:ascii="宋体" w:hAnsi="宋体" w:cs="宋体"/>
          <w:color w:val="auto"/>
          <w:kern w:val="2"/>
          <w:sz w:val="24"/>
          <w:szCs w:val="24"/>
          <w:highlight w:val="none"/>
        </w:rPr>
      </w:pPr>
      <w:r>
        <w:rPr>
          <w:rFonts w:hint="eastAsia" w:ascii="宋体" w:hAnsi="宋体"/>
          <w:color w:val="auto"/>
          <w:kern w:val="2"/>
          <w:sz w:val="24"/>
          <w:szCs w:val="24"/>
          <w:highlight w:val="none"/>
        </w:rPr>
        <w:t>（1）甲方对乙方的服务实施活动进行全过程监督、检查和管理</w:t>
      </w:r>
      <w:r>
        <w:rPr>
          <w:rFonts w:hint="eastAsia" w:ascii="宋体" w:hAnsi="宋体" w:cs="宋体"/>
          <w:color w:val="auto"/>
          <w:kern w:val="2"/>
          <w:sz w:val="24"/>
          <w:szCs w:val="24"/>
          <w:highlight w:val="none"/>
        </w:rPr>
        <w:t>。负责项目的决策和总体监督，对项目的宏观的把握和整体推进。</w:t>
      </w:r>
    </w:p>
    <w:p>
      <w:pPr>
        <w:spacing w:line="500" w:lineRule="exact"/>
        <w:ind w:firstLine="240" w:firstLineChars="1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（2）乙方承担服务项目需求调研、具体的实施工作，受到甲方的监督和管理。</w:t>
      </w:r>
    </w:p>
    <w:p>
      <w:pPr>
        <w:spacing w:line="500" w:lineRule="exact"/>
        <w:ind w:firstLine="240" w:firstLineChars="1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（3） 乙方可以在合同附件中列明在项目实施过程中需要甲方提供的配合条件。</w:t>
      </w:r>
    </w:p>
    <w:p>
      <w:pPr>
        <w:spacing w:line="500" w:lineRule="exact"/>
        <w:ind w:firstLine="468"/>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2、服务项目要求：</w:t>
      </w:r>
    </w:p>
    <w:p>
      <w:pPr>
        <w:spacing w:line="500" w:lineRule="exact"/>
        <w:ind w:firstLine="468"/>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乙方必须就甲方提供的全部内容和服务要求做出回应，提供切合该服务项目的整体解决方案，并在项目范围内完成指定的工作和负责解决全部的业务问题。乙方必须对甲方提出的有关问题和置疑作出实质性的回应。</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十五、服务期间（项目完成期限）</w:t>
      </w:r>
    </w:p>
    <w:p>
      <w:pPr>
        <w:spacing w:line="500" w:lineRule="exact"/>
        <w:ind w:firstLine="468"/>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服务期限两年（1+1模式），首年委托服务期间______年______月______日起至______年______月______日止。</w:t>
      </w:r>
    </w:p>
    <w:p>
      <w:pPr>
        <w:spacing w:line="500" w:lineRule="exact"/>
        <w:ind w:firstLine="468"/>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采取1+1服务模式签订合同，即在第一年的合同期满前二个月内，根据甲方综合考评结果，确定是否继续执行合同。如确定继续执行合同，则与乙方再续签1年合同。</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十六、验收（按招标文件，详见技术标准与要求）</w:t>
      </w:r>
    </w:p>
    <w:p>
      <w:pPr>
        <w:adjustRightInd w:val="0"/>
        <w:spacing w:line="360" w:lineRule="auto"/>
        <w:ind w:firstLine="482" w:firstLineChars="200"/>
        <w:outlineLvl w:val="2"/>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十七、履约保证金</w:t>
      </w:r>
    </w:p>
    <w:p>
      <w:pPr>
        <w:spacing w:line="500" w:lineRule="exact"/>
        <w:ind w:firstLine="468"/>
        <w:jc w:val="left"/>
        <w:rPr>
          <w:rFonts w:hint="eastAsia" w:ascii="宋体" w:hAnsi="宋体" w:cs="宋体"/>
          <w:color w:val="auto"/>
          <w:kern w:val="2"/>
          <w:sz w:val="24"/>
          <w:szCs w:val="24"/>
          <w:highlight w:val="none"/>
        </w:rPr>
      </w:pPr>
      <w:r>
        <w:rPr>
          <w:rFonts w:ascii="宋体" w:hAnsi="宋体" w:cs="宋体"/>
          <w:color w:val="auto"/>
          <w:kern w:val="2"/>
          <w:sz w:val="24"/>
          <w:szCs w:val="24"/>
          <w:highlight w:val="none"/>
        </w:rPr>
        <w:t>项目要求提供履约保证金。履约保证金为</w:t>
      </w:r>
      <w:r>
        <w:rPr>
          <w:rFonts w:hint="eastAsia" w:ascii="宋体" w:hAnsi="宋体" w:cs="宋体"/>
          <w:color w:val="auto"/>
          <w:kern w:val="2"/>
          <w:sz w:val="24"/>
          <w:szCs w:val="24"/>
          <w:highlight w:val="none"/>
        </w:rPr>
        <w:t>6万元，乙方</w:t>
      </w:r>
      <w:r>
        <w:rPr>
          <w:rFonts w:ascii="宋体" w:hAnsi="宋体" w:cs="宋体"/>
          <w:color w:val="auto"/>
          <w:kern w:val="2"/>
          <w:sz w:val="24"/>
          <w:szCs w:val="24"/>
          <w:highlight w:val="none"/>
        </w:rPr>
        <w:t>应在合同签订之日起 30 日内提交</w:t>
      </w:r>
      <w:r>
        <w:rPr>
          <w:rFonts w:hint="eastAsia" w:ascii="宋体" w:hAnsi="宋体" w:cs="宋体"/>
          <w:color w:val="auto"/>
          <w:kern w:val="2"/>
          <w:sz w:val="24"/>
          <w:szCs w:val="24"/>
          <w:highlight w:val="none"/>
        </w:rPr>
        <w:t>甲方</w:t>
      </w:r>
      <w:r>
        <w:rPr>
          <w:rFonts w:ascii="宋体" w:hAnsi="宋体" w:cs="宋体"/>
          <w:color w:val="auto"/>
          <w:kern w:val="2"/>
          <w:sz w:val="24"/>
          <w:szCs w:val="24"/>
          <w:highlight w:val="none"/>
        </w:rPr>
        <w:t>。提交方式为银行电汇、金融机构或担保机构出具的保函。在合同履行期满，扣除应扣除的款项（如有）且双方无争议后，无息返还。</w:t>
      </w:r>
    </w:p>
    <w:p>
      <w:pPr>
        <w:spacing w:line="500" w:lineRule="exact"/>
        <w:ind w:firstLine="468"/>
        <w:jc w:val="left"/>
        <w:rPr>
          <w:rFonts w:hint="eastAsia" w:ascii="宋体" w:hAnsi="宋体" w:cs="宋体"/>
          <w:color w:val="auto"/>
          <w:kern w:val="2"/>
          <w:sz w:val="24"/>
          <w:szCs w:val="24"/>
          <w:highlight w:val="none"/>
        </w:rPr>
      </w:pPr>
      <w:r>
        <w:rPr>
          <w:rFonts w:ascii="宋体" w:hAnsi="宋体" w:cs="宋体"/>
          <w:color w:val="auto"/>
          <w:kern w:val="2"/>
          <w:sz w:val="24"/>
          <w:szCs w:val="24"/>
          <w:highlight w:val="none"/>
        </w:rPr>
        <w:t>办理返还履约保证金时，</w:t>
      </w:r>
      <w:r>
        <w:rPr>
          <w:rFonts w:hint="eastAsia" w:ascii="宋体" w:hAnsi="宋体" w:cs="宋体"/>
          <w:color w:val="auto"/>
          <w:kern w:val="2"/>
          <w:sz w:val="24"/>
          <w:szCs w:val="24"/>
          <w:highlight w:val="none"/>
        </w:rPr>
        <w:t>乙方</w:t>
      </w:r>
      <w:r>
        <w:rPr>
          <w:rFonts w:ascii="宋体" w:hAnsi="宋体" w:cs="宋体"/>
          <w:color w:val="auto"/>
          <w:kern w:val="2"/>
          <w:sz w:val="24"/>
          <w:szCs w:val="24"/>
          <w:highlight w:val="none"/>
        </w:rPr>
        <w:t>应提供履约保证金返还申请</w:t>
      </w:r>
      <w:r>
        <w:rPr>
          <w:rFonts w:hint="eastAsia" w:ascii="宋体" w:hAnsi="宋体" w:cs="宋体"/>
          <w:color w:val="auto"/>
          <w:kern w:val="2"/>
          <w:sz w:val="24"/>
          <w:szCs w:val="24"/>
          <w:highlight w:val="none"/>
        </w:rPr>
        <w:t>。</w:t>
      </w:r>
      <w:r>
        <w:rPr>
          <w:rFonts w:ascii="宋体" w:hAnsi="宋体" w:cs="宋体"/>
          <w:color w:val="auto"/>
          <w:kern w:val="2"/>
          <w:sz w:val="24"/>
          <w:szCs w:val="24"/>
          <w:highlight w:val="none"/>
        </w:rPr>
        <w:t>满足履约保证金返还条件的，</w:t>
      </w:r>
      <w:r>
        <w:rPr>
          <w:rFonts w:hint="eastAsia" w:ascii="宋体" w:hAnsi="宋体" w:cs="宋体"/>
          <w:color w:val="auto"/>
          <w:kern w:val="2"/>
          <w:sz w:val="24"/>
          <w:szCs w:val="24"/>
          <w:highlight w:val="none"/>
        </w:rPr>
        <w:t>甲方</w:t>
      </w:r>
      <w:r>
        <w:rPr>
          <w:rFonts w:ascii="宋体" w:hAnsi="宋体" w:cs="宋体"/>
          <w:color w:val="auto"/>
          <w:kern w:val="2"/>
          <w:sz w:val="24"/>
          <w:szCs w:val="24"/>
          <w:highlight w:val="none"/>
        </w:rPr>
        <w:t>在收到返还相关资料后，进行核实。对核实结果无异议的，自完成核实之日起30日内，退回保函。</w:t>
      </w:r>
    </w:p>
    <w:p>
      <w:pPr>
        <w:spacing w:line="360" w:lineRule="auto"/>
        <w:ind w:firstLine="482" w:firstLineChars="200"/>
        <w:jc w:val="left"/>
        <w:rPr>
          <w:rFonts w:hint="eastAsia" w:ascii="宋体" w:hAnsi="宋体" w:cs="宋体"/>
          <w:color w:val="auto"/>
          <w:kern w:val="2"/>
          <w:sz w:val="24"/>
          <w:szCs w:val="24"/>
          <w:highlight w:val="none"/>
        </w:rPr>
      </w:pPr>
      <w:r>
        <w:rPr>
          <w:rFonts w:hint="eastAsia" w:ascii="宋体" w:hAnsi="宋体" w:cs="宋体"/>
          <w:b/>
          <w:color w:val="auto"/>
          <w:kern w:val="2"/>
          <w:sz w:val="24"/>
          <w:szCs w:val="24"/>
          <w:highlight w:val="none"/>
        </w:rPr>
        <w:t>十八、付款方式</w:t>
      </w:r>
    </w:p>
    <w:p>
      <w:pPr>
        <w:spacing w:line="500" w:lineRule="exact"/>
        <w:ind w:firstLine="468"/>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服务费按月支付，每月1-5日（节假日顺延），乙方凭发票与甲方结算上月的服务费，甲方在收到发票后10个工作日内（如遇放假或财务封账顺延）办理支付手续，以银行转账方式支付服务费给乙方。</w:t>
      </w:r>
    </w:p>
    <w:p>
      <w:pPr>
        <w:spacing w:line="500" w:lineRule="exact"/>
        <w:ind w:firstLine="468"/>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十九、知识产权产权归属</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val="zh-CN"/>
        </w:rPr>
        <w:t>乙方</w:t>
      </w:r>
      <w:r>
        <w:rPr>
          <w:rFonts w:hint="eastAsia" w:ascii="宋体" w:hAnsi="宋体" w:cs="宋体"/>
          <w:color w:val="auto"/>
          <w:kern w:val="2"/>
          <w:sz w:val="24"/>
          <w:szCs w:val="24"/>
          <w:highlight w:val="none"/>
        </w:rPr>
        <w:t>保证向甲方提供的产品不侵害任何第三方的知识产权，否则，由</w:t>
      </w:r>
      <w:r>
        <w:rPr>
          <w:rFonts w:hint="eastAsia" w:ascii="宋体" w:hAnsi="宋体" w:cs="宋体"/>
          <w:color w:val="auto"/>
          <w:kern w:val="2"/>
          <w:sz w:val="24"/>
          <w:szCs w:val="24"/>
          <w:highlight w:val="none"/>
          <w:lang w:val="zh-CN"/>
        </w:rPr>
        <w:t>乙方</w:t>
      </w:r>
      <w:r>
        <w:rPr>
          <w:rFonts w:hint="eastAsia" w:ascii="宋体" w:hAnsi="宋体" w:cs="宋体"/>
          <w:color w:val="auto"/>
          <w:kern w:val="2"/>
          <w:sz w:val="24"/>
          <w:szCs w:val="24"/>
          <w:highlight w:val="none"/>
        </w:rPr>
        <w:t>赔偿甲方由此遭受的经济损失（包括但不限于赔偿金、违约金、律师费、调查取证费、差旅费、公证费等）</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二十、违约责任与赔偿损失</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1、乙方提供的服务不符合采购文件、报价文件或本合同规定的，甲方有权拒收且无需向乙方支付未付的合同价款，乙方应当向甲方返还已支付的合同价款并且乙方须向甲方方支付本合同总价5%的违约金。</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2、乙方未能按本合同规定的交货时间提供服务，从逾期之日起每日按本合同总价3‰的数额向甲方支付违约金。</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3、甲方无正当理由拒收接受服务，到期拒付服务款项的，甲方向乙方偿付本合同总的5%的违约金。甲方人逾期付款，则每日按本合同总价的3‰向乙方偿付违约金。</w:t>
      </w:r>
    </w:p>
    <w:p>
      <w:pPr>
        <w:spacing w:line="360" w:lineRule="auto"/>
        <w:ind w:firstLine="480" w:firstLineChars="200"/>
        <w:jc w:val="left"/>
        <w:rPr>
          <w:rFonts w:hint="eastAsia" w:ascii="宋体" w:hAnsi="宋体" w:cs="宋体"/>
          <w:bCs/>
          <w:color w:val="auto"/>
          <w:kern w:val="2"/>
          <w:sz w:val="24"/>
          <w:szCs w:val="24"/>
          <w:highlight w:val="none"/>
        </w:rPr>
      </w:pPr>
      <w:r>
        <w:rPr>
          <w:rFonts w:hint="eastAsia" w:ascii="宋体" w:hAnsi="宋体" w:cs="宋体"/>
          <w:bCs/>
          <w:color w:val="auto"/>
          <w:kern w:val="2"/>
          <w:sz w:val="24"/>
          <w:szCs w:val="24"/>
          <w:highlight w:val="none"/>
        </w:rPr>
        <w:t>4、其它违约责任按《中华人民共和国民法典</w:t>
      </w:r>
      <w:r>
        <w:rPr>
          <w:rFonts w:hint="eastAsia" w:ascii="宋体" w:hAnsi="宋体" w:cs="宋体"/>
          <w:color w:val="auto"/>
          <w:kern w:val="2"/>
          <w:sz w:val="24"/>
          <w:szCs w:val="24"/>
          <w:highlight w:val="none"/>
        </w:rPr>
        <w:t>（合同编）</w:t>
      </w:r>
      <w:r>
        <w:rPr>
          <w:rFonts w:hint="eastAsia" w:ascii="宋体" w:hAnsi="宋体" w:cs="宋体"/>
          <w:bCs/>
          <w:color w:val="auto"/>
          <w:kern w:val="2"/>
          <w:sz w:val="24"/>
          <w:szCs w:val="24"/>
          <w:highlight w:val="none"/>
        </w:rPr>
        <w:t>》处理。</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二十一、争端的解决</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双方因履行本合同而发生的争议，应协商、调解解决。协商、调解不成的，</w:t>
      </w:r>
      <w:r>
        <w:rPr>
          <w:rFonts w:hint="eastAsia" w:ascii="宋体" w:hAnsi="宋体" w:cs="宋体"/>
          <w:color w:val="auto"/>
          <w:kern w:val="2"/>
          <w:sz w:val="24"/>
          <w:szCs w:val="24"/>
          <w:highlight w:val="none"/>
          <w:lang w:val="zh-CN"/>
        </w:rPr>
        <w:t xml:space="preserve"> 依法向项目所在地人民法院起诉。</w:t>
      </w:r>
    </w:p>
    <w:p>
      <w:pPr>
        <w:spacing w:line="360" w:lineRule="auto"/>
        <w:ind w:firstLine="482" w:firstLineChars="200"/>
        <w:jc w:val="left"/>
        <w:rPr>
          <w:rFonts w:hint="eastAsia" w:ascii="宋体" w:hAnsi="宋体" w:cs="宋体"/>
          <w:color w:val="auto"/>
          <w:kern w:val="2"/>
          <w:sz w:val="24"/>
          <w:szCs w:val="24"/>
          <w:highlight w:val="none"/>
        </w:rPr>
      </w:pPr>
      <w:r>
        <w:rPr>
          <w:rFonts w:hint="eastAsia" w:ascii="宋体" w:hAnsi="宋体" w:cs="宋体"/>
          <w:b/>
          <w:color w:val="auto"/>
          <w:kern w:val="2"/>
          <w:sz w:val="24"/>
          <w:szCs w:val="24"/>
          <w:highlight w:val="none"/>
        </w:rPr>
        <w:t>二十二、不可抗力：</w:t>
      </w:r>
      <w:r>
        <w:rPr>
          <w:rFonts w:hint="eastAsia" w:ascii="宋体" w:hAnsi="宋体" w:cs="宋体"/>
          <w:color w:val="auto"/>
          <w:kern w:val="2"/>
          <w:sz w:val="24"/>
          <w:szCs w:val="24"/>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firstLine="482" w:firstLineChars="200"/>
        <w:jc w:val="left"/>
        <w:rPr>
          <w:rFonts w:hint="eastAsia" w:ascii="宋体" w:hAnsi="宋体" w:cs="宋体"/>
          <w:color w:val="auto"/>
          <w:kern w:val="2"/>
          <w:sz w:val="24"/>
          <w:szCs w:val="24"/>
          <w:highlight w:val="none"/>
        </w:rPr>
      </w:pPr>
      <w:r>
        <w:rPr>
          <w:rFonts w:hint="eastAsia" w:ascii="宋体" w:hAnsi="宋体" w:cs="宋体"/>
          <w:b/>
          <w:color w:val="auto"/>
          <w:kern w:val="2"/>
          <w:sz w:val="24"/>
          <w:szCs w:val="24"/>
          <w:highlight w:val="none"/>
        </w:rPr>
        <w:t>二十三、税费：</w:t>
      </w:r>
      <w:r>
        <w:rPr>
          <w:rFonts w:hint="eastAsia" w:ascii="宋体" w:hAnsi="宋体" w:cs="宋体"/>
          <w:color w:val="auto"/>
          <w:kern w:val="2"/>
          <w:sz w:val="24"/>
          <w:szCs w:val="24"/>
          <w:highlight w:val="none"/>
        </w:rPr>
        <w:t>在中国境内、外发生的与本合同执行有关的一切税费均由乙方负担。</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二十四、其它</w:t>
      </w:r>
    </w:p>
    <w:p>
      <w:pPr>
        <w:spacing w:line="360" w:lineRule="auto"/>
        <w:ind w:firstLine="480" w:firstLineChars="200"/>
        <w:jc w:val="left"/>
        <w:rPr>
          <w:rFonts w:hint="eastAsia" w:ascii="宋体" w:hAnsi="宋体" w:cs="宋体"/>
          <w:b/>
          <w:color w:val="auto"/>
          <w:kern w:val="2"/>
          <w:sz w:val="24"/>
          <w:szCs w:val="24"/>
          <w:highlight w:val="none"/>
        </w:rPr>
      </w:pPr>
      <w:r>
        <w:rPr>
          <w:rFonts w:hint="eastAsia" w:ascii="宋体" w:hAnsi="宋体" w:cs="宋体"/>
          <w:color w:val="auto"/>
          <w:kern w:val="2"/>
          <w:sz w:val="24"/>
          <w:szCs w:val="24"/>
          <w:highlight w:val="none"/>
        </w:rPr>
        <w:t>1、本合同所有附件、采购文件、招标响应文件、中标通知书通知书均为合同的有效组成部分，与本合同具有同等法律效力。</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bCs/>
          <w:color w:val="auto"/>
          <w:kern w:val="2"/>
          <w:sz w:val="24"/>
          <w:szCs w:val="24"/>
          <w:highlight w:val="none"/>
        </w:rPr>
        <w:t>2、</w:t>
      </w:r>
      <w:r>
        <w:rPr>
          <w:rFonts w:hint="eastAsia" w:ascii="宋体" w:hAnsi="宋体" w:cs="宋体"/>
          <w:color w:val="auto"/>
          <w:kern w:val="2"/>
          <w:sz w:val="24"/>
          <w:szCs w:val="24"/>
          <w:highlight w:val="none"/>
        </w:rPr>
        <w:t>在执行本合同的过程中，所有经双方签署确认的文件（包括会议纪要、补充协议、往来信函）即成为本合同的有效组成部分。</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3、双方约定送达地址为：</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甲方：</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乙方：</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以上地址是双方认可接收与本合同有关的通知书、律师函、诉讼文书等材料的地址。</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甲方联系人：      电话：</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乙方联系人：      电话：</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 xml:space="preserve"> 如一方地址、电话、传真号码有变更，应在变更当日内书面通知对方，否则，应承担相应责任。 </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4、除甲方事先书面同意外，乙方不得部分或全部转让其应履行的合同项下的义务。</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二十五、合同生效：</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1、本合同自双方法人代表或其授权代表签字盖章之日起生效。</w:t>
      </w:r>
    </w:p>
    <w:p>
      <w:pPr>
        <w:spacing w:line="360" w:lineRule="auto"/>
        <w:ind w:firstLine="480" w:firstLineChars="200"/>
        <w:jc w:val="left"/>
        <w:rPr>
          <w:rFonts w:hint="eastAsia" w:ascii="宋体" w:hAnsi="宋体"/>
          <w:color w:val="auto"/>
          <w:kern w:val="2"/>
          <w:szCs w:val="21"/>
          <w:highlight w:val="none"/>
        </w:rPr>
      </w:pPr>
      <w:r>
        <w:rPr>
          <w:rFonts w:hint="eastAsia" w:ascii="宋体" w:hAnsi="宋体" w:cs="宋体"/>
          <w:color w:val="auto"/>
          <w:kern w:val="2"/>
          <w:sz w:val="24"/>
          <w:szCs w:val="24"/>
          <w:highlight w:val="none"/>
        </w:rPr>
        <w:t>2、合同一式</w:t>
      </w:r>
      <w:r>
        <w:rPr>
          <w:rFonts w:hint="eastAsia" w:ascii="宋体" w:hAnsi="宋体" w:cs="宋体"/>
          <w:color w:val="auto"/>
          <w:kern w:val="2"/>
          <w:sz w:val="24"/>
          <w:szCs w:val="24"/>
          <w:highlight w:val="none"/>
          <w:u w:val="single"/>
        </w:rPr>
        <w:t xml:space="preserve">    </w:t>
      </w:r>
      <w:r>
        <w:rPr>
          <w:rFonts w:hint="eastAsia" w:ascii="宋体" w:hAnsi="宋体" w:cs="宋体"/>
          <w:color w:val="auto"/>
          <w:kern w:val="2"/>
          <w:sz w:val="24"/>
          <w:szCs w:val="24"/>
          <w:highlight w:val="none"/>
        </w:rPr>
        <w:t>份。（成交供应商须提供一份合同原件送到招标代理机构备案存档）</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甲方（盖章）：                        乙方（盖章）：</w:t>
      </w:r>
    </w:p>
    <w:p>
      <w:pPr>
        <w:spacing w:line="360" w:lineRule="auto"/>
        <w:ind w:firstLine="482" w:firstLineChars="200"/>
        <w:jc w:val="left"/>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 xml:space="preserve">法人代表（签字）：                    法人代表（签字）： </w:t>
      </w:r>
    </w:p>
    <w:p>
      <w:pPr>
        <w:spacing w:line="360" w:lineRule="auto"/>
        <w:ind w:firstLine="482" w:firstLineChars="200"/>
        <w:jc w:val="left"/>
        <w:rPr>
          <w:rFonts w:hint="eastAsia" w:ascii="宋体" w:hAnsi="宋体" w:cs="宋体"/>
          <w:color w:val="auto"/>
          <w:kern w:val="2"/>
          <w:sz w:val="24"/>
          <w:szCs w:val="24"/>
          <w:highlight w:val="none"/>
        </w:rPr>
      </w:pPr>
      <w:r>
        <w:rPr>
          <w:rFonts w:hint="eastAsia" w:ascii="宋体" w:hAnsi="宋体" w:cs="宋体"/>
          <w:b/>
          <w:color w:val="auto"/>
          <w:kern w:val="2"/>
          <w:sz w:val="24"/>
          <w:szCs w:val="24"/>
          <w:highlight w:val="none"/>
        </w:rPr>
        <w:t>或授权代表人（签字）：                或授权代表人（签字）：</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签订地点：</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 xml:space="preserve">签订日期：     年     月    日      签订日期：   年    月     日    </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开户名称：</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银行帐号：</w:t>
      </w:r>
    </w:p>
    <w:p>
      <w:pPr>
        <w:spacing w:line="360" w:lineRule="auto"/>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开 户 行：</w:t>
      </w:r>
    </w:p>
    <w:p>
      <w:pPr>
        <w:spacing w:line="360" w:lineRule="auto"/>
        <w:rPr>
          <w:rFonts w:hint="eastAsia" w:ascii="宋体" w:hAnsi="宋体" w:cs="宋体"/>
          <w:b/>
          <w:color w:val="auto"/>
          <w:spacing w:val="40"/>
          <w:kern w:val="2"/>
          <w:sz w:val="24"/>
          <w:szCs w:val="24"/>
          <w:highlight w:val="none"/>
        </w:rPr>
      </w:pPr>
      <w:r>
        <w:rPr>
          <w:rFonts w:hint="eastAsia" w:ascii="宋体" w:hAnsi="宋体" w:cs="宋体"/>
          <w:b/>
          <w:color w:val="auto"/>
          <w:spacing w:val="40"/>
          <w:kern w:val="2"/>
          <w:sz w:val="24"/>
          <w:szCs w:val="24"/>
          <w:highlight w:val="none"/>
        </w:rPr>
        <w:t>合同附件</w:t>
      </w:r>
    </w:p>
    <w:p>
      <w:pPr>
        <w:spacing w:line="360" w:lineRule="auto"/>
        <w:ind w:left="945" w:hanging="945"/>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（略）</w:t>
      </w:r>
    </w:p>
    <w:p>
      <w:pPr>
        <w:spacing w:line="360" w:lineRule="auto"/>
        <w:ind w:left="945" w:hanging="945"/>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附注：</w:t>
      </w:r>
    </w:p>
    <w:p>
      <w:pPr>
        <w:spacing w:line="360" w:lineRule="auto"/>
        <w:ind w:left="240" w:hanging="24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1.本合同所有附件均在签订合同时编制，编制依据为招标文件和成交供应商的招标响应文件及相关确认文件；</w:t>
      </w:r>
    </w:p>
    <w:p>
      <w:pPr>
        <w:spacing w:line="360" w:lineRule="auto"/>
        <w:rPr>
          <w:rFonts w:hint="eastAsia" w:ascii="宋体" w:hAnsi="宋体" w:cs="宋体"/>
          <w:bCs/>
          <w:color w:val="auto"/>
          <w:sz w:val="24"/>
          <w:highlight w:val="none"/>
        </w:rPr>
      </w:pPr>
      <w:r>
        <w:rPr>
          <w:rFonts w:hint="eastAsia" w:ascii="宋体" w:hAnsi="宋体" w:cs="宋体"/>
          <w:color w:val="auto"/>
          <w:kern w:val="2"/>
          <w:sz w:val="24"/>
          <w:szCs w:val="24"/>
          <w:highlight w:val="none"/>
        </w:rPr>
        <w:t>2.合同附件的具体内容由甲乙双方在签订合同时确定。</w:t>
      </w:r>
      <w:r>
        <w:rPr>
          <w:rFonts w:hint="eastAsia" w:ascii="宋体" w:hAnsi="宋体" w:cs="宋体"/>
          <w:bCs/>
          <w:color w:val="auto"/>
          <w:sz w:val="24"/>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sectPr>
          <w:pgSz w:w="11906" w:h="16838"/>
          <w:pgMar w:top="1440" w:right="1752" w:bottom="1440" w:left="1752"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bidi w:val="0"/>
        <w:rPr>
          <w:rFonts w:hint="eastAsia" w:ascii="华文中宋" w:hAnsi="华文中宋" w:eastAsia="华文中宋" w:cs="华文中宋"/>
          <w:color w:val="auto"/>
          <w:sz w:val="28"/>
          <w:szCs w:val="28"/>
          <w:highlight w:val="none"/>
        </w:rPr>
      </w:pPr>
      <w:bookmarkStart w:id="60" w:name="_Toc132880284"/>
      <w:r>
        <w:rPr>
          <w:rFonts w:hint="eastAsia" w:ascii="华文中宋" w:hAnsi="华文中宋" w:eastAsia="华文中宋" w:cs="华文中宋"/>
          <w:color w:val="auto"/>
          <w:sz w:val="28"/>
          <w:szCs w:val="28"/>
          <w:highlight w:val="none"/>
        </w:rPr>
        <w:t>第五章　投标文件格式</w:t>
      </w:r>
      <w:bookmarkEnd w:id="60"/>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投标人必须按下列文本格式，如实提供具有法律效力的资格证明文件和真实有效的其他文件资料，任何不按下列文本格式提供或有实质性变更将由投标人承担风险。</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1.投标人应严格按照本章规定填写和提交全部格式文件以及其他有关资料，混乱的编排导致投标文件被误读或查找不到，后果由投标人承担。</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2.所附表格中要求回答的全部问题和信息都必须正面回答。</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3.资格声明文件的签字人应保证全部声明和问题的回答是真实的和准确的。</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4.评标委员会将应用投标人提交的资料并根据自己的判断，决定投标人履行合同的合格性及能力。</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5.全部文件应按投标人须知中规定的语言提交。</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6.以下格式文件为要求填写内容的固定格式，投标人不得擅自修改格式，其他未提供格式的文件和资料由投标人自行设计编制格式填写。</w:t>
      </w:r>
    </w:p>
    <w:p>
      <w:pPr>
        <w:adjustRightInd w:val="0"/>
        <w:snapToGrid w:val="0"/>
        <w:spacing w:beforeLines="20" w:after="4" w:line="360" w:lineRule="auto"/>
        <w:ind w:firstLine="422" w:firstLineChars="200"/>
        <w:jc w:val="center"/>
        <w:rPr>
          <w:b/>
          <w:bCs/>
          <w:color w:val="auto"/>
          <w:highlight w:val="none"/>
        </w:rPr>
      </w:pPr>
    </w:p>
    <w:p>
      <w:pPr>
        <w:ind w:firstLine="422" w:firstLineChars="200"/>
        <w:jc w:val="center"/>
        <w:rPr>
          <w:b/>
          <w:bCs/>
          <w:color w:val="auto"/>
          <w:highlight w:val="none"/>
        </w:rPr>
      </w:pPr>
    </w:p>
    <w:p>
      <w:pPr>
        <w:rPr>
          <w:color w:val="auto"/>
          <w:highlight w:val="none"/>
        </w:rPr>
      </w:pPr>
    </w:p>
    <w:p>
      <w:pPr>
        <w:rPr>
          <w:b/>
          <w:bCs/>
          <w:color w:val="auto"/>
          <w:highlight w:val="none"/>
        </w:rPr>
      </w:pPr>
    </w:p>
    <w:p>
      <w:pPr>
        <w:adjustRightInd w:val="0"/>
        <w:snapToGrid w:val="0"/>
        <w:spacing w:after="0" w:line="360" w:lineRule="auto"/>
        <w:jc w:val="center"/>
        <w:rPr>
          <w:b/>
          <w:bCs/>
          <w:color w:val="auto"/>
          <w:highlight w:val="none"/>
        </w:rPr>
      </w:pPr>
      <w:r>
        <w:rPr>
          <w:rFonts w:hint="eastAsia"/>
          <w:b/>
          <w:bCs/>
          <w:color w:val="auto"/>
          <w:highlight w:val="none"/>
        </w:rPr>
        <w:br w:type="page"/>
      </w:r>
    </w:p>
    <w:p>
      <w:pPr>
        <w:spacing w:line="600" w:lineRule="auto"/>
        <w:jc w:val="center"/>
        <w:rPr>
          <w:rFonts w:ascii="宋体" w:hAnsi="宋体"/>
          <w:b/>
          <w:color w:val="auto"/>
          <w:kern w:val="0"/>
          <w:sz w:val="44"/>
          <w:szCs w:val="44"/>
          <w:highlight w:val="none"/>
        </w:rPr>
      </w:pPr>
    </w:p>
    <w:p>
      <w:pPr>
        <w:spacing w:line="600" w:lineRule="auto"/>
        <w:jc w:val="center"/>
        <w:rPr>
          <w:rFonts w:hint="eastAsia" w:ascii="华文中宋" w:hAnsi="华文中宋" w:eastAsia="华文中宋" w:cs="华文中宋"/>
          <w:b w:val="0"/>
          <w:bCs/>
          <w:color w:val="auto"/>
          <w:kern w:val="0"/>
          <w:sz w:val="32"/>
          <w:szCs w:val="32"/>
          <w:highlight w:val="none"/>
        </w:rPr>
      </w:pPr>
    </w:p>
    <w:p>
      <w:pPr>
        <w:spacing w:line="600" w:lineRule="auto"/>
        <w:jc w:val="center"/>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投  标  文  件</w:t>
      </w:r>
    </w:p>
    <w:p>
      <w:pPr>
        <w:spacing w:line="600" w:lineRule="auto"/>
        <w:jc w:val="center"/>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商务部分</w:t>
      </w:r>
    </w:p>
    <w:p>
      <w:pPr>
        <w:spacing w:line="360" w:lineRule="auto"/>
        <w:ind w:firstLine="640" w:firstLineChars="200"/>
        <w:jc w:val="center"/>
        <w:rPr>
          <w:rFonts w:ascii="宋体" w:hAnsi="宋体"/>
          <w:color w:val="auto"/>
          <w:kern w:val="0"/>
          <w:sz w:val="32"/>
          <w:szCs w:val="32"/>
          <w:highlight w:val="none"/>
        </w:rPr>
      </w:pPr>
    </w:p>
    <w:p>
      <w:pPr>
        <w:spacing w:line="360" w:lineRule="auto"/>
        <w:jc w:val="center"/>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（填写正本或副本）</w:t>
      </w:r>
    </w:p>
    <w:p>
      <w:pPr>
        <w:spacing w:line="360" w:lineRule="auto"/>
        <w:ind w:firstLine="480" w:firstLineChars="200"/>
        <w:jc w:val="center"/>
        <w:rPr>
          <w:rFonts w:hint="eastAsia" w:ascii="方正小标宋简体" w:hAnsi="方正小标宋简体" w:eastAsia="方正小标宋简体" w:cs="方正小标宋简体"/>
          <w:b w:val="0"/>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项目名称：</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项目编号：</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所投采购包：</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480" w:firstLineChars="200"/>
        <w:jc w:val="center"/>
        <w:textAlignment w:val="auto"/>
        <w:rPr>
          <w:rFonts w:hint="eastAsia" w:ascii="方正小标宋简体" w:hAnsi="方正小标宋简体" w:eastAsia="方正小标宋简体" w:cs="方正小标宋简体"/>
          <w:b w:val="0"/>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投标人：</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日  期：</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widowControl/>
        <w:spacing w:after="0" w:line="240" w:lineRule="auto"/>
        <w:jc w:val="left"/>
        <w:rPr>
          <w:rFonts w:ascii="宋体" w:hAnsi="宋体" w:cs="宋体"/>
          <w:b/>
          <w:bCs/>
          <w:color w:val="auto"/>
          <w:sz w:val="36"/>
          <w:szCs w:val="36"/>
          <w:highlight w:val="none"/>
        </w:rPr>
      </w:pPr>
      <w:r>
        <w:rPr>
          <w:rFonts w:ascii="宋体" w:hAnsi="宋体" w:cs="宋体"/>
          <w:b/>
          <w:bCs/>
          <w:color w:val="auto"/>
          <w:sz w:val="36"/>
          <w:szCs w:val="36"/>
          <w:highlight w:val="none"/>
        </w:rPr>
        <w:br w:type="page"/>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格式1  授权委托书</w:t>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1-1法定代表人授权委托书</w:t>
      </w:r>
    </w:p>
    <w:p>
      <w:pPr>
        <w:adjustRightInd w:val="0"/>
        <w:snapToGrid w:val="0"/>
        <w:spacing w:after="0" w:line="360" w:lineRule="auto"/>
        <w:jc w:val="center"/>
        <w:rPr>
          <w:rFonts w:ascii="宋体" w:hAnsi="宋体" w:cs="宋体"/>
          <w:b/>
          <w:bCs/>
          <w:color w:val="auto"/>
          <w:sz w:val="24"/>
          <w:highlight w:val="none"/>
        </w:rPr>
      </w:pPr>
      <w:r>
        <w:rPr>
          <w:rFonts w:ascii="宋体" w:hAnsi="宋体" w:cs="宋体"/>
          <w:b w:val="0"/>
          <w:bCs w:val="0"/>
          <w:color w:val="auto"/>
          <w:sz w:val="21"/>
          <w:szCs w:val="21"/>
          <w:highlight w:val="none"/>
        </w:rPr>
        <w:t>(</w:t>
      </w:r>
      <w:r>
        <w:rPr>
          <w:rFonts w:hint="eastAsia" w:ascii="宋体" w:hAnsi="宋体" w:cs="宋体"/>
          <w:b w:val="0"/>
          <w:bCs w:val="0"/>
          <w:color w:val="auto"/>
          <w:sz w:val="21"/>
          <w:szCs w:val="21"/>
          <w:highlight w:val="none"/>
        </w:rPr>
        <w:t>适用于授权代表参加投标</w:t>
      </w:r>
      <w:r>
        <w:rPr>
          <w:rFonts w:ascii="宋体" w:hAnsi="宋体" w:cs="宋体"/>
          <w:b w:val="0"/>
          <w:bCs w:val="0"/>
          <w:color w:val="auto"/>
          <w:sz w:val="21"/>
          <w:szCs w:val="21"/>
          <w:highlight w:val="none"/>
        </w:rPr>
        <w:t>)</w:t>
      </w:r>
    </w:p>
    <w:p>
      <w:pPr>
        <w:pStyle w:val="8"/>
        <w:rPr>
          <w:rFonts w:ascii="Times New Roman" w:hAnsi="Times New Roman" w:eastAsia="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color w:val="auto"/>
          <w:highlight w:val="none"/>
        </w:rPr>
        <w:t>致____________(采购人或采购代理机构)：</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本授权书声明：注册于___________（投标人住址）的___________（投标人名称）法定代表人_______（姓名、职务）代表本公司授权_______（被授权投标代表姓名、职务）为本公司的合法投标代表，就贵方组织的《</w:t>
      </w:r>
      <w:r>
        <w:rPr>
          <w:rFonts w:hint="eastAsia" w:ascii="宋体" w:hAnsi="宋体" w:cs="宋体"/>
          <w:color w:val="auto"/>
          <w:sz w:val="21"/>
          <w:szCs w:val="21"/>
          <w:highlight w:val="none"/>
          <w:u w:val="single"/>
        </w:rPr>
        <w:t xml:space="preserve">          项目</w:t>
      </w:r>
      <w:r>
        <w:rPr>
          <w:rFonts w:hint="eastAsia" w:ascii="宋体" w:hAnsi="宋体" w:cs="宋体"/>
          <w:color w:val="auto"/>
          <w:sz w:val="21"/>
          <w:szCs w:val="21"/>
          <w:highlight w:val="none"/>
        </w:rPr>
        <w:t>》（项目编号：_______）投标、合同的执行，以本公司名义处理一切与之有关的事务。</w:t>
      </w:r>
    </w:p>
    <w:p>
      <w:pPr>
        <w:keepNext w:val="0"/>
        <w:keepLines w:val="0"/>
        <w:pageBreakBefore w:val="0"/>
        <w:widowControl w:val="0"/>
        <w:kinsoku/>
        <w:wordWrap/>
        <w:overflowPunct/>
        <w:topLinePunct/>
        <w:autoSpaceDE w:val="0"/>
        <w:autoSpaceDN w:val="0"/>
        <w:bidi w:val="0"/>
        <w:adjustRightInd w:val="0"/>
        <w:snapToGrid w:val="0"/>
        <w:spacing w:after="0" w:line="360" w:lineRule="auto"/>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本授权书于______年______月_____日生效，特此声明。</w:t>
      </w:r>
    </w:p>
    <w:p>
      <w:pPr>
        <w:pStyle w:val="8"/>
        <w:keepNext w:val="0"/>
        <w:keepLines w:val="0"/>
        <w:pageBreakBefore w:val="0"/>
        <w:widowControl w:val="0"/>
        <w:kinsoku/>
        <w:wordWrap/>
        <w:overflowPunct/>
        <w:bidi w:val="0"/>
        <w:adjustRightInd w:val="0"/>
        <w:snapToGrid w:val="0"/>
        <w:spacing w:line="360" w:lineRule="auto"/>
        <w:ind w:firstLine="420" w:firstLineChars="200"/>
        <w:textAlignment w:val="auto"/>
        <w:rPr>
          <w:rFonts w:hAnsi="宋体" w:cs="宋体"/>
          <w:color w:val="auto"/>
          <w:sz w:val="21"/>
          <w:szCs w:val="21"/>
          <w:highlight w:val="none"/>
        </w:rPr>
      </w:pPr>
      <w:r>
        <w:rPr>
          <w:rFonts w:hint="eastAsia" w:hAnsi="宋体" w:cs="宋体"/>
          <w:color w:val="auto"/>
          <w:sz w:val="21"/>
          <w:szCs w:val="21"/>
          <w:highlight w:val="none"/>
        </w:rPr>
        <w:t>被授权投标代表无转委托权。</w:t>
      </w:r>
    </w:p>
    <w:p>
      <w:pPr>
        <w:pStyle w:val="8"/>
        <w:adjustRightInd w:val="0"/>
        <w:snapToGrid w:val="0"/>
        <w:spacing w:line="360" w:lineRule="auto"/>
        <w:rPr>
          <w:rFonts w:hAnsi="宋体" w:cs="宋体"/>
          <w:color w:val="auto"/>
          <w:highlight w:val="none"/>
        </w:rPr>
      </w:pPr>
    </w:p>
    <w:tbl>
      <w:tblPr>
        <w:tblStyle w:val="13"/>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9" w:type="dxa"/>
            <w:noWrap/>
            <w:vAlign w:val="center"/>
          </w:tcPr>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r>
              <w:rPr>
                <w:rFonts w:hint="eastAsia" w:hAnsi="宋体" w:cs="宋体"/>
                <w:b/>
                <w:color w:val="auto"/>
                <w:highlight w:val="none"/>
              </w:rPr>
              <w:t>被授权投标代表</w:t>
            </w:r>
            <w:r>
              <w:rPr>
                <w:rFonts w:hint="eastAsia" w:hAnsi="宋体" w:cs="宋体"/>
                <w:color w:val="auto"/>
                <w:highlight w:val="none"/>
              </w:rPr>
              <w:t>身份证复印件</w:t>
            </w: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tc>
      </w:tr>
    </w:tbl>
    <w:p>
      <w:pPr>
        <w:pStyle w:val="8"/>
        <w:adjustRightInd w:val="0"/>
        <w:snapToGrid w:val="0"/>
        <w:spacing w:line="360" w:lineRule="auto"/>
        <w:jc w:val="left"/>
        <w:rPr>
          <w:rFonts w:hAnsi="宋体" w:cs="宋体"/>
          <w:color w:val="auto"/>
          <w:highlight w:val="none"/>
        </w:rPr>
      </w:pP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投标人名称（公章）：________________</w:t>
      </w: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法定代表人（签字或签章）：________________</w:t>
      </w: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被授权投标代表（签字）：________________</w:t>
      </w: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被授权投标代表联系电话：____________</w:t>
      </w:r>
    </w:p>
    <w:p>
      <w:pPr>
        <w:keepNext w:val="0"/>
        <w:keepLines w:val="0"/>
        <w:pageBreakBefore w:val="0"/>
        <w:widowControl w:val="0"/>
        <w:tabs>
          <w:tab w:val="left" w:pos="1230"/>
        </w:tabs>
        <w:kinsoku/>
        <w:wordWrap/>
        <w:overflowPunct/>
        <w:topLinePunct/>
        <w:autoSpaceDE w:val="0"/>
        <w:autoSpaceDN w:val="0"/>
        <w:bidi w:val="0"/>
        <w:adjustRightInd w:val="0"/>
        <w:snapToGrid w:val="0"/>
        <w:spacing w:after="0" w:line="360" w:lineRule="auto"/>
        <w:ind w:left="363"/>
        <w:textAlignment w:val="auto"/>
        <w:rPr>
          <w:rFonts w:ascii="宋体" w:hAnsi="宋体" w:cs="宋体"/>
          <w:color w:val="auto"/>
          <w:sz w:val="21"/>
          <w:szCs w:val="21"/>
          <w:highlight w:val="none"/>
        </w:rPr>
      </w:pPr>
      <w:r>
        <w:rPr>
          <w:rFonts w:hint="eastAsia" w:ascii="宋体" w:hAnsi="宋体" w:cs="宋体"/>
          <w:color w:val="auto"/>
          <w:sz w:val="21"/>
          <w:szCs w:val="21"/>
          <w:highlight w:val="none"/>
        </w:rPr>
        <w:t>日期：____________</w:t>
      </w:r>
    </w:p>
    <w:p>
      <w:pPr>
        <w:topLinePunct/>
        <w:autoSpaceDE w:val="0"/>
        <w:autoSpaceDN w:val="0"/>
        <w:adjustRightInd w:val="0"/>
        <w:snapToGrid w:val="0"/>
        <w:spacing w:after="0" w:line="360" w:lineRule="auto"/>
        <w:jc w:val="left"/>
        <w:rPr>
          <w:rFonts w:hint="default" w:ascii="Times New Roman" w:hAnsi="Times New Roman" w:cs="Times New Roman"/>
          <w:color w:val="auto"/>
          <w:highlight w:val="none"/>
        </w:rPr>
      </w:pPr>
    </w:p>
    <w:p>
      <w:pPr>
        <w:topLinePunct/>
        <w:autoSpaceDE w:val="0"/>
        <w:autoSpaceDN w:val="0"/>
        <w:adjustRightInd w:val="0"/>
        <w:snapToGrid w:val="0"/>
        <w:spacing w:after="0" w:line="360" w:lineRule="auto"/>
        <w:jc w:val="left"/>
        <w:rPr>
          <w:rFonts w:hint="default" w:ascii="Times New Roman" w:hAnsi="Times New Roman" w:cs="Times New Roman"/>
          <w:i/>
          <w:iCs/>
          <w:color w:val="auto"/>
          <w:highlight w:val="none"/>
        </w:rPr>
      </w:pPr>
      <w:r>
        <w:rPr>
          <w:rFonts w:hint="default" w:ascii="Times New Roman" w:hAnsi="Times New Roman" w:cs="Times New Roman"/>
          <w:color w:val="auto"/>
          <w:highlight w:val="none"/>
        </w:rPr>
        <w:t>特别说明：</w:t>
      </w:r>
    </w:p>
    <w:p>
      <w:pPr>
        <w:tabs>
          <w:tab w:val="left" w:pos="312"/>
        </w:tabs>
        <w:topLinePunct/>
        <w:autoSpaceDE w:val="0"/>
        <w:autoSpaceDN w:val="0"/>
        <w:adjustRightInd w:val="0"/>
        <w:snapToGrid w:val="0"/>
        <w:spacing w:after="0" w:line="360" w:lineRule="auto"/>
        <w:ind w:firstLine="420" w:firstLineChars="200"/>
        <w:rPr>
          <w:rFonts w:ascii="宋体" w:hAnsi="宋体" w:cs="宋体"/>
          <w:color w:val="auto"/>
          <w:highlight w:val="none"/>
        </w:rPr>
      </w:pPr>
      <w:r>
        <w:rPr>
          <w:rFonts w:hint="default" w:ascii="Times New Roman" w:hAnsi="Times New Roman" w:cs="Times New Roman"/>
          <w:color w:val="auto"/>
          <w:highlight w:val="none"/>
        </w:rPr>
        <w:t>1.投标人如由被授权投标代表参与投标活动的，须同时提供《法定代表人授权委托书》和被授权投标代表身份证复印件</w:t>
      </w:r>
      <w:r>
        <w:rPr>
          <w:rFonts w:hint="default" w:ascii="Times New Roman" w:hAnsi="Times New Roman" w:cs="Times New Roman"/>
          <w:bCs/>
          <w:color w:val="auto"/>
          <w:szCs w:val="21"/>
          <w:highlight w:val="none"/>
        </w:rPr>
        <w:t>（线上采购项目提供扫描件，下同）</w:t>
      </w:r>
      <w:r>
        <w:rPr>
          <w:rFonts w:hint="default" w:ascii="Times New Roman" w:hAnsi="Times New Roman" w:cs="Times New Roman"/>
          <w:color w:val="auto"/>
          <w:highlight w:val="none"/>
        </w:rPr>
        <w:t>。《法定代表人授权委托书》应当按本格式要求加盖与投标人名称全称一致的标准公章，并签署法定代表人或被授权投标代表的全名或加盖名章</w:t>
      </w:r>
      <w:r>
        <w:rPr>
          <w:rFonts w:hint="default" w:ascii="Times New Roman" w:hAnsi="Times New Roman" w:cs="Times New Roman"/>
          <w:color w:val="auto"/>
          <w:szCs w:val="21"/>
          <w:highlight w:val="none"/>
        </w:rPr>
        <w:t>。(线上采购项目应上传扫描件)</w:t>
      </w:r>
      <w:r>
        <w:rPr>
          <w:rFonts w:hint="default" w:ascii="Times New Roman" w:hAnsi="Times New Roman" w:cs="Times New Roman"/>
          <w:color w:val="auto"/>
          <w:highlight w:val="none"/>
        </w:rPr>
        <w:t>。</w:t>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1-2法定代表人身份证明复印件</w:t>
      </w:r>
    </w:p>
    <w:p>
      <w:pPr>
        <w:adjustRightInd w:val="0"/>
        <w:snapToGrid w:val="0"/>
        <w:spacing w:after="0" w:line="360" w:lineRule="auto"/>
        <w:jc w:val="center"/>
        <w:rPr>
          <w:rFonts w:ascii="宋体" w:hAnsi="宋体" w:cs="宋体"/>
          <w:b w:val="0"/>
          <w:bCs w:val="0"/>
          <w:color w:val="auto"/>
          <w:sz w:val="21"/>
          <w:szCs w:val="21"/>
          <w:highlight w:val="none"/>
        </w:rPr>
      </w:pPr>
      <w:r>
        <w:rPr>
          <w:rFonts w:ascii="宋体" w:hAnsi="宋体" w:cs="宋体"/>
          <w:b w:val="0"/>
          <w:bCs w:val="0"/>
          <w:color w:val="auto"/>
          <w:sz w:val="21"/>
          <w:szCs w:val="21"/>
          <w:highlight w:val="none"/>
        </w:rPr>
        <w:t>(适用于法定代表人参加投标)</w:t>
      </w:r>
    </w:p>
    <w:p>
      <w:pPr>
        <w:topLinePunct/>
        <w:autoSpaceDE w:val="0"/>
        <w:autoSpaceDN w:val="0"/>
        <w:adjustRightInd w:val="0"/>
        <w:snapToGrid w:val="0"/>
        <w:spacing w:after="0" w:line="360" w:lineRule="auto"/>
        <w:ind w:firstLine="420" w:firstLineChars="200"/>
        <w:rPr>
          <w:color w:val="auto"/>
          <w:highlight w:val="none"/>
        </w:rPr>
      </w:pPr>
    </w:p>
    <w:tbl>
      <w:tblPr>
        <w:tblStyle w:val="13"/>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9" w:type="dxa"/>
            <w:noWrap/>
            <w:vAlign w:val="center"/>
          </w:tcPr>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r>
              <w:rPr>
                <w:rFonts w:hAnsi="宋体" w:cs="宋体"/>
                <w:color w:val="auto"/>
                <w:highlight w:val="none"/>
              </w:rPr>
              <w:t>法定代表人身份证明复印件</w:t>
            </w: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p>
            <w:pPr>
              <w:pStyle w:val="8"/>
              <w:adjustRightInd w:val="0"/>
              <w:snapToGrid w:val="0"/>
              <w:spacing w:line="360" w:lineRule="auto"/>
              <w:jc w:val="center"/>
              <w:rPr>
                <w:rFonts w:hAnsi="宋体" w:cs="宋体"/>
                <w:color w:val="auto"/>
                <w:highlight w:val="none"/>
              </w:rPr>
            </w:pPr>
          </w:p>
        </w:tc>
      </w:tr>
    </w:tbl>
    <w:p>
      <w:pPr>
        <w:topLinePunct/>
        <w:autoSpaceDE w:val="0"/>
        <w:autoSpaceDN w:val="0"/>
        <w:adjustRightInd w:val="0"/>
        <w:snapToGrid w:val="0"/>
        <w:spacing w:after="0" w:line="360" w:lineRule="auto"/>
        <w:jc w:val="left"/>
        <w:rPr>
          <w:rFonts w:eastAsia="仿宋_GB2312"/>
          <w:color w:val="auto"/>
          <w:highlight w:val="none"/>
        </w:rPr>
      </w:pPr>
    </w:p>
    <w:p>
      <w:pPr>
        <w:topLinePunct/>
        <w:autoSpaceDE w:val="0"/>
        <w:autoSpaceDN w:val="0"/>
        <w:adjustRightInd w:val="0"/>
        <w:snapToGrid w:val="0"/>
        <w:spacing w:after="0" w:line="360" w:lineRule="auto"/>
        <w:jc w:val="left"/>
        <w:rPr>
          <w:rFonts w:ascii="宋体" w:hAnsi="宋体" w:cs="宋体"/>
          <w:i/>
          <w:iCs/>
          <w:color w:val="auto"/>
          <w:highlight w:val="none"/>
        </w:rPr>
      </w:pPr>
      <w:r>
        <w:rPr>
          <w:rFonts w:hint="eastAsia" w:ascii="宋体" w:hAnsi="宋体" w:cs="宋体"/>
          <w:color w:val="auto"/>
          <w:highlight w:val="none"/>
        </w:rPr>
        <w:t>特别说明：</w:t>
      </w:r>
    </w:p>
    <w:p>
      <w:pPr>
        <w:tabs>
          <w:tab w:val="left" w:pos="312"/>
        </w:tabs>
        <w:topLinePunct/>
        <w:autoSpaceDE w:val="0"/>
        <w:autoSpaceDN w:val="0"/>
        <w:adjustRightInd w:val="0"/>
        <w:snapToGrid w:val="0"/>
        <w:spacing w:after="0" w:line="360" w:lineRule="auto"/>
        <w:ind w:firstLine="420" w:firstLineChars="200"/>
        <w:rPr>
          <w:rFonts w:ascii="宋体" w:hAnsi="宋体" w:cs="宋体"/>
          <w:color w:val="auto"/>
          <w:highlight w:val="none"/>
        </w:rPr>
      </w:pPr>
      <w:r>
        <w:rPr>
          <w:rFonts w:hint="eastAsia" w:ascii="宋体" w:hAnsi="宋体" w:cs="宋体"/>
          <w:color w:val="auto"/>
          <w:highlight w:val="none"/>
        </w:rPr>
        <w:t>投标人如由</w:t>
      </w:r>
      <w:r>
        <w:rPr>
          <w:rFonts w:hint="eastAsia" w:ascii="宋体" w:hAnsi="宋体" w:cs="宋体"/>
          <w:b/>
          <w:bCs/>
          <w:color w:val="auto"/>
          <w:highlight w:val="none"/>
        </w:rPr>
        <w:t>法定代表人作为投标代表参与投标活动的，仅须提供法定代表人身份证复印件</w:t>
      </w:r>
      <w:r>
        <w:rPr>
          <w:rFonts w:hint="eastAsia" w:ascii="宋体" w:hAnsi="宋体" w:cs="宋体"/>
          <w:bCs/>
          <w:color w:val="auto"/>
          <w:szCs w:val="21"/>
          <w:highlight w:val="none"/>
        </w:rPr>
        <w:t>（线上采购项目提供扫描件，下同）</w:t>
      </w:r>
      <w:r>
        <w:rPr>
          <w:rFonts w:hint="eastAsia" w:ascii="宋体" w:hAnsi="宋体" w:cs="宋体"/>
          <w:color w:val="auto"/>
          <w:highlight w:val="none"/>
        </w:rPr>
        <w:t>。</w:t>
      </w:r>
    </w:p>
    <w:p>
      <w:pPr>
        <w:pStyle w:val="8"/>
        <w:ind w:firstLine="420" w:firstLineChars="200"/>
        <w:rPr>
          <w:rFonts w:ascii="Times New Roman" w:hAnsi="Times New Roman" w:eastAsia="仿宋_GB2312"/>
          <w:color w:val="auto"/>
          <w:highlight w:val="none"/>
        </w:rPr>
      </w:pPr>
    </w:p>
    <w:p>
      <w:pPr>
        <w:widowControl/>
        <w:spacing w:after="0" w:line="240" w:lineRule="auto"/>
        <w:jc w:val="left"/>
        <w:rPr>
          <w:rFonts w:ascii="宋体" w:hAnsi="宋体" w:cs="宋体"/>
          <w:b/>
          <w:bCs/>
          <w:color w:val="auto"/>
          <w:sz w:val="36"/>
          <w:szCs w:val="36"/>
          <w:highlight w:val="none"/>
        </w:rPr>
      </w:pPr>
      <w:r>
        <w:rPr>
          <w:rFonts w:ascii="宋体" w:hAnsi="宋体" w:cs="宋体"/>
          <w:b/>
          <w:bCs/>
          <w:color w:val="auto"/>
          <w:sz w:val="36"/>
          <w:szCs w:val="36"/>
          <w:highlight w:val="none"/>
        </w:rPr>
        <w:br w:type="page"/>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1-3自然人授权委托书</w:t>
      </w:r>
    </w:p>
    <w:p>
      <w:pPr>
        <w:adjustRightInd w:val="0"/>
        <w:snapToGrid w:val="0"/>
        <w:spacing w:after="0" w:line="360" w:lineRule="auto"/>
        <w:jc w:val="center"/>
        <w:rPr>
          <w:rFonts w:ascii="宋体" w:hAnsi="宋体" w:cs="宋体"/>
          <w:b w:val="0"/>
          <w:bCs w:val="0"/>
          <w:color w:val="auto"/>
          <w:sz w:val="21"/>
          <w:szCs w:val="21"/>
          <w:highlight w:val="none"/>
        </w:rPr>
      </w:pPr>
      <w:r>
        <w:rPr>
          <w:rFonts w:ascii="宋体" w:hAnsi="宋体" w:cs="宋体"/>
          <w:b w:val="0"/>
          <w:bCs w:val="0"/>
          <w:color w:val="auto"/>
          <w:sz w:val="21"/>
          <w:szCs w:val="21"/>
          <w:highlight w:val="none"/>
        </w:rPr>
        <w:t>(</w:t>
      </w:r>
      <w:r>
        <w:rPr>
          <w:rFonts w:hint="eastAsia" w:ascii="宋体" w:hAnsi="宋体" w:cs="宋体"/>
          <w:b w:val="0"/>
          <w:bCs w:val="0"/>
          <w:color w:val="auto"/>
          <w:sz w:val="21"/>
          <w:szCs w:val="21"/>
          <w:highlight w:val="none"/>
        </w:rPr>
        <w:t>适用于自然人投标</w:t>
      </w:r>
      <w:r>
        <w:rPr>
          <w:rFonts w:ascii="宋体" w:hAnsi="宋体" w:cs="宋体"/>
          <w:b w:val="0"/>
          <w:bCs w:val="0"/>
          <w:color w:val="auto"/>
          <w:sz w:val="21"/>
          <w:szCs w:val="21"/>
          <w:highlight w:val="none"/>
        </w:rPr>
        <w:t>)</w:t>
      </w:r>
    </w:p>
    <w:p>
      <w:pPr>
        <w:pStyle w:val="8"/>
        <w:rPr>
          <w:rFonts w:ascii="Times New Roman" w:hAnsi="Times New Roman" w:eastAsia="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color w:val="auto"/>
          <w:highlight w:val="none"/>
        </w:rPr>
      </w:pPr>
      <w:r>
        <w:rPr>
          <w:color w:val="auto"/>
          <w:highlight w:val="none"/>
        </w:rPr>
        <w:t>致____________(采购人或采购代理机构)：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本授权书声明：</w:t>
      </w:r>
      <w:r>
        <w:rPr>
          <w:color w:val="auto"/>
          <w:highlight w:val="none"/>
        </w:rPr>
        <w:t>我________(姓名</w:t>
      </w:r>
      <w:r>
        <w:rPr>
          <w:rFonts w:hint="eastAsia"/>
          <w:color w:val="auto"/>
          <w:highlight w:val="none"/>
        </w:rPr>
        <w:t>、</w:t>
      </w:r>
      <w:r>
        <w:rPr>
          <w:color w:val="auto"/>
          <w:highlight w:val="none"/>
        </w:rPr>
        <w:t>身份证号码)系自然人，现授权委托____________(姓名</w:t>
      </w:r>
      <w:r>
        <w:rPr>
          <w:rFonts w:hint="eastAsia"/>
          <w:color w:val="auto"/>
          <w:highlight w:val="none"/>
        </w:rPr>
        <w:t>、</w:t>
      </w:r>
      <w:r>
        <w:rPr>
          <w:color w:val="auto"/>
          <w:highlight w:val="none"/>
        </w:rPr>
        <w:t>身份证号码)以本人名义参加</w:t>
      </w:r>
      <w:r>
        <w:rPr>
          <w:rFonts w:hint="eastAsia"/>
          <w:color w:val="auto"/>
          <w:highlight w:val="none"/>
        </w:rPr>
        <w:t>《          项目》（项目编号：    ）</w:t>
      </w:r>
      <w:r>
        <w:rPr>
          <w:color w:val="auto"/>
          <w:highlight w:val="none"/>
        </w:rPr>
        <w:t>的投标活动，并代表本人全权办理针对上述项目的投</w:t>
      </w:r>
      <w:r>
        <w:rPr>
          <w:rFonts w:hint="eastAsia"/>
          <w:color w:val="auto"/>
          <w:highlight w:val="none"/>
        </w:rPr>
        <w:t>标、签约等具体事务和签署相关文件。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本人对被授权人的签字事项负全部责任。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授权委托代理期限：从　　年　　月　　日起至　　年　　月　　日止。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代理人无转委托权，特此委托。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我已在下面签字，以资证明。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自然人签字并在签名处加盖食指指印：　　　　年　　月　　日</w:t>
      </w:r>
    </w:p>
    <w:p>
      <w:pPr>
        <w:pStyle w:val="8"/>
        <w:spacing w:line="360" w:lineRule="auto"/>
        <w:ind w:firstLine="480" w:firstLineChars="200"/>
        <w:rPr>
          <w:rFonts w:ascii="宋体" w:hAnsi="宋体" w:eastAsia="宋体"/>
          <w:color w:val="auto"/>
          <w:sz w:val="24"/>
          <w:szCs w:val="24"/>
          <w:highlight w:val="none"/>
        </w:rPr>
      </w:pPr>
    </w:p>
    <w:p>
      <w:pPr>
        <w:topLinePunct/>
        <w:autoSpaceDE w:val="0"/>
        <w:autoSpaceDN w:val="0"/>
        <w:adjustRightInd w:val="0"/>
        <w:snapToGrid w:val="0"/>
        <w:spacing w:after="0" w:line="360" w:lineRule="auto"/>
        <w:jc w:val="left"/>
        <w:rPr>
          <w:rFonts w:ascii="宋体" w:hAnsi="宋体" w:cs="宋体"/>
          <w:color w:val="auto"/>
          <w:highlight w:val="none"/>
        </w:rPr>
      </w:pPr>
    </w:p>
    <w:p>
      <w:pPr>
        <w:topLinePunct/>
        <w:autoSpaceDE w:val="0"/>
        <w:autoSpaceDN w:val="0"/>
        <w:adjustRightInd w:val="0"/>
        <w:snapToGrid w:val="0"/>
        <w:spacing w:after="0" w:line="360" w:lineRule="auto"/>
        <w:jc w:val="left"/>
        <w:rPr>
          <w:rFonts w:ascii="宋体" w:hAnsi="宋体" w:cs="宋体"/>
          <w:i/>
          <w:iCs/>
          <w:color w:val="auto"/>
          <w:highlight w:val="none"/>
        </w:rPr>
      </w:pPr>
      <w:r>
        <w:rPr>
          <w:rFonts w:hint="eastAsia" w:ascii="宋体" w:hAnsi="宋体" w:cs="宋体"/>
          <w:color w:val="auto"/>
          <w:highlight w:val="none"/>
        </w:rPr>
        <w:t>特别说明：</w:t>
      </w:r>
    </w:p>
    <w:p>
      <w:pPr>
        <w:tabs>
          <w:tab w:val="left" w:pos="312"/>
        </w:tabs>
        <w:topLinePunct/>
        <w:autoSpaceDE w:val="0"/>
        <w:autoSpaceDN w:val="0"/>
        <w:adjustRightInd w:val="0"/>
        <w:snapToGrid w:val="0"/>
        <w:spacing w:after="0" w:line="360" w:lineRule="auto"/>
        <w:ind w:firstLine="420" w:firstLineChars="200"/>
        <w:rPr>
          <w:rFonts w:ascii="宋体" w:hAnsi="宋体" w:cs="宋体"/>
          <w:color w:val="auto"/>
          <w:highlight w:val="none"/>
        </w:rPr>
      </w:pPr>
      <w:r>
        <w:rPr>
          <w:rFonts w:hint="eastAsia" w:ascii="宋体" w:hAnsi="宋体" w:cs="宋体"/>
          <w:color w:val="auto"/>
          <w:highlight w:val="none"/>
        </w:rPr>
        <w:t>投标人如由</w:t>
      </w:r>
      <w:r>
        <w:rPr>
          <w:rFonts w:hint="eastAsia" w:ascii="宋体" w:hAnsi="宋体" w:cs="宋体"/>
          <w:b/>
          <w:bCs/>
          <w:color w:val="auto"/>
          <w:highlight w:val="none"/>
        </w:rPr>
        <w:t>被授权人参与投标活动的，</w:t>
      </w:r>
      <w:r>
        <w:rPr>
          <w:rFonts w:hint="eastAsia" w:ascii="宋体" w:hAnsi="宋体" w:cs="宋体"/>
          <w:color w:val="auto"/>
          <w:highlight w:val="none"/>
        </w:rPr>
        <w:t>须提供《自然人授权委托书》，《自然人授权委托书》应当按本格式要求签字并由自然人在签名处加盖食指指印</w:t>
      </w:r>
      <w:r>
        <w:rPr>
          <w:rFonts w:hint="eastAsia" w:ascii="宋体" w:hAnsi="宋体" w:cs="宋体"/>
          <w:color w:val="auto"/>
          <w:szCs w:val="21"/>
          <w:highlight w:val="none"/>
        </w:rPr>
        <w:t>。</w:t>
      </w:r>
    </w:p>
    <w:p>
      <w:pPr>
        <w:pStyle w:val="8"/>
        <w:spacing w:line="360" w:lineRule="auto"/>
        <w:ind w:firstLine="480" w:firstLineChars="200"/>
        <w:rPr>
          <w:rFonts w:ascii="宋体" w:hAnsi="宋体" w:eastAsia="宋体"/>
          <w:color w:val="auto"/>
          <w:sz w:val="24"/>
          <w:szCs w:val="24"/>
          <w:highlight w:val="none"/>
        </w:rPr>
      </w:pPr>
    </w:p>
    <w:p>
      <w:pPr>
        <w:pStyle w:val="8"/>
        <w:ind w:firstLine="420" w:firstLineChars="200"/>
        <w:rPr>
          <w:rFonts w:hAnsi="宋体" w:cs="宋体"/>
          <w:b/>
          <w:bCs/>
          <w:color w:val="auto"/>
          <w:sz w:val="36"/>
          <w:szCs w:val="36"/>
          <w:highlight w:val="none"/>
        </w:rPr>
      </w:pPr>
      <w:r>
        <w:rPr>
          <w:rFonts w:ascii="Times New Roman" w:hAnsi="Times New Roman" w:eastAsia="仿宋_GB2312"/>
          <w:color w:val="auto"/>
          <w:highlight w:val="none"/>
        </w:rPr>
        <w:br w:type="page"/>
      </w:r>
    </w:p>
    <w:p>
      <w:pPr>
        <w:adjustRightInd w:val="0"/>
        <w:snapToGrid w:val="0"/>
        <w:spacing w:after="0"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格式2  投标函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color w:val="auto"/>
          <w:highlight w:val="none"/>
        </w:rPr>
      </w:pPr>
      <w:r>
        <w:rPr>
          <w:rFonts w:hint="eastAsia"/>
          <w:color w:val="auto"/>
          <w:highlight w:val="none"/>
        </w:rPr>
        <w:t>致________（采购人或采购代理机构）：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根据______（项目名称）（项目编号：______）的招标公告，______（姓名、职务）代表投标人______（投标人名称、地址）参加项目招标的有关活动。据此函，作如下承诺：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1.同意在本项目招标文件中规定的开标日起    天遵守本投标文件中的承诺，且在期满之前均具有约束力。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2.具备政府采购相关法律法规规定的参加政府采购活动的供应商应当具备的条件：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（5）参加此项采购活动前三年内，在经营活动中没有重大违法记录。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 xml:space="preserve">（6）法律、行政法规规定的其他条件。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3.具备本项目招标文件中规定的其他要求和资质条件。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4.提供投标人须知规定的全部投标文件。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5.已详细审阅全部招标文件（包括招标文件澄清函），理解投标人须知的所有条款。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6.完全理解贵方“最低报价不能作为中标的保证”的规定。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7.接受招标文件中全部合同条款，且无任何异议；保证忠实地执行双方所签订的合同，并承担合同规定的责任和义务。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8.完全满足和响应招标文件中的各项商务和技术要求，若有偏差，已在投标文件中明确说明。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9.愿意提供任何与投标有关的数据、情况和技术资料等。若贵方需要，愿意提供一切证明材料。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10.我方已详细审核全部投标文件、参考资料及有关附件，确认无误。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11.对本次招标内容及与本项目有关的知识产权、技术资料、商业秘密及相关信息保密。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12.已知悉并承诺遵守《税务系统信息化服务商失信行为记录名单制度(试行) 》关于失信行为进行记录和结果应用的相关规定，及对于违反网络安全规定行为造成不良后果、“围猎”税务人员、违法违规聘用离职税务人员、国家税务总局发票电子化改革领导小组办公室认定的失信行为，3年内限制参加税务系统政府采购活动的相关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投标人名称（公章）：____________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法定代表人（签字或签章）/被授权投标代表（签字）：____________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投标人地址：____________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邮编：____________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电话：____________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传真：____________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 xml:space="preserve">日  期：____________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ind w:firstLine="480" w:firstLineChars="200"/>
        <w:rPr>
          <w:rFonts w:hAnsi="宋体" w:eastAsia="Times New Roman" w:cs="宋体"/>
          <w:color w:val="auto"/>
          <w:sz w:val="24"/>
          <w:highlight w:val="none"/>
        </w:rPr>
      </w:pPr>
    </w:p>
    <w:p>
      <w:pPr>
        <w:adjustRightInd w:val="0"/>
        <w:snapToGrid w:val="0"/>
        <w:spacing w:after="0" w:line="360" w:lineRule="auto"/>
        <w:rPr>
          <w:rFonts w:ascii="宋体" w:hAnsi="宋体" w:cs="宋体"/>
          <w:color w:val="auto"/>
          <w:highlight w:val="none"/>
        </w:rPr>
      </w:pPr>
      <w:r>
        <w:rPr>
          <w:rFonts w:hint="eastAsia" w:ascii="宋体" w:hAnsi="宋体" w:cs="宋体"/>
          <w:color w:val="auto"/>
          <w:highlight w:val="none"/>
        </w:rPr>
        <w:t>特别说明：</w:t>
      </w:r>
    </w:p>
    <w:p>
      <w:pPr>
        <w:adjustRightInd w:val="0"/>
        <w:snapToGrid w:val="0"/>
        <w:spacing w:after="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投标人应当按上述格式要求加盖与投标人名称全称一致的标准公章，并签署法定代表人或</w:t>
      </w:r>
      <w:r>
        <w:rPr>
          <w:rFonts w:hint="eastAsia" w:ascii="宋体" w:hAnsi="宋体" w:cs="宋体"/>
          <w:bCs/>
          <w:color w:val="auto"/>
          <w:szCs w:val="21"/>
          <w:highlight w:val="none"/>
        </w:rPr>
        <w:t>被授权投标代表</w:t>
      </w:r>
      <w:r>
        <w:rPr>
          <w:rFonts w:hint="eastAsia" w:ascii="宋体" w:hAnsi="宋体" w:cs="宋体"/>
          <w:color w:val="auto"/>
          <w:szCs w:val="21"/>
          <w:highlight w:val="none"/>
        </w:rPr>
        <w:t>的全名或加盖名章，线上采购项目应上传扫描件。</w:t>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hint="eastAsia" w:hAnsi="宋体" w:cs="宋体"/>
          <w:b/>
          <w:bCs/>
          <w:color w:val="auto"/>
          <w:sz w:val="28"/>
          <w:szCs w:val="28"/>
          <w:highlight w:val="none"/>
        </w:rPr>
        <w:br w:type="page"/>
      </w:r>
      <w:bookmarkStart w:id="61" w:name="_Toc18153"/>
      <w:bookmarkStart w:id="62" w:name="_Toc8860"/>
      <w:r>
        <w:rPr>
          <w:rFonts w:hint="default" w:ascii="Times New Roman" w:hAnsi="Times New Roman" w:cs="Times New Roman"/>
          <w:b/>
          <w:bCs/>
          <w:color w:val="auto"/>
          <w:sz w:val="28"/>
          <w:szCs w:val="28"/>
          <w:highlight w:val="none"/>
        </w:rPr>
        <w:t>格式3  投标报价表</w:t>
      </w:r>
    </w:p>
    <w:p>
      <w:pPr>
        <w:pStyle w:val="8"/>
        <w:topLinePunct/>
        <w:autoSpaceDE w:val="0"/>
        <w:autoSpaceDN w:val="0"/>
        <w:adjustRightInd w:val="0"/>
        <w:snapToGrid w:val="0"/>
        <w:spacing w:line="360" w:lineRule="auto"/>
        <w:ind w:left="2"/>
        <w:jc w:val="center"/>
        <w:rPr>
          <w:rFonts w:hint="default" w:ascii="Times New Roman" w:hAnsi="Times New Roman" w:cs="Times New Roman"/>
          <w:b/>
          <w:bCs/>
          <w:color w:val="auto"/>
          <w:kern w:val="2"/>
          <w:sz w:val="28"/>
          <w:szCs w:val="28"/>
          <w:highlight w:val="none"/>
        </w:rPr>
      </w:pPr>
      <w:r>
        <w:rPr>
          <w:rFonts w:hint="default" w:ascii="Times New Roman" w:hAnsi="Times New Roman" w:cs="Times New Roman"/>
          <w:b/>
          <w:bCs/>
          <w:color w:val="auto"/>
          <w:kern w:val="2"/>
          <w:sz w:val="28"/>
          <w:szCs w:val="28"/>
          <w:highlight w:val="none"/>
        </w:rPr>
        <w:t>1.开标一览表（总报价表）</w:t>
      </w:r>
      <w:bookmarkEnd w:id="61"/>
      <w:bookmarkEnd w:id="62"/>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Ansi="宋体" w:cs="宋体"/>
          <w:b w:val="0"/>
          <w:bCs w:val="0"/>
          <w:color w:val="auto"/>
          <w:kern w:val="2"/>
          <w:sz w:val="21"/>
          <w:highlight w:val="none"/>
        </w:rPr>
        <w:t>(货物类项目适用)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      价格单位：人民币   元</w:t>
      </w:r>
    </w:p>
    <w:tbl>
      <w:tblPr>
        <w:tblStyle w:val="13"/>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4918"/>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4918"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价格小计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adjustRightInd w:val="0"/>
              <w:snapToGrid w:val="0"/>
              <w:spacing w:beforeLines="20" w:afterLines="20" w:line="240" w:lineRule="auto"/>
              <w:jc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1</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2</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3</w:t>
            </w:r>
          </w:p>
        </w:tc>
        <w:tc>
          <w:tcPr>
            <w:tcW w:w="4918" w:type="dxa"/>
            <w:noWrap/>
            <w:vAlign w:val="center"/>
          </w:tcPr>
          <w:p>
            <w:pPr>
              <w:rPr>
                <w:rFonts w:hint="default" w:ascii="Times New Roman" w:hAnsi="Times New Roman" w:cs="Times New Roman"/>
                <w:color w:val="auto"/>
                <w:sz w:val="21"/>
                <w:szCs w:val="21"/>
                <w:highlight w:val="none"/>
              </w:rPr>
            </w:pPr>
          </w:p>
        </w:tc>
        <w:tc>
          <w:tcPr>
            <w:tcW w:w="2553" w:type="dxa"/>
            <w:noWrap/>
            <w:vAlign w:val="center"/>
          </w:tcPr>
          <w:p>
            <w:pP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rPr>
                <w:rFonts w:hint="default" w:ascii="Times New Roman" w:hAnsi="Times New Roman" w:cs="Times New Roman"/>
                <w:color w:val="auto"/>
                <w:sz w:val="21"/>
                <w:szCs w:val="21"/>
                <w:highlight w:val="none"/>
              </w:rPr>
            </w:pPr>
          </w:p>
        </w:tc>
        <w:tc>
          <w:tcPr>
            <w:tcW w:w="4918" w:type="dxa"/>
            <w:noWrap/>
            <w:vAlign w:val="center"/>
          </w:tcPr>
          <w:p>
            <w:pPr>
              <w:rPr>
                <w:rFonts w:hint="default" w:ascii="Times New Roman" w:hAnsi="Times New Roman" w:cs="Times New Roman"/>
                <w:color w:val="auto"/>
                <w:sz w:val="21"/>
                <w:szCs w:val="21"/>
                <w:highlight w:val="none"/>
              </w:rPr>
            </w:pPr>
          </w:p>
        </w:tc>
        <w:tc>
          <w:tcPr>
            <w:tcW w:w="2553" w:type="dxa"/>
            <w:noWrap/>
            <w:vAlign w:val="center"/>
          </w:tcPr>
          <w:p>
            <w:pP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rPr>
                <w:rFonts w:hint="default" w:ascii="Times New Roman" w:hAnsi="Times New Roman" w:cs="Times New Roman"/>
                <w:color w:val="auto"/>
                <w:sz w:val="21"/>
                <w:szCs w:val="21"/>
                <w:highlight w:val="none"/>
              </w:rPr>
            </w:pPr>
          </w:p>
        </w:tc>
        <w:tc>
          <w:tcPr>
            <w:tcW w:w="4918" w:type="dxa"/>
            <w:noWrap/>
            <w:vAlign w:val="center"/>
          </w:tcPr>
          <w:p>
            <w:pPr>
              <w:rPr>
                <w:rFonts w:hint="default" w:ascii="Times New Roman" w:hAnsi="Times New Roman" w:cs="Times New Roman"/>
                <w:color w:val="auto"/>
                <w:sz w:val="21"/>
                <w:szCs w:val="21"/>
                <w:highlight w:val="none"/>
              </w:rPr>
            </w:pPr>
          </w:p>
        </w:tc>
        <w:tc>
          <w:tcPr>
            <w:tcW w:w="2553" w:type="dxa"/>
            <w:noWrap/>
            <w:vAlign w:val="center"/>
          </w:tcPr>
          <w:p>
            <w:pP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报价合计（小写）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color w:val="auto"/>
                <w:sz w:val="21"/>
                <w:szCs w:val="21"/>
                <w:highlight w:val="none"/>
              </w:rPr>
              <w:t>报价合计（大写）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供货期限</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质保期</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1.本项目总价及分项报价均不接受任何形式的赠送、“零”报价和折扣报价。</w:t>
      </w:r>
    </w:p>
    <w:p>
      <w:pPr>
        <w:topLinePunct/>
        <w:autoSpaceDE w:val="0"/>
        <w:autoSpaceDN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2.本项目执行中所发生的所有费用均计入投标报价中，采购人不再另行支付其他任何费用。</w:t>
      </w:r>
    </w:p>
    <w:p>
      <w:pPr>
        <w:topLinePunct/>
        <w:autoSpaceDE w:val="0"/>
        <w:autoSpaceDN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3.投标人应根据《招标文件-技术部分》相关要求填报。</w:t>
      </w:r>
    </w:p>
    <w:p>
      <w:pPr>
        <w:topLinePunct/>
        <w:autoSpaceDE w:val="0"/>
        <w:autoSpaceDN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4.如报价不一致，按照投标人须知“19.核价原则”进行修正。</w:t>
      </w:r>
    </w:p>
    <w:p>
      <w:pPr>
        <w:topLinePunct/>
        <w:autoSpaceDE w:val="0"/>
        <w:autoSpaceDN w:val="0"/>
        <w:adjustRightInd w:val="0"/>
        <w:snapToGrid w:val="0"/>
        <w:spacing w:after="0" w:line="360" w:lineRule="auto"/>
        <w:ind w:firstLine="525" w:firstLineChars="250"/>
        <w:jc w:val="left"/>
        <w:rPr>
          <w:rFonts w:hint="default" w:ascii="Times New Roman" w:hAnsi="Times New Roman" w:cs="Times New Roman"/>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w:t>
      </w:r>
      <w:r>
        <w:rPr>
          <w:rFonts w:hint="default" w:ascii="Times New Roman" w:hAnsi="Times New Roman" w:cs="Times New Roman"/>
          <w:color w:val="auto"/>
          <w:kern w:val="0"/>
          <w:sz w:val="21"/>
          <w:szCs w:val="21"/>
          <w:highlight w:val="none"/>
        </w:rPr>
        <w:t>（全称并加盖公章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投标人代表（签字或盖章）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jc w:val="center"/>
        <w:rPr>
          <w:rFonts w:hint="eastAsia" w:ascii="宋体" w:hAnsi="宋体" w:eastAsia="宋体" w:cs="宋体"/>
          <w:b/>
          <w:bCs/>
          <w:color w:val="auto"/>
          <w:sz w:val="28"/>
          <w:szCs w:val="28"/>
          <w:highlight w:val="none"/>
        </w:rPr>
      </w:pPr>
      <w:r>
        <w:rPr>
          <w:rFonts w:hint="default" w:ascii="Times New Roman" w:hAnsi="Times New Roman" w:cs="Times New Roman"/>
          <w:color w:val="auto"/>
          <w:sz w:val="21"/>
          <w:szCs w:val="21"/>
          <w:highlight w:val="none"/>
        </w:rPr>
        <w:t>日期：</w:t>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br w:type="page"/>
      </w:r>
      <w:r>
        <w:rPr>
          <w:rFonts w:hint="eastAsia" w:ascii="宋体" w:hAnsi="宋体" w:eastAsia="宋体" w:cs="宋体"/>
          <w:b/>
          <w:bCs/>
          <w:color w:val="auto"/>
          <w:sz w:val="28"/>
          <w:szCs w:val="28"/>
          <w:highlight w:val="none"/>
        </w:rPr>
        <w:t>1.开标一览表（总报价表）</w:t>
      </w:r>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int="eastAsia" w:hAnsi="宋体" w:cs="宋体"/>
          <w:b w:val="0"/>
          <w:bCs w:val="0"/>
          <w:color w:val="auto"/>
          <w:kern w:val="2"/>
          <w:sz w:val="21"/>
          <w:highlight w:val="none"/>
        </w:rPr>
        <w:t>(服务类项目适用)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bCs/>
          <w:color w:val="auto"/>
          <w:w w:val="150"/>
          <w:szCs w:val="21"/>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tbl>
      <w:tblPr>
        <w:tblStyle w:val="13"/>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4918"/>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4918"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价格小计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1</w:t>
            </w:r>
          </w:p>
        </w:tc>
        <w:tc>
          <w:tcPr>
            <w:tcW w:w="4918" w:type="dxa"/>
            <w:noWrap/>
            <w:vAlign w:val="center"/>
          </w:tcPr>
          <w:p>
            <w:pPr>
              <w:adjustRightInd w:val="0"/>
              <w:snapToGrid w:val="0"/>
              <w:spacing w:after="0" w:line="360" w:lineRule="auto"/>
              <w:jc w:val="center"/>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61"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4918" w:type="dxa"/>
            <w:noWrap/>
            <w:vAlign w:val="center"/>
          </w:tcPr>
          <w:p>
            <w:pPr>
              <w:spacing w:line="460" w:lineRule="exact"/>
              <w:jc w:val="left"/>
              <w:rPr>
                <w:rFonts w:hint="default" w:ascii="Times New Roman" w:hAnsi="Times New Roman" w:cs="Times New Roman"/>
                <w:color w:val="auto"/>
                <w:sz w:val="21"/>
                <w:szCs w:val="21"/>
                <w:highlight w:val="none"/>
              </w:rPr>
            </w:pP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报价合计（小写）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b/>
                <w:bCs/>
                <w:color w:val="auto"/>
                <w:sz w:val="21"/>
                <w:szCs w:val="21"/>
                <w:highlight w:val="none"/>
              </w:rPr>
            </w:pPr>
            <w:r>
              <w:rPr>
                <w:rFonts w:hint="default" w:ascii="Times New Roman" w:hAnsi="Times New Roman" w:cs="Times New Roman"/>
                <w:color w:val="auto"/>
                <w:sz w:val="21"/>
                <w:szCs w:val="21"/>
                <w:highlight w:val="none"/>
              </w:rPr>
              <w:t>报价合计（大写）</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服务期</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79" w:type="dxa"/>
            <w:gridSpan w:val="2"/>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2553" w:type="dxa"/>
            <w:noWrap/>
            <w:vAlign w:val="center"/>
          </w:tcPr>
          <w:p>
            <w:pPr>
              <w:adjustRightInd w:val="0"/>
              <w:snapToGrid w:val="0"/>
              <w:spacing w:beforeLines="20" w:afterLines="2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1.本项目总价及分项报价均不接受任何形式的赠送、“零”报价和折扣报价。</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2.本项目执行中所发生的所有费用均计入投标报价中，采购人不再另行支付其他任何费用。</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3.投标人应根据《招标文件-技术部分》相关要求填报。</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4.如报价不一致，按照投标人须知“19.核价原则”进行修正。</w:t>
      </w:r>
    </w:p>
    <w:p>
      <w:pPr>
        <w:topLinePunct/>
        <w:autoSpaceDE w:val="0"/>
        <w:autoSpaceDN w:val="0"/>
        <w:adjustRightInd w:val="0"/>
        <w:snapToGrid w:val="0"/>
        <w:spacing w:after="0" w:line="360" w:lineRule="auto"/>
        <w:ind w:firstLine="525" w:firstLineChars="250"/>
        <w:jc w:val="left"/>
        <w:rPr>
          <w:color w:val="auto"/>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投标人代表（签字或盖章）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p>
    <w:p>
      <w:pPr>
        <w:widowControl/>
        <w:spacing w:after="0" w:line="240" w:lineRule="auto"/>
        <w:jc w:val="center"/>
        <w:rPr>
          <w:rFonts w:hint="default" w:ascii="Times New Roman" w:hAnsi="Times New Roman" w:cs="Times New Roman"/>
          <w:b/>
          <w:color w:val="auto"/>
          <w:sz w:val="28"/>
          <w:highlight w:val="none"/>
        </w:rPr>
      </w:pPr>
      <w:r>
        <w:rPr>
          <w:rFonts w:hAnsi="宋体" w:cs="宋体"/>
          <w:color w:val="auto"/>
          <w:sz w:val="21"/>
          <w:szCs w:val="21"/>
          <w:highlight w:val="none"/>
        </w:rPr>
        <w:br w:type="page"/>
      </w:r>
      <w:r>
        <w:rPr>
          <w:rFonts w:hint="default" w:ascii="Times New Roman" w:hAnsi="Times New Roman" w:cs="Times New Roman"/>
          <w:b/>
          <w:color w:val="auto"/>
          <w:sz w:val="28"/>
          <w:highlight w:val="none"/>
        </w:rPr>
        <w:t>2.分项报价表</w:t>
      </w:r>
    </w:p>
    <w:p>
      <w:pPr>
        <w:spacing w:line="360" w:lineRule="auto"/>
        <w:jc w:val="center"/>
        <w:rPr>
          <w:rFonts w:hint="default" w:ascii="Times New Roman" w:hAnsi="Times New Roman" w:cs="Times New Roman"/>
          <w:b/>
          <w:color w:val="auto"/>
          <w:sz w:val="28"/>
          <w:highlight w:val="none"/>
        </w:rPr>
      </w:pPr>
      <w:r>
        <w:rPr>
          <w:rFonts w:hint="default" w:ascii="Times New Roman" w:hAnsi="Times New Roman" w:cs="Times New Roman"/>
          <w:b/>
          <w:color w:val="auto"/>
          <w:sz w:val="28"/>
          <w:highlight w:val="none"/>
        </w:rPr>
        <w:t>2.1 分项报价表</w:t>
      </w:r>
    </w:p>
    <w:p>
      <w:pPr>
        <w:pStyle w:val="8"/>
        <w:topLinePunct/>
        <w:autoSpaceDE w:val="0"/>
        <w:autoSpaceDN w:val="0"/>
        <w:adjustRightInd w:val="0"/>
        <w:snapToGrid w:val="0"/>
        <w:spacing w:line="360" w:lineRule="auto"/>
        <w:ind w:left="2"/>
        <w:jc w:val="center"/>
        <w:rPr>
          <w:rFonts w:hAnsi="宋体" w:cs="宋体"/>
          <w:b w:val="0"/>
          <w:bCs w:val="0"/>
          <w:color w:val="auto"/>
          <w:kern w:val="2"/>
          <w:sz w:val="21"/>
          <w:highlight w:val="none"/>
        </w:rPr>
      </w:pPr>
      <w:r>
        <w:rPr>
          <w:rFonts w:hint="eastAsia" w:hAnsi="宋体" w:cs="宋体"/>
          <w:b w:val="0"/>
          <w:bCs w:val="0"/>
          <w:color w:val="auto"/>
          <w:kern w:val="2"/>
          <w:sz w:val="21"/>
          <w:highlight w:val="none"/>
        </w:rPr>
        <w:t>(货物类项目适用)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bCs/>
          <w:color w:val="auto"/>
          <w:w w:val="150"/>
          <w:szCs w:val="21"/>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1277"/>
        <w:gridCol w:w="851"/>
        <w:gridCol w:w="851"/>
        <w:gridCol w:w="850"/>
        <w:gridCol w:w="565"/>
        <w:gridCol w:w="1058"/>
        <w:gridCol w:w="1186"/>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序号</w:t>
            </w:r>
          </w:p>
        </w:tc>
        <w:tc>
          <w:tcPr>
            <w:tcW w:w="741"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货物</w:t>
            </w:r>
          </w:p>
          <w:p>
            <w:pPr>
              <w:pStyle w:val="8"/>
              <w:jc w:val="center"/>
              <w:rPr>
                <w:rFonts w:ascii="Times New Roman" w:hAnsi="Times New Roman"/>
                <w:color w:val="auto"/>
                <w:highlight w:val="none"/>
              </w:rPr>
            </w:pPr>
            <w:r>
              <w:rPr>
                <w:rFonts w:ascii="Times New Roman" w:hAnsi="Times New Roman"/>
                <w:color w:val="auto"/>
                <w:highlight w:val="none"/>
              </w:rPr>
              <w:t>名称</w:t>
            </w:r>
          </w:p>
        </w:tc>
        <w:tc>
          <w:tcPr>
            <w:tcW w:w="494"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品牌</w:t>
            </w:r>
          </w:p>
        </w:tc>
        <w:tc>
          <w:tcPr>
            <w:tcW w:w="494"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生产</w:t>
            </w:r>
          </w:p>
          <w:p>
            <w:pPr>
              <w:pStyle w:val="8"/>
              <w:jc w:val="center"/>
              <w:rPr>
                <w:rFonts w:ascii="Times New Roman" w:hAnsi="Times New Roman"/>
                <w:color w:val="auto"/>
                <w:highlight w:val="none"/>
              </w:rPr>
            </w:pPr>
            <w:r>
              <w:rPr>
                <w:rFonts w:ascii="Times New Roman" w:hAnsi="Times New Roman"/>
                <w:color w:val="auto"/>
                <w:highlight w:val="none"/>
              </w:rPr>
              <w:t>厂家</w:t>
            </w:r>
          </w:p>
        </w:tc>
        <w:tc>
          <w:tcPr>
            <w:tcW w:w="493"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规格</w:t>
            </w:r>
          </w:p>
          <w:p>
            <w:pPr>
              <w:pStyle w:val="8"/>
              <w:jc w:val="center"/>
              <w:rPr>
                <w:rFonts w:ascii="Times New Roman" w:hAnsi="Times New Roman"/>
                <w:color w:val="auto"/>
                <w:highlight w:val="none"/>
              </w:rPr>
            </w:pPr>
            <w:r>
              <w:rPr>
                <w:rFonts w:ascii="Times New Roman" w:hAnsi="Times New Roman"/>
                <w:color w:val="auto"/>
                <w:highlight w:val="none"/>
              </w:rPr>
              <w:t>型号</w:t>
            </w:r>
          </w:p>
        </w:tc>
        <w:tc>
          <w:tcPr>
            <w:tcW w:w="328"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单价</w:t>
            </w:r>
          </w:p>
        </w:tc>
        <w:tc>
          <w:tcPr>
            <w:tcW w:w="614"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数量</w:t>
            </w:r>
          </w:p>
        </w:tc>
        <w:tc>
          <w:tcPr>
            <w:tcW w:w="688"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合计</w:t>
            </w:r>
          </w:p>
        </w:tc>
        <w:tc>
          <w:tcPr>
            <w:tcW w:w="590"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1</w:t>
            </w:r>
          </w:p>
        </w:tc>
        <w:tc>
          <w:tcPr>
            <w:tcW w:w="741"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3" w:type="pct"/>
            <w:noWrap w:val="0"/>
            <w:vAlign w:val="center"/>
          </w:tcPr>
          <w:p>
            <w:pPr>
              <w:pStyle w:val="8"/>
              <w:jc w:val="center"/>
              <w:rPr>
                <w:rFonts w:ascii="Times New Roman" w:hAnsi="Times New Roman"/>
                <w:color w:val="auto"/>
                <w:highlight w:val="none"/>
              </w:rPr>
            </w:pPr>
          </w:p>
        </w:tc>
        <w:tc>
          <w:tcPr>
            <w:tcW w:w="328" w:type="pct"/>
            <w:noWrap w:val="0"/>
            <w:vAlign w:val="center"/>
          </w:tcPr>
          <w:p>
            <w:pPr>
              <w:pStyle w:val="8"/>
              <w:jc w:val="center"/>
              <w:rPr>
                <w:rFonts w:ascii="Times New Roman" w:hAnsi="Times New Roman"/>
                <w:color w:val="auto"/>
                <w:highlight w:val="none"/>
              </w:rPr>
            </w:pPr>
          </w:p>
        </w:tc>
        <w:tc>
          <w:tcPr>
            <w:tcW w:w="614" w:type="pct"/>
            <w:noWrap w:val="0"/>
            <w:vAlign w:val="center"/>
          </w:tcPr>
          <w:p>
            <w:pPr>
              <w:pStyle w:val="8"/>
              <w:jc w:val="center"/>
              <w:rPr>
                <w:rFonts w:ascii="Times New Roman" w:hAnsi="Times New Roman"/>
                <w:color w:val="auto"/>
                <w:highlight w:val="none"/>
              </w:rPr>
            </w:pPr>
          </w:p>
        </w:tc>
        <w:tc>
          <w:tcPr>
            <w:tcW w:w="688" w:type="pct"/>
            <w:noWrap w:val="0"/>
            <w:vAlign w:val="center"/>
          </w:tcPr>
          <w:p>
            <w:pPr>
              <w:pStyle w:val="8"/>
              <w:jc w:val="center"/>
              <w:rPr>
                <w:rFonts w:ascii="Times New Roman" w:hAnsi="Times New Roman"/>
                <w:color w:val="auto"/>
                <w:highlight w:val="none"/>
              </w:rPr>
            </w:pP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2</w:t>
            </w:r>
          </w:p>
        </w:tc>
        <w:tc>
          <w:tcPr>
            <w:tcW w:w="741"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3" w:type="pct"/>
            <w:noWrap w:val="0"/>
            <w:vAlign w:val="center"/>
          </w:tcPr>
          <w:p>
            <w:pPr>
              <w:pStyle w:val="8"/>
              <w:jc w:val="center"/>
              <w:rPr>
                <w:rFonts w:ascii="Times New Roman" w:hAnsi="Times New Roman"/>
                <w:color w:val="auto"/>
                <w:highlight w:val="none"/>
              </w:rPr>
            </w:pPr>
          </w:p>
        </w:tc>
        <w:tc>
          <w:tcPr>
            <w:tcW w:w="328" w:type="pct"/>
            <w:noWrap w:val="0"/>
            <w:vAlign w:val="center"/>
          </w:tcPr>
          <w:p>
            <w:pPr>
              <w:pStyle w:val="8"/>
              <w:jc w:val="center"/>
              <w:rPr>
                <w:rFonts w:ascii="Times New Roman" w:hAnsi="Times New Roman"/>
                <w:color w:val="auto"/>
                <w:highlight w:val="none"/>
              </w:rPr>
            </w:pPr>
          </w:p>
        </w:tc>
        <w:tc>
          <w:tcPr>
            <w:tcW w:w="614" w:type="pct"/>
            <w:noWrap w:val="0"/>
            <w:vAlign w:val="center"/>
          </w:tcPr>
          <w:p>
            <w:pPr>
              <w:pStyle w:val="8"/>
              <w:jc w:val="center"/>
              <w:rPr>
                <w:rFonts w:ascii="Times New Roman" w:hAnsi="Times New Roman"/>
                <w:color w:val="auto"/>
                <w:highlight w:val="none"/>
              </w:rPr>
            </w:pPr>
          </w:p>
        </w:tc>
        <w:tc>
          <w:tcPr>
            <w:tcW w:w="688" w:type="pct"/>
            <w:noWrap w:val="0"/>
            <w:vAlign w:val="center"/>
          </w:tcPr>
          <w:p>
            <w:pPr>
              <w:pStyle w:val="8"/>
              <w:jc w:val="center"/>
              <w:rPr>
                <w:rFonts w:ascii="Times New Roman" w:hAnsi="Times New Roman"/>
                <w:color w:val="auto"/>
                <w:highlight w:val="none"/>
              </w:rPr>
            </w:pP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3</w:t>
            </w:r>
          </w:p>
        </w:tc>
        <w:tc>
          <w:tcPr>
            <w:tcW w:w="741"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3" w:type="pct"/>
            <w:noWrap w:val="0"/>
            <w:vAlign w:val="center"/>
          </w:tcPr>
          <w:p>
            <w:pPr>
              <w:pStyle w:val="8"/>
              <w:jc w:val="center"/>
              <w:rPr>
                <w:rFonts w:ascii="Times New Roman" w:hAnsi="Times New Roman"/>
                <w:color w:val="auto"/>
                <w:highlight w:val="none"/>
              </w:rPr>
            </w:pPr>
          </w:p>
        </w:tc>
        <w:tc>
          <w:tcPr>
            <w:tcW w:w="328" w:type="pct"/>
            <w:noWrap w:val="0"/>
            <w:vAlign w:val="center"/>
          </w:tcPr>
          <w:p>
            <w:pPr>
              <w:pStyle w:val="8"/>
              <w:jc w:val="center"/>
              <w:rPr>
                <w:rFonts w:ascii="Times New Roman" w:hAnsi="Times New Roman"/>
                <w:color w:val="auto"/>
                <w:highlight w:val="none"/>
              </w:rPr>
            </w:pPr>
          </w:p>
        </w:tc>
        <w:tc>
          <w:tcPr>
            <w:tcW w:w="614" w:type="pct"/>
            <w:noWrap w:val="0"/>
            <w:vAlign w:val="center"/>
          </w:tcPr>
          <w:p>
            <w:pPr>
              <w:pStyle w:val="8"/>
              <w:jc w:val="center"/>
              <w:rPr>
                <w:rFonts w:ascii="Times New Roman" w:hAnsi="Times New Roman"/>
                <w:color w:val="auto"/>
                <w:highlight w:val="none"/>
              </w:rPr>
            </w:pPr>
          </w:p>
        </w:tc>
        <w:tc>
          <w:tcPr>
            <w:tcW w:w="688" w:type="pct"/>
            <w:noWrap w:val="0"/>
            <w:vAlign w:val="center"/>
          </w:tcPr>
          <w:p>
            <w:pPr>
              <w:pStyle w:val="8"/>
              <w:jc w:val="center"/>
              <w:rPr>
                <w:rFonts w:ascii="Times New Roman" w:hAnsi="Times New Roman"/>
                <w:color w:val="auto"/>
                <w:highlight w:val="none"/>
              </w:rPr>
            </w:pP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noWrap w:val="0"/>
            <w:vAlign w:val="center"/>
          </w:tcPr>
          <w:p>
            <w:pPr>
              <w:pStyle w:val="8"/>
              <w:jc w:val="center"/>
              <w:rPr>
                <w:rFonts w:ascii="Times New Roman" w:hAnsi="Times New Roman"/>
                <w:color w:val="auto"/>
                <w:highlight w:val="none"/>
              </w:rPr>
            </w:pPr>
            <w:r>
              <w:rPr>
                <w:rFonts w:hint="eastAsia" w:ascii="MS Mincho" w:hAnsi="MS Mincho" w:eastAsia="MS Mincho" w:cs="MS Mincho"/>
                <w:color w:val="auto"/>
                <w:highlight w:val="none"/>
              </w:rPr>
              <w:t>⋮</w:t>
            </w:r>
          </w:p>
        </w:tc>
        <w:tc>
          <w:tcPr>
            <w:tcW w:w="741"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3" w:type="pct"/>
            <w:noWrap w:val="0"/>
            <w:vAlign w:val="center"/>
          </w:tcPr>
          <w:p>
            <w:pPr>
              <w:pStyle w:val="8"/>
              <w:jc w:val="center"/>
              <w:rPr>
                <w:rFonts w:ascii="Times New Roman" w:hAnsi="Times New Roman"/>
                <w:color w:val="auto"/>
                <w:highlight w:val="none"/>
              </w:rPr>
            </w:pPr>
          </w:p>
        </w:tc>
        <w:tc>
          <w:tcPr>
            <w:tcW w:w="328" w:type="pct"/>
            <w:noWrap w:val="0"/>
            <w:vAlign w:val="center"/>
          </w:tcPr>
          <w:p>
            <w:pPr>
              <w:pStyle w:val="8"/>
              <w:jc w:val="center"/>
              <w:rPr>
                <w:rFonts w:ascii="Times New Roman" w:hAnsi="Times New Roman"/>
                <w:color w:val="auto"/>
                <w:highlight w:val="none"/>
              </w:rPr>
            </w:pPr>
          </w:p>
        </w:tc>
        <w:tc>
          <w:tcPr>
            <w:tcW w:w="614" w:type="pct"/>
            <w:noWrap w:val="0"/>
            <w:vAlign w:val="center"/>
          </w:tcPr>
          <w:p>
            <w:pPr>
              <w:pStyle w:val="8"/>
              <w:jc w:val="center"/>
              <w:rPr>
                <w:rFonts w:ascii="Times New Roman" w:hAnsi="Times New Roman"/>
                <w:color w:val="auto"/>
                <w:highlight w:val="none"/>
              </w:rPr>
            </w:pPr>
          </w:p>
        </w:tc>
        <w:tc>
          <w:tcPr>
            <w:tcW w:w="688" w:type="pct"/>
            <w:noWrap w:val="0"/>
            <w:vAlign w:val="center"/>
          </w:tcPr>
          <w:p>
            <w:pPr>
              <w:pStyle w:val="8"/>
              <w:jc w:val="center"/>
              <w:rPr>
                <w:rFonts w:ascii="Times New Roman" w:hAnsi="Times New Roman"/>
                <w:color w:val="auto"/>
                <w:highlight w:val="none"/>
              </w:rPr>
            </w:pP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pct"/>
            <w:gridSpan w:val="2"/>
            <w:noWrap w:val="0"/>
            <w:vAlign w:val="center"/>
          </w:tcPr>
          <w:p>
            <w:pPr>
              <w:pStyle w:val="8"/>
              <w:jc w:val="left"/>
              <w:rPr>
                <w:rFonts w:ascii="Times New Roman" w:hAnsi="Times New Roman"/>
                <w:color w:val="auto"/>
                <w:highlight w:val="none"/>
              </w:rPr>
            </w:pPr>
            <w:r>
              <w:rPr>
                <w:rFonts w:ascii="Times New Roman" w:hAnsi="Times New Roman"/>
                <w:color w:val="auto"/>
                <w:highlight w:val="none"/>
              </w:rPr>
              <w:t>备品备件(包括专用工具等)</w:t>
            </w:r>
          </w:p>
        </w:tc>
        <w:tc>
          <w:tcPr>
            <w:tcW w:w="494"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3" w:type="pct"/>
            <w:noWrap w:val="0"/>
            <w:vAlign w:val="center"/>
          </w:tcPr>
          <w:p>
            <w:pPr>
              <w:pStyle w:val="8"/>
              <w:jc w:val="center"/>
              <w:rPr>
                <w:rFonts w:ascii="Times New Roman" w:hAnsi="Times New Roman"/>
                <w:color w:val="auto"/>
                <w:highlight w:val="none"/>
              </w:rPr>
            </w:pPr>
          </w:p>
        </w:tc>
        <w:tc>
          <w:tcPr>
            <w:tcW w:w="328" w:type="pct"/>
            <w:noWrap w:val="0"/>
            <w:vAlign w:val="center"/>
          </w:tcPr>
          <w:p>
            <w:pPr>
              <w:pStyle w:val="8"/>
              <w:jc w:val="center"/>
              <w:rPr>
                <w:rFonts w:ascii="Times New Roman" w:hAnsi="Times New Roman"/>
                <w:color w:val="auto"/>
                <w:highlight w:val="none"/>
              </w:rPr>
            </w:pPr>
          </w:p>
        </w:tc>
        <w:tc>
          <w:tcPr>
            <w:tcW w:w="614" w:type="pct"/>
            <w:noWrap w:val="0"/>
            <w:vAlign w:val="center"/>
          </w:tcPr>
          <w:p>
            <w:pPr>
              <w:pStyle w:val="8"/>
              <w:jc w:val="center"/>
              <w:rPr>
                <w:rFonts w:ascii="Times New Roman" w:hAnsi="Times New Roman"/>
                <w:color w:val="auto"/>
                <w:highlight w:val="none"/>
              </w:rPr>
            </w:pPr>
          </w:p>
        </w:tc>
        <w:tc>
          <w:tcPr>
            <w:tcW w:w="688" w:type="pct"/>
            <w:noWrap w:val="0"/>
            <w:vAlign w:val="center"/>
          </w:tcPr>
          <w:p>
            <w:pPr>
              <w:pStyle w:val="8"/>
              <w:jc w:val="center"/>
              <w:rPr>
                <w:rFonts w:ascii="Times New Roman" w:hAnsi="Times New Roman"/>
                <w:color w:val="auto"/>
                <w:highlight w:val="none"/>
              </w:rPr>
            </w:pP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pct"/>
            <w:gridSpan w:val="2"/>
            <w:noWrap w:val="0"/>
            <w:vAlign w:val="center"/>
          </w:tcPr>
          <w:p>
            <w:pPr>
              <w:pStyle w:val="8"/>
              <w:jc w:val="left"/>
              <w:rPr>
                <w:rFonts w:ascii="Times New Roman" w:hAnsi="Times New Roman"/>
                <w:color w:val="auto"/>
                <w:highlight w:val="none"/>
              </w:rPr>
            </w:pPr>
            <w:r>
              <w:rPr>
                <w:rFonts w:ascii="Times New Roman" w:hAnsi="Times New Roman"/>
                <w:color w:val="auto"/>
                <w:highlight w:val="none"/>
              </w:rPr>
              <w:t>耗材</w:t>
            </w:r>
          </w:p>
        </w:tc>
        <w:tc>
          <w:tcPr>
            <w:tcW w:w="494" w:type="pct"/>
            <w:noWrap w:val="0"/>
            <w:vAlign w:val="center"/>
          </w:tcPr>
          <w:p>
            <w:pPr>
              <w:pStyle w:val="8"/>
              <w:jc w:val="center"/>
              <w:rPr>
                <w:rFonts w:ascii="Times New Roman" w:hAnsi="Times New Roman"/>
                <w:color w:val="auto"/>
                <w:highlight w:val="none"/>
              </w:rPr>
            </w:pPr>
          </w:p>
        </w:tc>
        <w:tc>
          <w:tcPr>
            <w:tcW w:w="494" w:type="pct"/>
            <w:noWrap w:val="0"/>
            <w:vAlign w:val="center"/>
          </w:tcPr>
          <w:p>
            <w:pPr>
              <w:pStyle w:val="8"/>
              <w:jc w:val="center"/>
              <w:rPr>
                <w:rFonts w:ascii="Times New Roman" w:hAnsi="Times New Roman"/>
                <w:color w:val="auto"/>
                <w:highlight w:val="none"/>
              </w:rPr>
            </w:pPr>
          </w:p>
        </w:tc>
        <w:tc>
          <w:tcPr>
            <w:tcW w:w="493" w:type="pct"/>
            <w:noWrap w:val="0"/>
            <w:vAlign w:val="center"/>
          </w:tcPr>
          <w:p>
            <w:pPr>
              <w:pStyle w:val="8"/>
              <w:jc w:val="center"/>
              <w:rPr>
                <w:rFonts w:ascii="Times New Roman" w:hAnsi="Times New Roman"/>
                <w:color w:val="auto"/>
                <w:highlight w:val="none"/>
              </w:rPr>
            </w:pPr>
          </w:p>
        </w:tc>
        <w:tc>
          <w:tcPr>
            <w:tcW w:w="328" w:type="pct"/>
            <w:noWrap w:val="0"/>
            <w:vAlign w:val="center"/>
          </w:tcPr>
          <w:p>
            <w:pPr>
              <w:pStyle w:val="8"/>
              <w:jc w:val="center"/>
              <w:rPr>
                <w:rFonts w:ascii="Times New Roman" w:hAnsi="Times New Roman"/>
                <w:color w:val="auto"/>
                <w:highlight w:val="none"/>
              </w:rPr>
            </w:pPr>
          </w:p>
        </w:tc>
        <w:tc>
          <w:tcPr>
            <w:tcW w:w="614" w:type="pct"/>
            <w:noWrap w:val="0"/>
            <w:vAlign w:val="center"/>
          </w:tcPr>
          <w:p>
            <w:pPr>
              <w:pStyle w:val="8"/>
              <w:jc w:val="center"/>
              <w:rPr>
                <w:rFonts w:ascii="Times New Roman" w:hAnsi="Times New Roman"/>
                <w:color w:val="auto"/>
                <w:highlight w:val="none"/>
              </w:rPr>
            </w:pPr>
          </w:p>
        </w:tc>
        <w:tc>
          <w:tcPr>
            <w:tcW w:w="688" w:type="pct"/>
            <w:noWrap w:val="0"/>
            <w:vAlign w:val="center"/>
          </w:tcPr>
          <w:p>
            <w:pPr>
              <w:pStyle w:val="8"/>
              <w:jc w:val="center"/>
              <w:rPr>
                <w:rFonts w:ascii="Times New Roman" w:hAnsi="Times New Roman"/>
                <w:color w:val="auto"/>
                <w:highlight w:val="none"/>
              </w:rPr>
            </w:pP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pct"/>
            <w:gridSpan w:val="2"/>
            <w:noWrap w:val="0"/>
            <w:vAlign w:val="center"/>
          </w:tcPr>
          <w:p>
            <w:pPr>
              <w:pStyle w:val="8"/>
              <w:jc w:val="left"/>
              <w:rPr>
                <w:rFonts w:ascii="Times New Roman" w:hAnsi="Times New Roman"/>
                <w:color w:val="auto"/>
                <w:highlight w:val="none"/>
              </w:rPr>
            </w:pPr>
            <w:r>
              <w:rPr>
                <w:rFonts w:ascii="Times New Roman" w:hAnsi="Times New Roman"/>
                <w:color w:val="auto"/>
                <w:highlight w:val="none"/>
              </w:rPr>
              <w:t>货物费合计</w:t>
            </w:r>
          </w:p>
        </w:tc>
        <w:tc>
          <w:tcPr>
            <w:tcW w:w="3701" w:type="pct"/>
            <w:gridSpan w:val="7"/>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restar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包装</w:t>
            </w:r>
          </w:p>
          <w:p>
            <w:pPr>
              <w:pStyle w:val="8"/>
              <w:jc w:val="center"/>
              <w:rPr>
                <w:rFonts w:ascii="Times New Roman" w:hAnsi="Times New Roman"/>
                <w:color w:val="auto"/>
                <w:highlight w:val="none"/>
              </w:rPr>
            </w:pPr>
            <w:r>
              <w:rPr>
                <w:rFonts w:ascii="Times New Roman" w:hAnsi="Times New Roman"/>
                <w:color w:val="auto"/>
                <w:highlight w:val="none"/>
              </w:rPr>
              <w:t>运输</w:t>
            </w:r>
          </w:p>
          <w:p>
            <w:pPr>
              <w:pStyle w:val="8"/>
              <w:jc w:val="center"/>
              <w:rPr>
                <w:rFonts w:ascii="Times New Roman" w:hAnsi="Times New Roman"/>
                <w:color w:val="auto"/>
                <w:highlight w:val="none"/>
              </w:rPr>
            </w:pPr>
            <w:r>
              <w:rPr>
                <w:rFonts w:ascii="Times New Roman" w:hAnsi="Times New Roman"/>
                <w:color w:val="auto"/>
                <w:highlight w:val="none"/>
              </w:rPr>
              <w:t>费</w:t>
            </w:r>
          </w:p>
        </w:tc>
        <w:tc>
          <w:tcPr>
            <w:tcW w:w="1235"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包装费</w:t>
            </w:r>
          </w:p>
        </w:tc>
        <w:tc>
          <w:tcPr>
            <w:tcW w:w="987" w:type="pct"/>
            <w:gridSpan w:val="2"/>
            <w:noWrap w:val="0"/>
            <w:vAlign w:val="center"/>
          </w:tcPr>
          <w:p>
            <w:pPr>
              <w:pStyle w:val="8"/>
              <w:jc w:val="center"/>
              <w:rPr>
                <w:rFonts w:ascii="Times New Roman" w:hAnsi="Times New Roman"/>
                <w:color w:val="auto"/>
                <w:highlight w:val="none"/>
              </w:rPr>
            </w:pPr>
          </w:p>
        </w:tc>
        <w:tc>
          <w:tcPr>
            <w:tcW w:w="328" w:type="pct"/>
            <w:vMerge w:val="restar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安装调试费</w:t>
            </w:r>
          </w:p>
        </w:tc>
        <w:tc>
          <w:tcPr>
            <w:tcW w:w="1302"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安装费</w:t>
            </w: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ascii="Times New Roman" w:hAnsi="Times New Roman"/>
                <w:color w:val="auto"/>
                <w:highlight w:val="none"/>
              </w:rPr>
            </w:pPr>
          </w:p>
        </w:tc>
        <w:tc>
          <w:tcPr>
            <w:tcW w:w="1235"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运输费</w:t>
            </w:r>
          </w:p>
        </w:tc>
        <w:tc>
          <w:tcPr>
            <w:tcW w:w="987" w:type="pct"/>
            <w:gridSpan w:val="2"/>
            <w:noWrap w:val="0"/>
            <w:vAlign w:val="center"/>
          </w:tcPr>
          <w:p>
            <w:pPr>
              <w:pStyle w:val="8"/>
              <w:jc w:val="center"/>
              <w:rPr>
                <w:rFonts w:ascii="Times New Roman" w:hAnsi="Times New Roman"/>
                <w:color w:val="auto"/>
                <w:highlight w:val="none"/>
              </w:rPr>
            </w:pPr>
          </w:p>
        </w:tc>
        <w:tc>
          <w:tcPr>
            <w:tcW w:w="328" w:type="pct"/>
            <w:vMerge w:val="continue"/>
            <w:noWrap w:val="0"/>
            <w:vAlign w:val="center"/>
          </w:tcPr>
          <w:p>
            <w:pPr>
              <w:pStyle w:val="8"/>
              <w:jc w:val="center"/>
              <w:rPr>
                <w:rFonts w:ascii="Times New Roman" w:hAnsi="Times New Roman"/>
                <w:color w:val="auto"/>
                <w:highlight w:val="none"/>
              </w:rPr>
            </w:pPr>
          </w:p>
        </w:tc>
        <w:tc>
          <w:tcPr>
            <w:tcW w:w="1302"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调试费</w:t>
            </w: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ascii="Times New Roman" w:hAnsi="Times New Roman"/>
                <w:color w:val="auto"/>
                <w:highlight w:val="none"/>
              </w:rPr>
            </w:pPr>
          </w:p>
        </w:tc>
        <w:tc>
          <w:tcPr>
            <w:tcW w:w="1235"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装卸费</w:t>
            </w:r>
          </w:p>
        </w:tc>
        <w:tc>
          <w:tcPr>
            <w:tcW w:w="987" w:type="pct"/>
            <w:gridSpan w:val="2"/>
            <w:noWrap w:val="0"/>
            <w:vAlign w:val="center"/>
          </w:tcPr>
          <w:p>
            <w:pPr>
              <w:pStyle w:val="8"/>
              <w:jc w:val="center"/>
              <w:rPr>
                <w:rFonts w:ascii="Times New Roman" w:hAnsi="Times New Roman"/>
                <w:color w:val="auto"/>
                <w:highlight w:val="none"/>
              </w:rPr>
            </w:pPr>
          </w:p>
        </w:tc>
        <w:tc>
          <w:tcPr>
            <w:tcW w:w="328" w:type="pct"/>
            <w:vMerge w:val="continue"/>
            <w:noWrap w:val="0"/>
            <w:vAlign w:val="center"/>
          </w:tcPr>
          <w:p>
            <w:pPr>
              <w:pStyle w:val="8"/>
              <w:jc w:val="center"/>
              <w:rPr>
                <w:rFonts w:ascii="Times New Roman" w:hAnsi="Times New Roman"/>
                <w:color w:val="auto"/>
                <w:highlight w:val="none"/>
              </w:rPr>
            </w:pPr>
          </w:p>
        </w:tc>
        <w:tc>
          <w:tcPr>
            <w:tcW w:w="1302" w:type="pct"/>
            <w:gridSpan w:val="2"/>
            <w:noWrap w:val="0"/>
            <w:vAlign w:val="center"/>
          </w:tcPr>
          <w:p>
            <w:pPr>
              <w:pStyle w:val="8"/>
              <w:jc w:val="center"/>
              <w:rPr>
                <w:rFonts w:ascii="Times New Roman" w:hAnsi="Times New Roman"/>
                <w:color w:val="auto"/>
                <w:highlight w:val="none"/>
              </w:rPr>
            </w:pPr>
            <w:r>
              <w:rPr>
                <w:rFonts w:hAnsi="宋体"/>
                <w:color w:val="auto"/>
                <w:highlight w:val="none"/>
              </w:rPr>
              <w:t>…</w:t>
            </w: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ascii="Times New Roman" w:hAnsi="Times New Roman"/>
                <w:color w:val="auto"/>
                <w:highlight w:val="none"/>
              </w:rPr>
            </w:pPr>
          </w:p>
        </w:tc>
        <w:tc>
          <w:tcPr>
            <w:tcW w:w="1235"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保险费</w:t>
            </w:r>
          </w:p>
        </w:tc>
        <w:tc>
          <w:tcPr>
            <w:tcW w:w="987" w:type="pct"/>
            <w:gridSpan w:val="2"/>
            <w:noWrap w:val="0"/>
            <w:vAlign w:val="center"/>
          </w:tcPr>
          <w:p>
            <w:pPr>
              <w:pStyle w:val="8"/>
              <w:jc w:val="center"/>
              <w:rPr>
                <w:rFonts w:ascii="Times New Roman" w:hAnsi="Times New Roman"/>
                <w:color w:val="auto"/>
                <w:highlight w:val="none"/>
              </w:rPr>
            </w:pPr>
          </w:p>
        </w:tc>
        <w:tc>
          <w:tcPr>
            <w:tcW w:w="328" w:type="pct"/>
            <w:vMerge w:val="continue"/>
            <w:noWrap w:val="0"/>
            <w:vAlign w:val="center"/>
          </w:tcPr>
          <w:p>
            <w:pPr>
              <w:pStyle w:val="8"/>
              <w:jc w:val="center"/>
              <w:rPr>
                <w:rFonts w:ascii="Times New Roman" w:hAnsi="Times New Roman"/>
                <w:color w:val="auto"/>
                <w:highlight w:val="none"/>
              </w:rPr>
            </w:pPr>
          </w:p>
        </w:tc>
        <w:tc>
          <w:tcPr>
            <w:tcW w:w="1302"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小计</w:t>
            </w: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ascii="Times New Roman" w:hAnsi="Times New Roman"/>
                <w:color w:val="auto"/>
                <w:highlight w:val="none"/>
              </w:rPr>
            </w:pPr>
          </w:p>
        </w:tc>
        <w:tc>
          <w:tcPr>
            <w:tcW w:w="1235" w:type="pct"/>
            <w:gridSpan w:val="2"/>
            <w:noWrap w:val="0"/>
            <w:vAlign w:val="center"/>
          </w:tcPr>
          <w:p>
            <w:pPr>
              <w:pStyle w:val="8"/>
              <w:jc w:val="center"/>
              <w:rPr>
                <w:rFonts w:ascii="Times New Roman" w:hAnsi="Times New Roman"/>
                <w:color w:val="auto"/>
                <w:highlight w:val="none"/>
              </w:rPr>
            </w:pPr>
            <w:r>
              <w:rPr>
                <w:rFonts w:hAnsi="宋体"/>
                <w:color w:val="auto"/>
                <w:highlight w:val="none"/>
              </w:rPr>
              <w:t>…</w:t>
            </w:r>
          </w:p>
        </w:tc>
        <w:tc>
          <w:tcPr>
            <w:tcW w:w="987" w:type="pct"/>
            <w:gridSpan w:val="2"/>
            <w:noWrap w:val="0"/>
            <w:vAlign w:val="center"/>
          </w:tcPr>
          <w:p>
            <w:pPr>
              <w:pStyle w:val="8"/>
              <w:jc w:val="center"/>
              <w:rPr>
                <w:rFonts w:ascii="Times New Roman" w:hAnsi="Times New Roman"/>
                <w:color w:val="auto"/>
                <w:highlight w:val="none"/>
              </w:rPr>
            </w:pPr>
          </w:p>
        </w:tc>
        <w:tc>
          <w:tcPr>
            <w:tcW w:w="328" w:type="pct"/>
            <w:vMerge w:val="restar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售后服务费</w:t>
            </w:r>
          </w:p>
        </w:tc>
        <w:tc>
          <w:tcPr>
            <w:tcW w:w="1302"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培训费</w:t>
            </w: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ascii="Times New Roman" w:hAnsi="Times New Roman"/>
                <w:color w:val="auto"/>
                <w:highlight w:val="none"/>
              </w:rPr>
            </w:pPr>
          </w:p>
        </w:tc>
        <w:tc>
          <w:tcPr>
            <w:tcW w:w="1235"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小计</w:t>
            </w:r>
          </w:p>
        </w:tc>
        <w:tc>
          <w:tcPr>
            <w:tcW w:w="987" w:type="pct"/>
            <w:gridSpan w:val="2"/>
            <w:noWrap w:val="0"/>
            <w:vAlign w:val="center"/>
          </w:tcPr>
          <w:p>
            <w:pPr>
              <w:pStyle w:val="8"/>
              <w:jc w:val="center"/>
              <w:rPr>
                <w:rFonts w:ascii="Times New Roman" w:hAnsi="Times New Roman"/>
                <w:color w:val="auto"/>
                <w:highlight w:val="none"/>
              </w:rPr>
            </w:pPr>
          </w:p>
        </w:tc>
        <w:tc>
          <w:tcPr>
            <w:tcW w:w="328" w:type="pct"/>
            <w:vMerge w:val="continue"/>
            <w:noWrap w:val="0"/>
            <w:vAlign w:val="center"/>
          </w:tcPr>
          <w:p>
            <w:pPr>
              <w:pStyle w:val="8"/>
              <w:jc w:val="center"/>
              <w:rPr>
                <w:rFonts w:ascii="Times New Roman" w:hAnsi="Times New Roman"/>
                <w:color w:val="auto"/>
                <w:highlight w:val="none"/>
              </w:rPr>
            </w:pPr>
          </w:p>
        </w:tc>
        <w:tc>
          <w:tcPr>
            <w:tcW w:w="1302"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技术服务费</w:t>
            </w: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restart"/>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其他</w:t>
            </w:r>
          </w:p>
          <w:p>
            <w:pPr>
              <w:pStyle w:val="8"/>
              <w:jc w:val="center"/>
              <w:rPr>
                <w:rFonts w:ascii="Times New Roman" w:hAnsi="Times New Roman"/>
                <w:color w:val="auto"/>
                <w:highlight w:val="none"/>
              </w:rPr>
            </w:pPr>
            <w:r>
              <w:rPr>
                <w:rFonts w:ascii="Times New Roman" w:hAnsi="Times New Roman"/>
                <w:color w:val="auto"/>
                <w:highlight w:val="none"/>
              </w:rPr>
              <w:t>费用</w:t>
            </w:r>
          </w:p>
        </w:tc>
        <w:tc>
          <w:tcPr>
            <w:tcW w:w="1235"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代理费</w:t>
            </w:r>
          </w:p>
        </w:tc>
        <w:tc>
          <w:tcPr>
            <w:tcW w:w="987" w:type="pct"/>
            <w:gridSpan w:val="2"/>
            <w:noWrap w:val="0"/>
            <w:vAlign w:val="center"/>
          </w:tcPr>
          <w:p>
            <w:pPr>
              <w:pStyle w:val="8"/>
              <w:jc w:val="center"/>
              <w:rPr>
                <w:rFonts w:ascii="Times New Roman" w:hAnsi="Times New Roman"/>
                <w:color w:val="auto"/>
                <w:highlight w:val="none"/>
              </w:rPr>
            </w:pPr>
          </w:p>
        </w:tc>
        <w:tc>
          <w:tcPr>
            <w:tcW w:w="328" w:type="pct"/>
            <w:vMerge w:val="continue"/>
            <w:noWrap w:val="0"/>
            <w:vAlign w:val="center"/>
          </w:tcPr>
          <w:p>
            <w:pPr>
              <w:pStyle w:val="8"/>
              <w:jc w:val="center"/>
              <w:rPr>
                <w:rFonts w:ascii="Times New Roman" w:hAnsi="Times New Roman"/>
                <w:color w:val="auto"/>
                <w:highlight w:val="none"/>
              </w:rPr>
            </w:pPr>
          </w:p>
        </w:tc>
        <w:tc>
          <w:tcPr>
            <w:tcW w:w="1302" w:type="pct"/>
            <w:gridSpan w:val="2"/>
            <w:noWrap w:val="0"/>
            <w:vAlign w:val="center"/>
          </w:tcPr>
          <w:p>
            <w:pPr>
              <w:pStyle w:val="8"/>
              <w:jc w:val="center"/>
              <w:rPr>
                <w:rFonts w:ascii="Times New Roman" w:hAnsi="Times New Roman"/>
                <w:color w:val="auto"/>
                <w:highlight w:val="none"/>
              </w:rPr>
            </w:pPr>
            <w:r>
              <w:rPr>
                <w:rFonts w:hAnsi="宋体"/>
                <w:color w:val="auto"/>
                <w:highlight w:val="none"/>
              </w:rPr>
              <w:t>…</w:t>
            </w: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ascii="Times New Roman" w:hAnsi="Times New Roman"/>
                <w:color w:val="auto"/>
                <w:highlight w:val="none"/>
              </w:rPr>
            </w:pPr>
          </w:p>
        </w:tc>
        <w:tc>
          <w:tcPr>
            <w:tcW w:w="1235" w:type="pct"/>
            <w:gridSpan w:val="2"/>
            <w:noWrap w:val="0"/>
            <w:vAlign w:val="center"/>
          </w:tcPr>
          <w:p>
            <w:pPr>
              <w:pStyle w:val="8"/>
              <w:jc w:val="center"/>
              <w:rPr>
                <w:rFonts w:ascii="Times New Roman" w:hAnsi="Times New Roman"/>
                <w:color w:val="auto"/>
                <w:highlight w:val="none"/>
              </w:rPr>
            </w:pPr>
            <w:r>
              <w:rPr>
                <w:rFonts w:hAnsi="宋体"/>
                <w:color w:val="auto"/>
                <w:highlight w:val="none"/>
              </w:rPr>
              <w:t>…</w:t>
            </w:r>
          </w:p>
        </w:tc>
        <w:tc>
          <w:tcPr>
            <w:tcW w:w="987" w:type="pct"/>
            <w:gridSpan w:val="2"/>
            <w:noWrap w:val="0"/>
            <w:vAlign w:val="center"/>
          </w:tcPr>
          <w:p>
            <w:pPr>
              <w:pStyle w:val="8"/>
              <w:jc w:val="center"/>
              <w:rPr>
                <w:rFonts w:ascii="Times New Roman" w:hAnsi="Times New Roman"/>
                <w:color w:val="auto"/>
                <w:highlight w:val="none"/>
              </w:rPr>
            </w:pPr>
          </w:p>
        </w:tc>
        <w:tc>
          <w:tcPr>
            <w:tcW w:w="328" w:type="pct"/>
            <w:vMerge w:val="continue"/>
            <w:noWrap w:val="0"/>
            <w:vAlign w:val="center"/>
          </w:tcPr>
          <w:p>
            <w:pPr>
              <w:pStyle w:val="8"/>
              <w:jc w:val="center"/>
              <w:rPr>
                <w:rFonts w:ascii="Times New Roman" w:hAnsi="Times New Roman"/>
                <w:color w:val="auto"/>
                <w:highlight w:val="none"/>
              </w:rPr>
            </w:pPr>
          </w:p>
        </w:tc>
        <w:tc>
          <w:tcPr>
            <w:tcW w:w="1302" w:type="pct"/>
            <w:gridSpan w:val="2"/>
            <w:noWrap w:val="0"/>
            <w:vAlign w:val="center"/>
          </w:tcPr>
          <w:p>
            <w:pPr>
              <w:pStyle w:val="8"/>
              <w:jc w:val="center"/>
              <w:rPr>
                <w:rFonts w:ascii="Times New Roman" w:hAnsi="Times New Roman"/>
                <w:color w:val="auto"/>
                <w:highlight w:val="none"/>
              </w:rPr>
            </w:pPr>
          </w:p>
        </w:tc>
        <w:tc>
          <w:tcPr>
            <w:tcW w:w="590" w:type="pct"/>
            <w:noWrap w:val="0"/>
            <w:vAlign w:val="center"/>
          </w:tcPr>
          <w:p>
            <w:pPr>
              <w:pStyle w:val="8"/>
              <w:jc w:val="center"/>
              <w:rPr>
                <w:rFonts w:ascii="Times New Roman" w:hAnsi="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Merge w:val="continue"/>
            <w:noWrap w:val="0"/>
            <w:vAlign w:val="center"/>
          </w:tcPr>
          <w:p>
            <w:pPr>
              <w:pStyle w:val="8"/>
              <w:jc w:val="center"/>
              <w:rPr>
                <w:rFonts w:ascii="Times New Roman" w:hAnsi="Times New Roman"/>
                <w:color w:val="auto"/>
                <w:highlight w:val="none"/>
              </w:rPr>
            </w:pPr>
          </w:p>
        </w:tc>
        <w:tc>
          <w:tcPr>
            <w:tcW w:w="1235"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小计</w:t>
            </w:r>
          </w:p>
        </w:tc>
        <w:tc>
          <w:tcPr>
            <w:tcW w:w="987" w:type="pct"/>
            <w:gridSpan w:val="2"/>
            <w:noWrap w:val="0"/>
            <w:vAlign w:val="center"/>
          </w:tcPr>
          <w:p>
            <w:pPr>
              <w:pStyle w:val="8"/>
              <w:jc w:val="center"/>
              <w:rPr>
                <w:rFonts w:ascii="Times New Roman" w:hAnsi="Times New Roman"/>
                <w:color w:val="auto"/>
                <w:highlight w:val="none"/>
              </w:rPr>
            </w:pPr>
          </w:p>
        </w:tc>
        <w:tc>
          <w:tcPr>
            <w:tcW w:w="328" w:type="pct"/>
            <w:vMerge w:val="continue"/>
            <w:noWrap w:val="0"/>
            <w:vAlign w:val="center"/>
          </w:tcPr>
          <w:p>
            <w:pPr>
              <w:pStyle w:val="8"/>
              <w:jc w:val="center"/>
              <w:rPr>
                <w:rFonts w:ascii="Times New Roman" w:hAnsi="Times New Roman"/>
                <w:color w:val="auto"/>
                <w:highlight w:val="none"/>
              </w:rPr>
            </w:pPr>
          </w:p>
        </w:tc>
        <w:tc>
          <w:tcPr>
            <w:tcW w:w="1302" w:type="pct"/>
            <w:gridSpan w:val="2"/>
            <w:noWrap w:val="0"/>
            <w:vAlign w:val="center"/>
          </w:tcPr>
          <w:p>
            <w:pPr>
              <w:pStyle w:val="8"/>
              <w:jc w:val="center"/>
              <w:rPr>
                <w:rFonts w:ascii="Times New Roman" w:hAnsi="Times New Roman"/>
                <w:color w:val="auto"/>
                <w:highlight w:val="none"/>
              </w:rPr>
            </w:pPr>
            <w:r>
              <w:rPr>
                <w:rFonts w:ascii="Times New Roman" w:hAnsi="Times New Roman"/>
                <w:color w:val="auto"/>
                <w:highlight w:val="none"/>
              </w:rPr>
              <w:t>小计</w:t>
            </w:r>
          </w:p>
        </w:tc>
        <w:tc>
          <w:tcPr>
            <w:tcW w:w="590" w:type="pct"/>
            <w:noWrap w:val="0"/>
            <w:vAlign w:val="center"/>
          </w:tcPr>
          <w:p>
            <w:pPr>
              <w:pStyle w:val="8"/>
              <w:jc w:val="center"/>
              <w:rPr>
                <w:rFonts w:ascii="Times New Roman" w:hAnsi="Times New Roman"/>
                <w:color w:val="auto"/>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1.本项目总价及分项报价均不接受任何形式的赠送、“零”报价和折扣报价。</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2.如报价不一致，按照投标人须知“19.核价原则”进行修正。</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 本表仅供参考，可扩展。</w:t>
      </w:r>
    </w:p>
    <w:p>
      <w:pPr>
        <w:pStyle w:val="8"/>
        <w:ind w:firstLine="420" w:firstLineChars="200"/>
        <w:rPr>
          <w:rFonts w:ascii="Times New Roman" w:hAnsi="Times New Roman"/>
          <w:color w:val="auto"/>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投标人代表（签字或盖章）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p>
    <w:p>
      <w:pPr>
        <w:widowControl/>
        <w:spacing w:after="0" w:line="240" w:lineRule="auto"/>
        <w:jc w:val="center"/>
        <w:rPr>
          <w:rFonts w:ascii="宋体" w:hAnsi="宋体" w:cs="宋体"/>
          <w:b/>
          <w:color w:val="auto"/>
          <w:sz w:val="28"/>
          <w:highlight w:val="none"/>
        </w:rPr>
      </w:pPr>
      <w:r>
        <w:rPr>
          <w:rFonts w:ascii="宋体" w:hAnsi="宋体" w:cs="宋体"/>
          <w:b/>
          <w:color w:val="auto"/>
          <w:sz w:val="21"/>
          <w:szCs w:val="21"/>
          <w:highlight w:val="none"/>
        </w:rPr>
        <w:br w:type="page"/>
      </w:r>
      <w:r>
        <w:rPr>
          <w:rFonts w:ascii="宋体" w:hAnsi="宋体" w:cs="宋体"/>
          <w:b/>
          <w:color w:val="auto"/>
          <w:sz w:val="28"/>
          <w:highlight w:val="none"/>
        </w:rPr>
        <w:t>2.</w:t>
      </w:r>
      <w:r>
        <w:rPr>
          <w:rFonts w:hint="eastAsia" w:ascii="宋体" w:hAnsi="宋体" w:cs="宋体"/>
          <w:b/>
          <w:color w:val="auto"/>
          <w:sz w:val="28"/>
          <w:highlight w:val="none"/>
          <w:lang w:val="en-US" w:eastAsia="zh-CN"/>
        </w:rPr>
        <w:t>2</w:t>
      </w:r>
      <w:r>
        <w:rPr>
          <w:rFonts w:hint="eastAsia" w:ascii="宋体" w:hAnsi="宋体" w:cs="宋体"/>
          <w:b/>
          <w:color w:val="auto"/>
          <w:sz w:val="28"/>
          <w:highlight w:val="none"/>
        </w:rPr>
        <w:t>分项报价表</w:t>
      </w:r>
    </w:p>
    <w:p>
      <w:pPr>
        <w:pStyle w:val="8"/>
        <w:topLinePunct/>
        <w:autoSpaceDE w:val="0"/>
        <w:autoSpaceDN w:val="0"/>
        <w:adjustRightInd w:val="0"/>
        <w:snapToGrid w:val="0"/>
        <w:spacing w:line="360" w:lineRule="auto"/>
        <w:ind w:left="2"/>
        <w:jc w:val="center"/>
        <w:rPr>
          <w:rFonts w:hAnsi="宋体" w:cs="宋体"/>
          <w:b/>
          <w:bCs/>
          <w:color w:val="auto"/>
          <w:kern w:val="2"/>
          <w:sz w:val="21"/>
          <w:highlight w:val="none"/>
        </w:rPr>
      </w:pPr>
      <w:r>
        <w:rPr>
          <w:rFonts w:hint="eastAsia" w:hAnsi="宋体" w:cs="宋体"/>
          <w:b w:val="0"/>
          <w:bCs w:val="0"/>
          <w:color w:val="auto"/>
          <w:kern w:val="2"/>
          <w:sz w:val="21"/>
          <w:highlight w:val="none"/>
        </w:rPr>
        <w:t>（服务类项目适用)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adjustRightInd w:val="0"/>
        <w:snapToGrid w:val="0"/>
        <w:spacing w:after="0" w:line="360" w:lineRule="auto"/>
        <w:ind w:right="840"/>
        <w:rPr>
          <w:rFonts w:ascii="宋体" w:hAnsi="宋体" w:cs="宋体"/>
          <w:bCs/>
          <w:color w:val="auto"/>
          <w:w w:val="150"/>
          <w:szCs w:val="21"/>
          <w:highlight w:val="none"/>
        </w:rPr>
      </w:pPr>
      <w:r>
        <w:rPr>
          <w:rFonts w:hint="eastAsia" w:ascii="宋体" w:hAnsi="宋体" w:cs="宋体"/>
          <w:color w:val="auto"/>
          <w:highlight w:val="none"/>
        </w:rPr>
        <w:t>采购包号：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价格单位：人民币   元</w:t>
      </w:r>
    </w:p>
    <w:tbl>
      <w:tblPr>
        <w:tblStyle w:val="13"/>
        <w:tblW w:w="9181" w:type="dxa"/>
        <w:jc w:val="center"/>
        <w:tblLayout w:type="fixed"/>
        <w:tblCellMar>
          <w:top w:w="0" w:type="dxa"/>
          <w:left w:w="108" w:type="dxa"/>
          <w:bottom w:w="0" w:type="dxa"/>
          <w:right w:w="108" w:type="dxa"/>
        </w:tblCellMar>
      </w:tblPr>
      <w:tblGrid>
        <w:gridCol w:w="644"/>
        <w:gridCol w:w="1691"/>
        <w:gridCol w:w="2331"/>
        <w:gridCol w:w="1271"/>
        <w:gridCol w:w="1259"/>
        <w:gridCol w:w="1342"/>
        <w:gridCol w:w="643"/>
      </w:tblGrid>
      <w:tr>
        <w:tblPrEx>
          <w:tblCellMar>
            <w:top w:w="0" w:type="dxa"/>
            <w:left w:w="108" w:type="dxa"/>
            <w:bottom w:w="0" w:type="dxa"/>
            <w:right w:w="108" w:type="dxa"/>
          </w:tblCellMar>
        </w:tblPrEx>
        <w:trPr>
          <w:trHeight w:val="409"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692" w:type="dxa"/>
            <w:tcBorders>
              <w:top w:val="single" w:color="auto" w:sz="4" w:space="0"/>
              <w:left w:val="nil"/>
              <w:bottom w:val="single" w:color="auto" w:sz="4" w:space="0"/>
              <w:right w:val="single" w:color="auto" w:sz="4" w:space="0"/>
            </w:tcBorders>
            <w:noWrap w:val="0"/>
            <w:vAlign w:val="center"/>
          </w:tcPr>
          <w:p>
            <w:pPr>
              <w:widowControl/>
              <w:spacing w:after="0" w:line="240" w:lineRule="auto"/>
              <w:ind w:left="-84" w:leftChars="-40" w:firstLine="82" w:firstLineChars="39"/>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项目名称</w:t>
            </w:r>
          </w:p>
        </w:tc>
        <w:tc>
          <w:tcPr>
            <w:tcW w:w="2332" w:type="dxa"/>
            <w:tcBorders>
              <w:top w:val="single" w:color="auto" w:sz="4" w:space="0"/>
              <w:left w:val="nil"/>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内容描述</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…费用</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…费用</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小计</w:t>
            </w:r>
          </w:p>
          <w:p>
            <w:pPr>
              <w:widowControl/>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（元）</w:t>
            </w:r>
          </w:p>
        </w:tc>
        <w:tc>
          <w:tcPr>
            <w:tcW w:w="643"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CellMar>
            <w:top w:w="0" w:type="dxa"/>
            <w:left w:w="108" w:type="dxa"/>
            <w:bottom w:w="0" w:type="dxa"/>
            <w:right w:w="108" w:type="dxa"/>
          </w:tblCellMar>
        </w:tblPrEx>
        <w:trPr>
          <w:trHeight w:val="671"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692"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71"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692"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71"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692"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08" w:hRule="atLeast"/>
          <w:tblHeader/>
          <w:jc w:val="center"/>
        </w:trPr>
        <w:tc>
          <w:tcPr>
            <w:tcW w:w="644"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692" w:type="dxa"/>
            <w:tcBorders>
              <w:top w:val="nil"/>
              <w:left w:val="nil"/>
              <w:bottom w:val="single" w:color="auto" w:sz="4" w:space="0"/>
              <w:right w:val="single" w:color="auto" w:sz="4" w:space="0"/>
            </w:tcBorders>
            <w:noWrap w:val="0"/>
            <w:vAlign w:val="center"/>
          </w:tcPr>
          <w:p>
            <w:pPr>
              <w:spacing w:after="0" w:line="240" w:lineRule="auto"/>
              <w:jc w:val="center"/>
              <w:rPr>
                <w:rFonts w:hint="default" w:ascii="Times New Roman" w:hAnsi="Times New Roman" w:cs="Times New Roman"/>
                <w:color w:val="auto"/>
                <w:sz w:val="21"/>
                <w:szCs w:val="21"/>
                <w:highlight w:val="none"/>
              </w:rPr>
            </w:pPr>
          </w:p>
        </w:tc>
        <w:tc>
          <w:tcPr>
            <w:tcW w:w="2332" w:type="dxa"/>
            <w:tcBorders>
              <w:top w:val="nil"/>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nil"/>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16"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169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10" w:hRule="atLeast"/>
          <w:tblHeader/>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69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2332" w:type="dxa"/>
            <w:tcBorders>
              <w:top w:val="single" w:color="auto" w:sz="4" w:space="0"/>
              <w:left w:val="nil"/>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r>
        <w:tblPrEx>
          <w:tblCellMar>
            <w:top w:w="0" w:type="dxa"/>
            <w:left w:w="108" w:type="dxa"/>
            <w:bottom w:w="0" w:type="dxa"/>
            <w:right w:w="108" w:type="dxa"/>
          </w:tblCellMar>
        </w:tblPrEx>
        <w:trPr>
          <w:trHeight w:val="610" w:hRule="atLeast"/>
          <w:tblHeader/>
          <w:jc w:val="center"/>
        </w:trPr>
        <w:tc>
          <w:tcPr>
            <w:tcW w:w="466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   计</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255"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tabs>
                <w:tab w:val="left" w:pos="425"/>
              </w:tabs>
              <w:snapToGri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1.本项目总价及分项报价均不接受任何形式的赠送、“零”报价和折扣报价。</w:t>
      </w:r>
    </w:p>
    <w:p>
      <w:pPr>
        <w:topLinePunct/>
        <w:autoSpaceDE w:val="0"/>
        <w:autoSpaceDN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2.如报价不一致，按照投标人须知“19.核价原则”进行修正。</w:t>
      </w:r>
    </w:p>
    <w:p>
      <w:pPr>
        <w:topLinePunct/>
        <w:autoSpaceDE w:val="0"/>
        <w:autoSpaceDN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3.本表中小计=    数量×单价。</w:t>
      </w:r>
    </w:p>
    <w:p>
      <w:pPr>
        <w:topLinePunct/>
        <w:autoSpaceDE w:val="0"/>
        <w:autoSpaceDN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4.本表仅供参考，可扩展。</w:t>
      </w:r>
    </w:p>
    <w:p>
      <w:pPr>
        <w:pStyle w:val="8"/>
        <w:ind w:firstLine="420" w:firstLineChars="200"/>
        <w:rPr>
          <w:rFonts w:hint="default" w:ascii="Times New Roman" w:hAnsi="Times New Roman" w:cs="Times New Roman"/>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w:t>
      </w:r>
      <w:r>
        <w:rPr>
          <w:rFonts w:hint="default" w:ascii="Times New Roman" w:hAnsi="Times New Roman" w:cs="Times New Roman"/>
          <w:color w:val="auto"/>
          <w:kern w:val="0"/>
          <w:sz w:val="21"/>
          <w:szCs w:val="21"/>
          <w:highlight w:val="none"/>
        </w:rPr>
        <w:t>（全称并加盖公章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投标人代表（签字或盖章）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w:t>
      </w:r>
      <w:r>
        <w:rPr>
          <w:rFonts w:hint="default" w:ascii="Times New Roman" w:hAnsi="Times New Roman" w:cs="Times New Roman"/>
          <w:color w:val="auto"/>
          <w:sz w:val="21"/>
          <w:szCs w:val="21"/>
          <w:highlight w:val="none"/>
          <w:u w:val="single"/>
        </w:rPr>
        <w:t xml:space="preserve">                                 </w:t>
      </w:r>
    </w:p>
    <w:p>
      <w:pPr>
        <w:widowControl/>
        <w:spacing w:after="0" w:line="240" w:lineRule="auto"/>
        <w:jc w:val="center"/>
        <w:rPr>
          <w:rFonts w:ascii="宋体" w:hAnsi="宋体" w:cs="宋体"/>
          <w:b/>
          <w:bCs/>
          <w:color w:val="auto"/>
          <w:sz w:val="28"/>
          <w:szCs w:val="28"/>
          <w:highlight w:val="none"/>
        </w:rPr>
      </w:pPr>
      <w:r>
        <w:rPr>
          <w:rFonts w:ascii="宋体" w:hAnsi="宋体" w:cs="宋体"/>
          <w:b/>
          <w:bCs/>
          <w:color w:val="auto"/>
          <w:sz w:val="36"/>
          <w:szCs w:val="36"/>
          <w:highlight w:val="none"/>
        </w:rPr>
        <w:br w:type="page"/>
      </w:r>
      <w:r>
        <w:rPr>
          <w:rFonts w:hint="eastAsia" w:ascii="宋体" w:hAnsi="宋体" w:cs="宋体"/>
          <w:b/>
          <w:bCs/>
          <w:color w:val="auto"/>
          <w:sz w:val="28"/>
          <w:szCs w:val="28"/>
          <w:highlight w:val="none"/>
        </w:rPr>
        <w:t>格式4  商务条款偏离表</w:t>
      </w:r>
    </w:p>
    <w:tbl>
      <w:tblPr>
        <w:tblStyle w:val="1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798"/>
        <w:gridCol w:w="1545"/>
        <w:gridCol w:w="1530"/>
        <w:gridCol w:w="1515"/>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798"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招标文件条目号</w:t>
            </w:r>
          </w:p>
        </w:tc>
        <w:tc>
          <w:tcPr>
            <w:tcW w:w="154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招标文件</w:t>
            </w:r>
          </w:p>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商务条款</w:t>
            </w:r>
          </w:p>
        </w:tc>
        <w:tc>
          <w:tcPr>
            <w:tcW w:w="153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投标文件</w:t>
            </w:r>
          </w:p>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商务条款</w:t>
            </w:r>
          </w:p>
        </w:tc>
        <w:tc>
          <w:tcPr>
            <w:tcW w:w="151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偏离</w:t>
            </w:r>
          </w:p>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（无/正/负）</w:t>
            </w:r>
          </w:p>
        </w:tc>
        <w:tc>
          <w:tcPr>
            <w:tcW w:w="128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spacing w:beforeLines="20" w:after="4"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798"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c>
          <w:tcPr>
            <w:tcW w:w="1285"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spacing w:beforeLines="20" w:after="312" w:line="240" w:lineRule="auto"/>
              <w:jc w:val="center"/>
              <w:rPr>
                <w:rFonts w:hint="default" w:ascii="Times New Roman" w:hAnsi="Times New Roman" w:cs="Times New Roman"/>
                <w:b/>
                <w:bCs/>
                <w:color w:val="auto"/>
                <w:sz w:val="21"/>
                <w:szCs w:val="21"/>
                <w:highlight w:val="none"/>
              </w:rPr>
            </w:pPr>
          </w:p>
        </w:tc>
      </w:tr>
    </w:tbl>
    <w:p>
      <w:pPr>
        <w:topLinePunct/>
        <w:autoSpaceDE w:val="0"/>
        <w:autoSpaceDN w:val="0"/>
        <w:spacing w:after="0"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1.商务条款无需条对条应答，如无偏离，请在此表中填写“无偏离”；如有偏离，请在此表中应答为“正/负偏离”并说明偏离情况。</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2.如《招标文件-商务部分》中有标注★号的，则为实质性要求，必须满足，如应答为“负偏离”，将导致投标无效。</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3.本表可扩展。</w:t>
      </w:r>
    </w:p>
    <w:p>
      <w:pPr>
        <w:topLinePunct/>
        <w:autoSpaceDE w:val="0"/>
        <w:autoSpaceDN w:val="0"/>
        <w:spacing w:line="500" w:lineRule="exact"/>
        <w:rPr>
          <w:rFonts w:hAnsi="宋体"/>
          <w:color w:val="auto"/>
          <w:sz w:val="24"/>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投标人代表（签字或盖章）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rPr>
          <w:rFonts w:hAnsi="宋体" w:cs="宋体"/>
          <w:b/>
          <w:bCs/>
          <w:color w:val="auto"/>
          <w:sz w:val="28"/>
          <w:szCs w:val="28"/>
          <w:highlight w:val="none"/>
        </w:rPr>
      </w:pPr>
    </w:p>
    <w:p>
      <w:pPr>
        <w:snapToGrid w:val="0"/>
        <w:spacing w:after="0" w:line="360" w:lineRule="auto"/>
        <w:jc w:val="center"/>
        <w:rPr>
          <w:rFonts w:hint="default" w:ascii="Times New Roman" w:hAnsi="Times New Roman" w:cs="Times New Roman"/>
          <w:b/>
          <w:bCs/>
          <w:color w:val="auto"/>
          <w:sz w:val="28"/>
          <w:szCs w:val="28"/>
          <w:highlight w:val="none"/>
        </w:rPr>
      </w:pPr>
      <w:r>
        <w:rPr>
          <w:rFonts w:hAnsi="宋体" w:cs="宋体"/>
          <w:b/>
          <w:bCs/>
          <w:color w:val="auto"/>
          <w:sz w:val="28"/>
          <w:szCs w:val="28"/>
          <w:highlight w:val="none"/>
        </w:rPr>
        <w:br w:type="page"/>
      </w:r>
      <w:r>
        <w:rPr>
          <w:rFonts w:hint="default" w:ascii="Times New Roman" w:hAnsi="Times New Roman" w:cs="Times New Roman"/>
          <w:b/>
          <w:bCs/>
          <w:color w:val="auto"/>
          <w:sz w:val="28"/>
          <w:szCs w:val="28"/>
          <w:highlight w:val="none"/>
        </w:rPr>
        <w:t>格式5  投标人具备投标资格证明文件</w:t>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5-1投标人基本情况</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567"/>
        <w:gridCol w:w="1560"/>
        <w:gridCol w:w="1701"/>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供应商名称</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法定代表人</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统一社会信用代码</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邮政编码</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授权代表</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联系电话</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电子邮箱</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传真</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上年营业收入</w:t>
            </w:r>
          </w:p>
        </w:tc>
        <w:tc>
          <w:tcPr>
            <w:tcW w:w="123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员工总人数</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基本账户开户行及账号</w:t>
            </w:r>
          </w:p>
        </w:tc>
        <w:tc>
          <w:tcPr>
            <w:tcW w:w="3456" w:type="pct"/>
            <w:gridSpan w:val="3"/>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税务登记机关</w:t>
            </w:r>
          </w:p>
        </w:tc>
        <w:tc>
          <w:tcPr>
            <w:tcW w:w="3456" w:type="pct"/>
            <w:gridSpan w:val="3"/>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资质名称</w:t>
            </w:r>
          </w:p>
        </w:tc>
        <w:tc>
          <w:tcPr>
            <w:tcW w:w="90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等级</w:t>
            </w:r>
          </w:p>
        </w:tc>
        <w:tc>
          <w:tcPr>
            <w:tcW w:w="987"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发证机关</w:t>
            </w:r>
          </w:p>
        </w:tc>
        <w:tc>
          <w:tcPr>
            <w:tcW w:w="1564"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05" w:type="pct"/>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pct"/>
            <w:gridSpan w:val="2"/>
            <w:noWrap w:val="0"/>
            <w:vAlign w:val="center"/>
          </w:tcPr>
          <w:p>
            <w:pPr>
              <w:pStyle w:val="8"/>
              <w:spacing w:line="360" w:lineRule="auto"/>
              <w:jc w:val="center"/>
              <w:rPr>
                <w:rFonts w:ascii="Times New Roman" w:hAnsi="Times New Roman"/>
                <w:color w:val="auto"/>
                <w:sz w:val="21"/>
                <w:szCs w:val="21"/>
                <w:highlight w:val="none"/>
              </w:rPr>
            </w:pPr>
          </w:p>
        </w:tc>
        <w:tc>
          <w:tcPr>
            <w:tcW w:w="905" w:type="pct"/>
            <w:noWrap w:val="0"/>
            <w:vAlign w:val="center"/>
          </w:tcPr>
          <w:p>
            <w:pPr>
              <w:pStyle w:val="8"/>
              <w:spacing w:line="360" w:lineRule="auto"/>
              <w:jc w:val="center"/>
              <w:rPr>
                <w:rFonts w:ascii="Times New Roman" w:hAnsi="Times New Roman"/>
                <w:color w:val="auto"/>
                <w:sz w:val="21"/>
                <w:szCs w:val="21"/>
                <w:highlight w:val="none"/>
              </w:rPr>
            </w:pPr>
          </w:p>
        </w:tc>
        <w:tc>
          <w:tcPr>
            <w:tcW w:w="987" w:type="pct"/>
            <w:noWrap w:val="0"/>
            <w:vAlign w:val="center"/>
          </w:tcPr>
          <w:p>
            <w:pPr>
              <w:pStyle w:val="8"/>
              <w:spacing w:line="360" w:lineRule="auto"/>
              <w:jc w:val="center"/>
              <w:rPr>
                <w:rFonts w:ascii="Times New Roman" w:hAnsi="Times New Roman"/>
                <w:color w:val="auto"/>
                <w:sz w:val="21"/>
                <w:szCs w:val="21"/>
                <w:highlight w:val="none"/>
              </w:rPr>
            </w:pPr>
          </w:p>
        </w:tc>
        <w:tc>
          <w:tcPr>
            <w:tcW w:w="1564" w:type="pct"/>
            <w:noWrap w:val="0"/>
            <w:vAlign w:val="center"/>
          </w:tcPr>
          <w:p>
            <w:pPr>
              <w:pStyle w:val="8"/>
              <w:spacing w:line="360" w:lineRule="auto"/>
              <w:jc w:val="center"/>
              <w:rPr>
                <w:rFonts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pct"/>
            <w:noWrap w:val="0"/>
            <w:vAlign w:val="center"/>
          </w:tcPr>
          <w:p>
            <w:pPr>
              <w:pStyle w:val="8"/>
              <w:spacing w:line="360" w:lineRule="auto"/>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备注</w:t>
            </w:r>
          </w:p>
        </w:tc>
        <w:tc>
          <w:tcPr>
            <w:tcW w:w="3785" w:type="pct"/>
            <w:gridSpan w:val="4"/>
            <w:noWrap w:val="0"/>
            <w:vAlign w:val="center"/>
          </w:tcPr>
          <w:p>
            <w:pPr>
              <w:pStyle w:val="8"/>
              <w:spacing w:line="360" w:lineRule="auto"/>
              <w:jc w:val="center"/>
              <w:rPr>
                <w:rFonts w:ascii="Times New Roman" w:hAnsi="Times New Roman"/>
                <w:color w:val="auto"/>
                <w:sz w:val="21"/>
                <w:szCs w:val="21"/>
                <w:highlight w:val="none"/>
              </w:rPr>
            </w:pPr>
          </w:p>
        </w:tc>
      </w:tr>
    </w:tbl>
    <w:p>
      <w:pPr>
        <w:topLinePunct/>
        <w:autoSpaceDE w:val="0"/>
        <w:autoSpaceDN w:val="0"/>
        <w:spacing w:line="500" w:lineRule="exact"/>
        <w:rPr>
          <w:rFonts w:hAnsi="宋体"/>
          <w:color w:val="auto"/>
          <w:sz w:val="24"/>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投标人代表（签字或盖章）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pStyle w:val="8"/>
        <w:ind w:firstLine="420" w:firstLineChars="200"/>
        <w:rPr>
          <w:rFonts w:ascii="Times New Roman" w:hAnsi="Times New Roman"/>
          <w:color w:val="auto"/>
          <w:sz w:val="21"/>
          <w:szCs w:val="21"/>
          <w:highlight w:val="none"/>
        </w:rPr>
      </w:pPr>
    </w:p>
    <w:p>
      <w:pPr>
        <w:widowControl/>
        <w:spacing w:after="0" w:line="240" w:lineRule="auto"/>
        <w:jc w:val="center"/>
        <w:rPr>
          <w:rFonts w:hint="default" w:ascii="Times New Roman" w:hAnsi="Times New Roman" w:cs="Times New Roman"/>
          <w:b/>
          <w:bCs/>
          <w:color w:val="auto"/>
          <w:sz w:val="28"/>
          <w:szCs w:val="28"/>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5-</w:t>
      </w:r>
      <w:r>
        <w:rPr>
          <w:rFonts w:hint="eastAsia" w:cs="Times New Roman"/>
          <w:b/>
          <w:bCs/>
          <w:color w:val="auto"/>
          <w:sz w:val="28"/>
          <w:szCs w:val="28"/>
          <w:highlight w:val="none"/>
          <w:lang w:val="en-US" w:eastAsia="zh-CN"/>
        </w:rPr>
        <w:t>2</w:t>
      </w:r>
      <w:r>
        <w:rPr>
          <w:rFonts w:hint="default" w:ascii="Times New Roman" w:hAnsi="Times New Roman" w:cs="Times New Roman"/>
          <w:b/>
          <w:bCs/>
          <w:color w:val="auto"/>
          <w:sz w:val="28"/>
          <w:szCs w:val="28"/>
          <w:highlight w:val="none"/>
        </w:rPr>
        <w:t xml:space="preserve"> 财务状况报告</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根据资格条件要求提供相应材料。</w:t>
      </w: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5-</w:t>
      </w:r>
      <w:r>
        <w:rPr>
          <w:rFonts w:hint="eastAsia" w:cs="Times New Roman"/>
          <w:b/>
          <w:bCs/>
          <w:color w:val="auto"/>
          <w:sz w:val="28"/>
          <w:szCs w:val="28"/>
          <w:highlight w:val="none"/>
          <w:lang w:val="en-US" w:eastAsia="zh-CN"/>
        </w:rPr>
        <w:t>3</w:t>
      </w:r>
      <w:r>
        <w:rPr>
          <w:rFonts w:hint="default" w:ascii="Times New Roman" w:hAnsi="Times New Roman" w:cs="Times New Roman"/>
          <w:b/>
          <w:bCs/>
          <w:color w:val="auto"/>
          <w:sz w:val="28"/>
          <w:szCs w:val="28"/>
          <w:highlight w:val="none"/>
        </w:rPr>
        <w:t>依法缴纳税收的相关材料</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根据资格条件要求提供相应材料。</w:t>
      </w: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5-</w:t>
      </w:r>
      <w:r>
        <w:rPr>
          <w:rFonts w:hint="eastAsia" w:cs="Times New Roman"/>
          <w:b/>
          <w:bCs/>
          <w:color w:val="auto"/>
          <w:sz w:val="28"/>
          <w:szCs w:val="28"/>
          <w:highlight w:val="none"/>
          <w:lang w:val="en-US" w:eastAsia="zh-CN"/>
        </w:rPr>
        <w:t>4</w:t>
      </w:r>
      <w:r>
        <w:rPr>
          <w:rFonts w:hint="default" w:ascii="Times New Roman" w:hAnsi="Times New Roman" w:cs="Times New Roman"/>
          <w:b/>
          <w:bCs/>
          <w:color w:val="auto"/>
          <w:sz w:val="28"/>
          <w:szCs w:val="28"/>
          <w:highlight w:val="none"/>
        </w:rPr>
        <w:t>依法缴纳社会保障资金的相关材料</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根据资格条件要求提供相应材料。</w:t>
      </w: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ind w:firstLine="480" w:firstLineChars="200"/>
        <w:jc w:val="left"/>
        <w:rPr>
          <w:rFonts w:hint="default" w:ascii="Times New Roman" w:hAnsi="Times New Roman" w:cs="Times New Roman"/>
          <w:color w:val="auto"/>
          <w:kern w:val="0"/>
          <w:sz w:val="24"/>
          <w:highlight w:val="none"/>
        </w:rPr>
      </w:pPr>
    </w:p>
    <w:p>
      <w:pPr>
        <w:spacing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5-</w:t>
      </w:r>
      <w:r>
        <w:rPr>
          <w:rFonts w:hint="eastAsia" w:cs="Times New Roman"/>
          <w:b/>
          <w:bCs/>
          <w:color w:val="auto"/>
          <w:sz w:val="28"/>
          <w:szCs w:val="28"/>
          <w:highlight w:val="none"/>
          <w:lang w:val="en-US" w:eastAsia="zh-CN"/>
        </w:rPr>
        <w:t>5</w:t>
      </w:r>
      <w:r>
        <w:rPr>
          <w:rFonts w:hint="default" w:ascii="Times New Roman" w:hAnsi="Times New Roman" w:cs="Times New Roman"/>
          <w:b/>
          <w:bCs/>
          <w:color w:val="auto"/>
          <w:sz w:val="28"/>
          <w:szCs w:val="28"/>
          <w:highlight w:val="none"/>
        </w:rPr>
        <w:t>具备履行合同所必需的设备和专业技术能力的证明材料</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根据资格条件要求提供相应材料。</w:t>
      </w:r>
    </w:p>
    <w:p>
      <w:pPr>
        <w:adjustRightInd w:val="0"/>
        <w:snapToGrid w:val="0"/>
        <w:spacing w:after="0" w:line="360" w:lineRule="auto"/>
        <w:jc w:val="center"/>
        <w:rPr>
          <w:rFonts w:hint="default" w:ascii="Times New Roman" w:hAnsi="Times New Roman" w:cs="Times New Roman"/>
          <w:b/>
          <w:bCs/>
          <w:color w:val="auto"/>
          <w:sz w:val="28"/>
          <w:szCs w:val="28"/>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5-</w:t>
      </w:r>
      <w:r>
        <w:rPr>
          <w:rFonts w:hint="eastAsia" w:cs="Times New Roman"/>
          <w:b/>
          <w:bCs/>
          <w:color w:val="auto"/>
          <w:sz w:val="28"/>
          <w:szCs w:val="28"/>
          <w:highlight w:val="none"/>
          <w:lang w:val="en-US" w:eastAsia="zh-CN"/>
        </w:rPr>
        <w:t>6</w:t>
      </w:r>
      <w:r>
        <w:rPr>
          <w:rFonts w:hint="default" w:ascii="Times New Roman" w:hAnsi="Times New Roman" w:cs="Times New Roman"/>
          <w:b/>
          <w:bCs/>
          <w:color w:val="auto"/>
          <w:sz w:val="28"/>
          <w:szCs w:val="28"/>
          <w:highlight w:val="none"/>
        </w:rPr>
        <w:t>参加本次政府采购活动前三年内在经营活动中</w:t>
      </w:r>
    </w:p>
    <w:p>
      <w:pPr>
        <w:snapToGrid w:val="0"/>
        <w:spacing w:after="0" w:line="360" w:lineRule="auto"/>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color w:val="auto"/>
          <w:highlight w:val="none"/>
        </w:rPr>
      </w:pPr>
      <w:r>
        <w:rPr>
          <w:rFonts w:hint="eastAsia"/>
          <w:color w:val="auto"/>
          <w:highlight w:val="none"/>
        </w:rPr>
        <w:t>致________（采购人或采购代理机构）：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我单位在参加本次采购活动前三年内在经营活动中没有《政府采购法》第二十二条第一款第（五）项所称重大违法记录，包括：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我单位未因经营活动中的违法行为受到刑事处罚或者责令停产停业、吊销许可证或者执照、较大数额罚款等行政处罚。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特此声明！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（请投标人根据实际情况如实声明，否则视为提供虚假材料。）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投标人</w:t>
      </w:r>
      <w:r>
        <w:rPr>
          <w:color w:val="auto"/>
          <w:highlight w:val="none"/>
        </w:rPr>
        <w:t>（全称并加盖公章</w:t>
      </w:r>
      <w:r>
        <w:rPr>
          <w:rFonts w:hint="eastAsia"/>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 xml:space="preserve">投标人代表（签字或盖章）：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highlight w:val="none"/>
        </w:rPr>
        <w:t xml:space="preserve">日期：                                 </w:t>
      </w:r>
    </w:p>
    <w:p>
      <w:pPr>
        <w:widowControl/>
        <w:spacing w:after="0" w:line="240" w:lineRule="auto"/>
        <w:jc w:val="center"/>
        <w:rPr>
          <w:rFonts w:ascii="宋体" w:hAnsi="宋体" w:cs="宋体"/>
          <w:b/>
          <w:bCs/>
          <w:color w:val="auto"/>
          <w:sz w:val="28"/>
          <w:szCs w:val="28"/>
          <w:highlight w:val="none"/>
        </w:rPr>
      </w:pPr>
      <w:r>
        <w:rPr>
          <w:rFonts w:hAnsi="宋体" w:cs="宋体"/>
          <w:color w:val="auto"/>
          <w:sz w:val="21"/>
          <w:szCs w:val="21"/>
          <w:highlight w:val="none"/>
        </w:rPr>
        <w:br w:type="page"/>
      </w:r>
      <w:r>
        <w:rPr>
          <w:rFonts w:hint="default" w:ascii="Times New Roman" w:hAnsi="Times New Roman" w:cs="Times New Roman"/>
          <w:b/>
          <w:bCs/>
          <w:color w:val="auto"/>
          <w:sz w:val="28"/>
          <w:szCs w:val="28"/>
          <w:highlight w:val="none"/>
        </w:rPr>
        <w:t>5-</w:t>
      </w:r>
      <w:r>
        <w:rPr>
          <w:rFonts w:hint="eastAsia" w:cs="Times New Roman"/>
          <w:b/>
          <w:bCs/>
          <w:color w:val="auto"/>
          <w:sz w:val="28"/>
          <w:szCs w:val="28"/>
          <w:highlight w:val="none"/>
          <w:lang w:val="en-US" w:eastAsia="zh-CN"/>
        </w:rPr>
        <w:t>7</w:t>
      </w:r>
      <w:r>
        <w:rPr>
          <w:rFonts w:hint="default" w:ascii="Times New Roman" w:hAnsi="Times New Roman" w:cs="Times New Roman"/>
          <w:b/>
          <w:bCs/>
          <w:color w:val="auto"/>
          <w:sz w:val="28"/>
          <w:szCs w:val="28"/>
          <w:highlight w:val="none"/>
        </w:rPr>
        <w:t>具备法律、行政法规规定的其他条件的证明材料</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根据资格条件要求提供相应材料。</w:t>
      </w:r>
    </w:p>
    <w:p>
      <w:pPr>
        <w:widowControl/>
        <w:spacing w:after="0" w:line="240" w:lineRule="auto"/>
        <w:jc w:val="center"/>
        <w:rPr>
          <w:rFonts w:hint="default" w:ascii="Times New Roman" w:hAnsi="Times New Roman" w:cs="Times New Roman"/>
          <w:b/>
          <w:bCs/>
          <w:color w:val="auto"/>
          <w:sz w:val="28"/>
          <w:szCs w:val="28"/>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5-</w:t>
      </w:r>
      <w:r>
        <w:rPr>
          <w:rFonts w:hint="eastAsia" w:cs="Times New Roman"/>
          <w:b/>
          <w:bCs/>
          <w:color w:val="auto"/>
          <w:sz w:val="28"/>
          <w:szCs w:val="28"/>
          <w:highlight w:val="none"/>
          <w:lang w:val="en-US" w:eastAsia="zh-CN"/>
        </w:rPr>
        <w:t>8</w:t>
      </w:r>
      <w:r>
        <w:rPr>
          <w:rFonts w:hint="default" w:ascii="Times New Roman" w:hAnsi="Times New Roman" w:cs="Times New Roman"/>
          <w:b/>
          <w:bCs/>
          <w:color w:val="auto"/>
          <w:sz w:val="28"/>
          <w:szCs w:val="28"/>
          <w:highlight w:val="none"/>
        </w:rPr>
        <w:t>联合体协议（若有）</w:t>
      </w:r>
    </w:p>
    <w:p>
      <w:pPr>
        <w:pStyle w:val="8"/>
        <w:topLinePunct/>
        <w:autoSpaceDE w:val="0"/>
        <w:autoSpaceDN w:val="0"/>
        <w:snapToGrid w:val="0"/>
        <w:spacing w:line="360" w:lineRule="auto"/>
        <w:jc w:val="center"/>
        <w:rPr>
          <w:rFonts w:hAnsi="宋体" w:cs="宋体"/>
          <w:b/>
          <w:color w:val="auto"/>
          <w:w w:val="150"/>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致________（采购人或采购代理机构）：</w:t>
      </w:r>
    </w:p>
    <w:p>
      <w:pPr>
        <w:spacing w:after="0"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经研究，我方决定自愿组成联合体共同参加____________(项目名称、项目编号)项目的投标。现就联合体投标事宜订立如下协议：</w:t>
      </w:r>
    </w:p>
    <w:p>
      <w:pPr>
        <w:spacing w:after="0"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一、联合体成员：</w:t>
      </w:r>
    </w:p>
    <w:p>
      <w:pPr>
        <w:spacing w:after="0"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1.____________________</w:t>
      </w:r>
    </w:p>
    <w:p>
      <w:pPr>
        <w:spacing w:after="0"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2.____________________</w:t>
      </w:r>
    </w:p>
    <w:p>
      <w:pPr>
        <w:spacing w:after="0" w:line="360" w:lineRule="auto"/>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3.____________________</w:t>
      </w:r>
    </w:p>
    <w:p>
      <w:pPr>
        <w:spacing w:after="0" w:line="360" w:lineRule="auto"/>
        <w:ind w:firstLine="420" w:firstLineChars="200"/>
        <w:rPr>
          <w:rFonts w:ascii="宋体" w:hAnsi="宋体" w:eastAsia="宋体"/>
          <w:color w:val="auto"/>
          <w:sz w:val="21"/>
          <w:szCs w:val="21"/>
          <w:highlight w:val="none"/>
        </w:rPr>
      </w:pPr>
      <w:r>
        <w:rPr>
          <w:rFonts w:hint="default" w:ascii="Times New Roman" w:hAnsi="Times New Roman" w:eastAsia="宋体" w:cs="Times New Roman"/>
          <w:color w:val="auto"/>
          <w:sz w:val="21"/>
          <w:szCs w:val="21"/>
          <w:highlight w:val="none"/>
        </w:rPr>
        <w:t>二、____________(某成员单位名称)为____________(联合</w:t>
      </w:r>
      <w:r>
        <w:rPr>
          <w:rFonts w:hint="eastAsia" w:ascii="宋体" w:hAnsi="宋体" w:eastAsia="宋体"/>
          <w:color w:val="auto"/>
          <w:sz w:val="21"/>
          <w:szCs w:val="21"/>
          <w:highlight w:val="none"/>
        </w:rPr>
        <w:t>体名称)牵头人。</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三、联合体牵头人合法代表联合体各成员负责本项目投标文件编制活动，代表联合体提交和接收相关的资料、信息及指示，并处理与投标有关的一切事务；联合体中标后，联合体牵头人负责合同订立和实施阶段的主办、组织和协调工作。</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四、联合体将严格按照招标文件的各项要求，递交投标文件，参加投标，履行中标义务和中标后的合同，并向采购人承担连带责任。</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五、联合体各成员单位内部的职责分工如下：____________。按照本条上述分工，联合体成员单位各自所承担的合同工作量比例如下：____________。</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六、本协议书自签署之日起生效，合同履行完毕后自动失效。</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七、本协议书一式______份，联合体成员和采购人各执一份。</w:t>
      </w:r>
    </w:p>
    <w:p>
      <w:pPr>
        <w:spacing w:after="0" w:line="360" w:lineRule="auto"/>
        <w:ind w:firstLine="420" w:firstLineChars="200"/>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牵头人名称(公章)：____________</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法定代表人或其授权代表(签字或盖章)：____________</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成员名称(公章)：____________</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法定代表人或其授权代表(签字或盖章)：____________</w:t>
      </w:r>
    </w:p>
    <w:p>
      <w:pPr>
        <w:spacing w:after="0" w:line="360" w:lineRule="auto"/>
        <w:ind w:firstLine="420" w:firstLineChars="200"/>
        <w:rPr>
          <w:rFonts w:ascii="宋体" w:hAnsi="宋体" w:eastAsia="宋体"/>
          <w:color w:val="auto"/>
          <w:sz w:val="21"/>
          <w:szCs w:val="21"/>
          <w:highlight w:val="none"/>
        </w:rPr>
      </w:pPr>
    </w:p>
    <w:p>
      <w:pPr>
        <w:spacing w:after="0" w:line="360" w:lineRule="auto"/>
        <w:ind w:firstLine="420" w:firstLineChars="200"/>
        <w:jc w:val="right"/>
        <w:rPr>
          <w:rFonts w:ascii="宋体" w:hAnsi="宋体" w:eastAsia="宋体"/>
          <w:color w:val="auto"/>
          <w:sz w:val="21"/>
          <w:szCs w:val="21"/>
          <w:highlight w:val="none"/>
        </w:rPr>
      </w:pPr>
      <w:r>
        <w:rPr>
          <w:rFonts w:hint="eastAsia" w:ascii="宋体" w:hAnsi="宋体" w:eastAsia="宋体"/>
          <w:color w:val="auto"/>
          <w:sz w:val="21"/>
          <w:szCs w:val="21"/>
          <w:highlight w:val="none"/>
        </w:rPr>
        <w:t>______年____月____日</w:t>
      </w:r>
    </w:p>
    <w:p>
      <w:pPr>
        <w:spacing w:after="0" w:line="360" w:lineRule="auto"/>
        <w:ind w:firstLine="420" w:firstLineChars="200"/>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备注：本协议书由授权代表签字的，应附法定代表人签字的授权委托书。</w:t>
      </w:r>
    </w:p>
    <w:p>
      <w:pPr>
        <w:widowControl/>
        <w:spacing w:after="0" w:line="240" w:lineRule="auto"/>
        <w:jc w:val="center"/>
        <w:rPr>
          <w:rFonts w:hint="default" w:ascii="Times New Roman" w:hAnsi="Times New Roman" w:cs="Times New Roman"/>
          <w:b/>
          <w:bCs/>
          <w:color w:val="auto"/>
          <w:sz w:val="28"/>
          <w:szCs w:val="28"/>
          <w:highlight w:val="none"/>
        </w:rPr>
      </w:pPr>
      <w:r>
        <w:rPr>
          <w:rFonts w:hAnsi="宋体" w:cs="宋体"/>
          <w:color w:val="auto"/>
          <w:sz w:val="21"/>
          <w:szCs w:val="21"/>
          <w:highlight w:val="none"/>
        </w:rPr>
        <w:br w:type="page"/>
      </w:r>
      <w:r>
        <w:rPr>
          <w:rFonts w:hint="default" w:ascii="Times New Roman" w:hAnsi="Times New Roman" w:cs="Times New Roman"/>
          <w:b/>
          <w:bCs/>
          <w:color w:val="auto"/>
          <w:sz w:val="28"/>
          <w:szCs w:val="28"/>
          <w:highlight w:val="none"/>
        </w:rPr>
        <w:t>5-</w:t>
      </w:r>
      <w:r>
        <w:rPr>
          <w:rFonts w:hint="eastAsia" w:cs="Times New Roman"/>
          <w:b/>
          <w:bCs/>
          <w:color w:val="auto"/>
          <w:sz w:val="28"/>
          <w:szCs w:val="28"/>
          <w:highlight w:val="none"/>
          <w:lang w:val="en-US" w:eastAsia="zh-CN"/>
        </w:rPr>
        <w:t>9</w:t>
      </w:r>
      <w:r>
        <w:rPr>
          <w:rFonts w:hint="default" w:ascii="Times New Roman" w:hAnsi="Times New Roman" w:cs="Times New Roman"/>
          <w:b/>
          <w:bCs/>
          <w:color w:val="auto"/>
          <w:sz w:val="28"/>
          <w:szCs w:val="28"/>
          <w:highlight w:val="none"/>
        </w:rPr>
        <w:t>其他资格证明文件（若有）</w:t>
      </w:r>
    </w:p>
    <w:p>
      <w:pPr>
        <w:rPr>
          <w:color w:val="auto"/>
          <w:highlight w:val="none"/>
        </w:rPr>
      </w:pP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根据资格条件要求提供相应材料。</w:t>
      </w:r>
    </w:p>
    <w:p>
      <w:pPr>
        <w:rPr>
          <w:rFonts w:ascii="宋体" w:hAnsi="宋体" w:cs="宋体"/>
          <w:color w:val="auto"/>
          <w:sz w:val="24"/>
          <w:highlight w:val="none"/>
        </w:rPr>
      </w:pPr>
    </w:p>
    <w:p>
      <w:pPr>
        <w:snapToGrid w:val="0"/>
        <w:spacing w:after="0" w:line="360" w:lineRule="auto"/>
        <w:jc w:val="center"/>
        <w:rPr>
          <w:rFonts w:ascii="宋体" w:hAnsi="宋体" w:cs="宋体"/>
          <w:b/>
          <w:bCs/>
          <w:color w:val="auto"/>
          <w:sz w:val="28"/>
          <w:szCs w:val="28"/>
          <w:highlight w:val="none"/>
        </w:rPr>
      </w:pPr>
      <w:r>
        <w:rPr>
          <w:rFonts w:hint="eastAsia" w:ascii="宋体" w:hAnsi="宋体" w:cs="宋体"/>
          <w:b/>
          <w:bCs/>
          <w:color w:val="auto"/>
          <w:sz w:val="36"/>
          <w:szCs w:val="36"/>
          <w:highlight w:val="none"/>
        </w:rPr>
        <w:br w:type="page"/>
      </w:r>
      <w:r>
        <w:rPr>
          <w:rFonts w:hint="eastAsia" w:ascii="宋体" w:hAnsi="宋体" w:cs="宋体"/>
          <w:b/>
          <w:bCs/>
          <w:color w:val="auto"/>
          <w:sz w:val="28"/>
          <w:szCs w:val="28"/>
          <w:highlight w:val="none"/>
        </w:rPr>
        <w:t>格式6  中小企业声明函</w:t>
      </w:r>
    </w:p>
    <w:p>
      <w:pPr>
        <w:widowControl/>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中小企业声明函（服务）</w:t>
      </w:r>
    </w:p>
    <w:p>
      <w:pPr>
        <w:widowControl/>
        <w:spacing w:after="0" w:line="360" w:lineRule="auto"/>
        <w:ind w:firstLine="480" w:firstLineChars="200"/>
        <w:jc w:val="left"/>
        <w:rPr>
          <w:rFonts w:ascii="宋体" w:hAnsi="宋体" w:cs="宋体"/>
          <w:color w:val="auto"/>
          <w:kern w:val="0"/>
          <w:sz w:val="24"/>
          <w:highlight w:val="none"/>
        </w:rPr>
      </w:pP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本公司（联合体）郑重声明，根据《政府采购促进中小企业发展管理办法》（财库﹝2020﹞46 号）的规定，本公司（联合体）参加</w:t>
      </w:r>
      <w:r>
        <w:rPr>
          <w:rFonts w:hint="default" w:ascii="Times New Roman" w:hAnsi="Times New Roman" w:cs="Times New Roman"/>
          <w:i/>
          <w:iCs/>
          <w:color w:val="auto"/>
          <w:sz w:val="21"/>
          <w:szCs w:val="21"/>
          <w:highlight w:val="none"/>
          <w:u w:val="single"/>
        </w:rPr>
        <w:t>（单位名称）</w:t>
      </w:r>
      <w:r>
        <w:rPr>
          <w:rFonts w:hint="default" w:ascii="Times New Roman" w:hAnsi="Times New Roman" w:cs="Times New Roman"/>
          <w:color w:val="auto"/>
          <w:sz w:val="21"/>
          <w:szCs w:val="21"/>
          <w:highlight w:val="none"/>
        </w:rPr>
        <w:t>的</w:t>
      </w:r>
      <w:r>
        <w:rPr>
          <w:rFonts w:hint="default" w:ascii="Times New Roman" w:hAnsi="Times New Roman" w:cs="Times New Roman"/>
          <w:i/>
          <w:iCs/>
          <w:color w:val="auto"/>
          <w:sz w:val="21"/>
          <w:szCs w:val="21"/>
          <w:highlight w:val="none"/>
          <w:u w:val="single"/>
        </w:rPr>
        <w:t>（项目名称）</w:t>
      </w:r>
      <w:r>
        <w:rPr>
          <w:rFonts w:hint="default" w:ascii="Times New Roman" w:hAnsi="Times New Roman" w:cs="Times New Roman"/>
          <w:color w:val="auto"/>
          <w:sz w:val="21"/>
          <w:szCs w:val="21"/>
          <w:highlight w:val="none"/>
        </w:rPr>
        <w:t>采购活动，服务全部由符合政策要求的中小企业承接。相关企业（含联合体中的中小企业、签订分包意向协议的中小企业）的具体情况如下：</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i/>
          <w:iCs/>
          <w:color w:val="auto"/>
          <w:sz w:val="21"/>
          <w:szCs w:val="21"/>
          <w:highlight w:val="none"/>
          <w:u w:val="single"/>
        </w:rPr>
        <w:t xml:space="preserve"> （标的名称） </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（采购文件中明确的所属行业）</w:t>
      </w:r>
      <w:r>
        <w:rPr>
          <w:rFonts w:hint="default" w:ascii="Times New Roman" w:hAnsi="Times New Roman" w:cs="Times New Roman"/>
          <w:color w:val="auto"/>
          <w:sz w:val="21"/>
          <w:szCs w:val="21"/>
          <w:highlight w:val="none"/>
        </w:rPr>
        <w:t>；承建（承接）企业为</w:t>
      </w:r>
      <w:r>
        <w:rPr>
          <w:rFonts w:hint="default" w:ascii="Times New Roman" w:hAnsi="Times New Roman" w:cs="Times New Roman"/>
          <w:i/>
          <w:iCs/>
          <w:color w:val="auto"/>
          <w:sz w:val="21"/>
          <w:szCs w:val="21"/>
          <w:highlight w:val="none"/>
          <w:u w:val="single"/>
        </w:rPr>
        <w:t>（企业名称）</w:t>
      </w:r>
      <w:r>
        <w:rPr>
          <w:rFonts w:hint="default" w:ascii="Times New Roman" w:hAnsi="Times New Roman" w:cs="Times New Roman"/>
          <w:color w:val="auto"/>
          <w:sz w:val="21"/>
          <w:szCs w:val="21"/>
          <w:highlight w:val="none"/>
        </w:rPr>
        <w:t>，从业人员</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人，营业收入为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万元，资产总额为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w:t>
      </w:r>
      <w:r>
        <w:rPr>
          <w:rFonts w:hint="default" w:ascii="Times New Roman" w:hAnsi="Times New Roman" w:cs="Times New Roman"/>
          <w:color w:val="auto"/>
          <w:sz w:val="21"/>
          <w:szCs w:val="21"/>
          <w:highlight w:val="none"/>
          <w:vertAlign w:val="superscript"/>
        </w:rPr>
        <w:t>1</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（中型企业、小型企业、微型企业）</w:t>
      </w:r>
      <w:r>
        <w:rPr>
          <w:rFonts w:hint="default" w:ascii="Times New Roman" w:hAnsi="Times New Roman" w:cs="Times New Roman"/>
          <w:color w:val="auto"/>
          <w:sz w:val="21"/>
          <w:szCs w:val="21"/>
          <w:highlight w:val="none"/>
        </w:rPr>
        <w:t xml:space="preserve">；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r>
        <w:rPr>
          <w:rFonts w:hint="default" w:ascii="Times New Roman" w:hAnsi="Times New Roman" w:cs="Times New Roman"/>
          <w:i/>
          <w:iCs/>
          <w:color w:val="auto"/>
          <w:sz w:val="21"/>
          <w:szCs w:val="21"/>
          <w:highlight w:val="none"/>
          <w:u w:val="single"/>
        </w:rPr>
        <w:t xml:space="preserve"> （标的名称） </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（采购文件中明确的所属行业）</w:t>
      </w:r>
      <w:r>
        <w:rPr>
          <w:rFonts w:hint="default" w:ascii="Times New Roman" w:hAnsi="Times New Roman" w:cs="Times New Roman"/>
          <w:color w:val="auto"/>
          <w:sz w:val="21"/>
          <w:szCs w:val="21"/>
          <w:highlight w:val="none"/>
        </w:rPr>
        <w:t>；承建（承接）企业为</w:t>
      </w:r>
      <w:r>
        <w:rPr>
          <w:rFonts w:hint="default" w:ascii="Times New Roman" w:hAnsi="Times New Roman" w:cs="Times New Roman"/>
          <w:i/>
          <w:iCs/>
          <w:color w:val="auto"/>
          <w:sz w:val="21"/>
          <w:szCs w:val="21"/>
          <w:highlight w:val="none"/>
          <w:u w:val="single"/>
        </w:rPr>
        <w:t>（企业名称）</w:t>
      </w:r>
      <w:r>
        <w:rPr>
          <w:rFonts w:hint="default" w:ascii="Times New Roman" w:hAnsi="Times New Roman" w:cs="Times New Roman"/>
          <w:color w:val="auto"/>
          <w:sz w:val="21"/>
          <w:szCs w:val="21"/>
          <w:highlight w:val="none"/>
        </w:rPr>
        <w:t>，从业人员</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人，营业收入为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万元，资产总额为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w:t>
      </w:r>
      <w:r>
        <w:rPr>
          <w:rFonts w:hint="default" w:ascii="Times New Roman" w:hAnsi="Times New Roman" w:cs="Times New Roman"/>
          <w:color w:val="auto"/>
          <w:sz w:val="21"/>
          <w:szCs w:val="21"/>
          <w:highlight w:val="none"/>
          <w:vertAlign w:val="superscript"/>
        </w:rPr>
        <w:t>1</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（中型企业、小型企业、微型企业）</w:t>
      </w:r>
      <w:r>
        <w:rPr>
          <w:rFonts w:hint="default" w:ascii="Times New Roman" w:hAnsi="Times New Roman" w:cs="Times New Roman"/>
          <w:color w:val="auto"/>
          <w:sz w:val="21"/>
          <w:szCs w:val="21"/>
          <w:highlight w:val="none"/>
        </w:rPr>
        <w:t xml:space="preserve">；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以上企业，不属于大企业的分支机构，不存在控股股东为大企业的情形，也不存在与大企业的负责人为同一人的情形。</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本企业对上述声明内容的真实性负责。如有虚假，将依法承担相应责任。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p>
    <w:p>
      <w:pPr>
        <w:pStyle w:val="8"/>
        <w:snapToGrid w:val="0"/>
        <w:spacing w:line="360" w:lineRule="auto"/>
        <w:ind w:firstLine="420" w:firstLineChars="200"/>
        <w:rPr>
          <w:rFonts w:hint="default" w:ascii="Times New Roman" w:hAnsi="Times New Roman" w:cs="Times New Roman"/>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w:t>
      </w:r>
      <w:r>
        <w:rPr>
          <w:rFonts w:hint="default" w:ascii="Times New Roman" w:hAnsi="Times New Roman" w:cs="Times New Roman"/>
          <w:color w:val="auto"/>
          <w:kern w:val="0"/>
          <w:sz w:val="21"/>
          <w:szCs w:val="21"/>
          <w:highlight w:val="none"/>
        </w:rPr>
        <w:t>（全称并加盖公章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w:t>
      </w:r>
      <w:r>
        <w:rPr>
          <w:rFonts w:hint="default" w:ascii="Times New Roman" w:hAnsi="Times New Roman" w:cs="Times New Roman"/>
          <w:color w:val="auto"/>
          <w:sz w:val="21"/>
          <w:szCs w:val="21"/>
          <w:highlight w:val="none"/>
          <w:u w:val="single"/>
        </w:rPr>
        <w:t xml:space="preserve">                                 </w:t>
      </w:r>
    </w:p>
    <w:p>
      <w:pPr>
        <w:pStyle w:val="8"/>
        <w:snapToGrid w:val="0"/>
        <w:spacing w:line="360" w:lineRule="auto"/>
        <w:ind w:firstLine="480" w:firstLineChars="200"/>
        <w:rPr>
          <w:rFonts w:hAnsi="宋体" w:cs="宋体"/>
          <w:color w:val="auto"/>
          <w:sz w:val="24"/>
          <w:szCs w:val="24"/>
          <w:highlight w:val="none"/>
        </w:rPr>
      </w:pPr>
    </w:p>
    <w:p>
      <w:pPr>
        <w:pStyle w:val="8"/>
        <w:snapToGrid w:val="0"/>
        <w:spacing w:line="360" w:lineRule="auto"/>
        <w:ind w:firstLine="480" w:firstLineChars="200"/>
        <w:rPr>
          <w:rFonts w:hAnsi="宋体" w:cs="宋体"/>
          <w:color w:val="auto"/>
          <w:sz w:val="24"/>
          <w:szCs w:val="24"/>
          <w:highlight w:val="none"/>
        </w:rPr>
      </w:pPr>
    </w:p>
    <w:p>
      <w:pPr>
        <w:widowControl/>
        <w:rPr>
          <w:color w:val="auto"/>
          <w:highlight w:val="none"/>
        </w:rPr>
      </w:pPr>
    </w:p>
    <w:p>
      <w:pPr>
        <w:widowControl/>
        <w:jc w:val="left"/>
        <w:rPr>
          <w:color w:val="auto"/>
          <w:highlight w:val="none"/>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从业人员、营业收入、资产总额填报上一年度数据，无上一年度数据的新成立企业可不填报。</w:t>
      </w:r>
    </w:p>
    <w:p>
      <w:pPr>
        <w:pStyle w:val="8"/>
        <w:snapToGrid w:val="0"/>
        <w:spacing w:line="360" w:lineRule="auto"/>
        <w:ind w:firstLine="480" w:firstLineChars="200"/>
        <w:rPr>
          <w:rFonts w:hAnsi="宋体" w:cs="宋体"/>
          <w:color w:val="auto"/>
          <w:sz w:val="24"/>
          <w:szCs w:val="24"/>
          <w:highlight w:val="none"/>
        </w:rPr>
      </w:pPr>
    </w:p>
    <w:p>
      <w:pPr>
        <w:topLinePunct/>
        <w:autoSpaceDE w:val="0"/>
        <w:autoSpaceDN w:val="0"/>
        <w:spacing w:line="460" w:lineRule="exact"/>
        <w:jc w:val="center"/>
        <w:rPr>
          <w:rFonts w:ascii="宋体" w:hAnsi="宋体" w:cs="宋体"/>
          <w:b/>
          <w:bCs/>
          <w:color w:val="auto"/>
          <w:sz w:val="28"/>
          <w:szCs w:val="28"/>
          <w:highlight w:val="none"/>
        </w:rPr>
      </w:pPr>
      <w:r>
        <w:rPr>
          <w:rFonts w:hint="eastAsia"/>
          <w:color w:val="auto"/>
          <w:sz w:val="24"/>
          <w:highlight w:val="none"/>
        </w:rPr>
        <w:br w:type="page"/>
      </w:r>
      <w:r>
        <w:rPr>
          <w:rFonts w:hint="eastAsia" w:ascii="宋体" w:hAnsi="宋体" w:cs="宋体"/>
          <w:b/>
          <w:bCs/>
          <w:color w:val="auto"/>
          <w:sz w:val="28"/>
          <w:szCs w:val="28"/>
          <w:highlight w:val="none"/>
        </w:rPr>
        <w:t>中小企业声明函（货物）</w:t>
      </w:r>
    </w:p>
    <w:p>
      <w:pPr>
        <w:rPr>
          <w:color w:val="auto"/>
          <w:highlight w:val="none"/>
        </w:rPr>
      </w:pP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本公司（联合体）郑重声明，根据《政府采购促进中小企业发展管理办法》（财库﹝2020﹞46 号）的规定，本公司（联合体）参加</w:t>
      </w:r>
      <w:r>
        <w:rPr>
          <w:rFonts w:hint="default" w:ascii="Times New Roman" w:hAnsi="Times New Roman" w:cs="Times New Roman"/>
          <w:i/>
          <w:iCs/>
          <w:color w:val="auto"/>
          <w:sz w:val="21"/>
          <w:szCs w:val="21"/>
          <w:highlight w:val="none"/>
          <w:u w:val="single"/>
        </w:rPr>
        <w:t>（单位名称）</w:t>
      </w:r>
      <w:r>
        <w:rPr>
          <w:rFonts w:hint="default" w:ascii="Times New Roman" w:hAnsi="Times New Roman" w:cs="Times New Roman"/>
          <w:color w:val="auto"/>
          <w:sz w:val="21"/>
          <w:szCs w:val="21"/>
          <w:highlight w:val="none"/>
        </w:rPr>
        <w:t>的</w:t>
      </w:r>
      <w:r>
        <w:rPr>
          <w:rFonts w:hint="default" w:ascii="Times New Roman" w:hAnsi="Times New Roman" w:cs="Times New Roman"/>
          <w:i/>
          <w:iCs/>
          <w:color w:val="auto"/>
          <w:sz w:val="21"/>
          <w:szCs w:val="21"/>
          <w:highlight w:val="none"/>
          <w:u w:val="single"/>
        </w:rPr>
        <w:t>（项目名称）</w:t>
      </w:r>
      <w:r>
        <w:rPr>
          <w:rFonts w:hint="default" w:ascii="Times New Roman" w:hAnsi="Times New Roman" w:cs="Times New Roman"/>
          <w:color w:val="auto"/>
          <w:sz w:val="21"/>
          <w:szCs w:val="21"/>
          <w:highlight w:val="none"/>
        </w:rPr>
        <w:t>采购活动，提供的货物全部由符合政策要求的中小企业制造。相关企业（含联合体中的中小企业、签订分包意向协议的中小企业）的具体情况如下：</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1. </w:t>
      </w:r>
      <w:r>
        <w:rPr>
          <w:rFonts w:hint="default" w:ascii="Times New Roman" w:hAnsi="Times New Roman" w:cs="Times New Roman"/>
          <w:i/>
          <w:iCs/>
          <w:color w:val="auto"/>
          <w:sz w:val="21"/>
          <w:szCs w:val="21"/>
          <w:highlight w:val="none"/>
          <w:u w:val="single"/>
        </w:rPr>
        <w:t xml:space="preserve">（标的名称） </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（采购文件中明确的所属行业）</w:t>
      </w:r>
      <w:r>
        <w:rPr>
          <w:rFonts w:hint="default" w:ascii="Times New Roman" w:hAnsi="Times New Roman" w:cs="Times New Roman"/>
          <w:color w:val="auto"/>
          <w:sz w:val="21"/>
          <w:szCs w:val="21"/>
          <w:highlight w:val="none"/>
        </w:rPr>
        <w:t>行业；制造商为</w:t>
      </w:r>
      <w:r>
        <w:rPr>
          <w:rFonts w:hint="default" w:ascii="Times New Roman" w:hAnsi="Times New Roman" w:cs="Times New Roman"/>
          <w:i/>
          <w:iCs/>
          <w:color w:val="auto"/>
          <w:sz w:val="21"/>
          <w:szCs w:val="21"/>
          <w:highlight w:val="none"/>
          <w:u w:val="single"/>
        </w:rPr>
        <w:t>（企业名称）</w:t>
      </w:r>
      <w:r>
        <w:rPr>
          <w:rFonts w:hint="default" w:ascii="Times New Roman" w:hAnsi="Times New Roman" w:cs="Times New Roman"/>
          <w:color w:val="auto"/>
          <w:sz w:val="21"/>
          <w:szCs w:val="21"/>
          <w:highlight w:val="none"/>
        </w:rPr>
        <w:t>，从业人员</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人，营业收入为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万元，资产总额为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w:t>
      </w:r>
      <w:r>
        <w:rPr>
          <w:rFonts w:hint="default" w:ascii="Times New Roman" w:hAnsi="Times New Roman" w:cs="Times New Roman"/>
          <w:color w:val="auto"/>
          <w:sz w:val="21"/>
          <w:szCs w:val="21"/>
          <w:highlight w:val="none"/>
          <w:vertAlign w:val="superscript"/>
        </w:rPr>
        <w:t>1</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（中型企业、小型企业、微型企业）</w:t>
      </w:r>
      <w:r>
        <w:rPr>
          <w:rFonts w:hint="default" w:ascii="Times New Roman" w:hAnsi="Times New Roman" w:cs="Times New Roman"/>
          <w:color w:val="auto"/>
          <w:sz w:val="21"/>
          <w:szCs w:val="21"/>
          <w:highlight w:val="none"/>
        </w:rPr>
        <w:t xml:space="preserve">；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2. </w:t>
      </w:r>
      <w:r>
        <w:rPr>
          <w:rFonts w:hint="default" w:ascii="Times New Roman" w:hAnsi="Times New Roman" w:cs="Times New Roman"/>
          <w:i/>
          <w:iCs/>
          <w:color w:val="auto"/>
          <w:sz w:val="21"/>
          <w:szCs w:val="21"/>
          <w:highlight w:val="none"/>
          <w:u w:val="single"/>
        </w:rPr>
        <w:t>（标的名称）</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（采购文件中明确的所属行业）</w:t>
      </w:r>
      <w:r>
        <w:rPr>
          <w:rFonts w:hint="default" w:ascii="Times New Roman" w:hAnsi="Times New Roman" w:cs="Times New Roman"/>
          <w:color w:val="auto"/>
          <w:sz w:val="21"/>
          <w:szCs w:val="21"/>
          <w:highlight w:val="none"/>
        </w:rPr>
        <w:t>行业；制造商为</w:t>
      </w:r>
      <w:r>
        <w:rPr>
          <w:rFonts w:hint="default" w:ascii="Times New Roman" w:hAnsi="Times New Roman" w:cs="Times New Roman"/>
          <w:i/>
          <w:iCs/>
          <w:color w:val="auto"/>
          <w:sz w:val="21"/>
          <w:szCs w:val="21"/>
          <w:highlight w:val="none"/>
          <w:u w:val="single"/>
        </w:rPr>
        <w:t>（企业名称）</w:t>
      </w:r>
      <w:r>
        <w:rPr>
          <w:rFonts w:hint="default" w:ascii="Times New Roman" w:hAnsi="Times New Roman" w:cs="Times New Roman"/>
          <w:color w:val="auto"/>
          <w:sz w:val="21"/>
          <w:szCs w:val="21"/>
          <w:highlight w:val="none"/>
        </w:rPr>
        <w:t>，从业人员</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人，营业收入为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万元，资产总额为</w:t>
      </w:r>
      <w:r>
        <w:rPr>
          <w:rFonts w:hint="default" w:ascii="Times New Roman" w:hAnsi="Times New Roman" w:cs="Times New Roman"/>
          <w:color w:val="auto"/>
          <w:sz w:val="21"/>
          <w:szCs w:val="21"/>
          <w:highlight w:val="none"/>
          <w:u w:val="single"/>
        </w:rPr>
        <w:tab/>
      </w:r>
      <w:r>
        <w:rPr>
          <w:rFonts w:hint="default" w:ascii="Times New Roman" w:hAnsi="Times New Roman" w:cs="Times New Roman"/>
          <w:color w:val="auto"/>
          <w:sz w:val="21"/>
          <w:szCs w:val="21"/>
          <w:highlight w:val="none"/>
          <w:u w:val="single"/>
        </w:rPr>
        <w:t xml:space="preserve">   </w:t>
      </w:r>
      <w:r>
        <w:rPr>
          <w:rFonts w:hint="default" w:ascii="Times New Roman" w:hAnsi="Times New Roman" w:cs="Times New Roman"/>
          <w:color w:val="auto"/>
          <w:sz w:val="21"/>
          <w:szCs w:val="21"/>
          <w:highlight w:val="none"/>
        </w:rPr>
        <w:t>万元</w:t>
      </w:r>
      <w:r>
        <w:rPr>
          <w:rFonts w:hint="default" w:ascii="Times New Roman" w:hAnsi="Times New Roman" w:cs="Times New Roman"/>
          <w:color w:val="auto"/>
          <w:sz w:val="21"/>
          <w:szCs w:val="21"/>
          <w:highlight w:val="none"/>
          <w:vertAlign w:val="superscript"/>
        </w:rPr>
        <w:t>1</w:t>
      </w:r>
      <w:r>
        <w:rPr>
          <w:rFonts w:hint="default" w:ascii="Times New Roman" w:hAnsi="Times New Roman" w:cs="Times New Roman"/>
          <w:color w:val="auto"/>
          <w:sz w:val="21"/>
          <w:szCs w:val="21"/>
          <w:highlight w:val="none"/>
        </w:rPr>
        <w:t>，属于</w:t>
      </w:r>
      <w:r>
        <w:rPr>
          <w:rFonts w:hint="default" w:ascii="Times New Roman" w:hAnsi="Times New Roman" w:cs="Times New Roman"/>
          <w:i/>
          <w:iCs/>
          <w:color w:val="auto"/>
          <w:sz w:val="21"/>
          <w:szCs w:val="21"/>
          <w:highlight w:val="none"/>
          <w:u w:val="single"/>
        </w:rPr>
        <w:t>（中型企业、小型企业、微型企业）</w:t>
      </w:r>
      <w:r>
        <w:rPr>
          <w:rFonts w:hint="default" w:ascii="Times New Roman" w:hAnsi="Times New Roman" w:cs="Times New Roman"/>
          <w:color w:val="auto"/>
          <w:sz w:val="21"/>
          <w:szCs w:val="21"/>
          <w:highlight w:val="none"/>
        </w:rPr>
        <w:t xml:space="preserve">； </w:t>
      </w:r>
    </w:p>
    <w:p>
      <w:pPr>
        <w:pStyle w:val="8"/>
        <w:snapToGrid w:val="0"/>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p>
      <w:pPr>
        <w:widowControl/>
        <w:spacing w:after="0" w:line="360" w:lineRule="auto"/>
        <w:ind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以上企业，不属于大企业的分支机构，不存在控股股东为大企业的情形，也不存在与大企业的负责人为同一人的情形。</w:t>
      </w:r>
    </w:p>
    <w:p>
      <w:pPr>
        <w:widowControl/>
        <w:spacing w:after="0" w:line="360" w:lineRule="auto"/>
        <w:ind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 xml:space="preserve">本企业对上述声明内容的真实性负责。如有虚假，将依法承担相应责任。 </w:t>
      </w:r>
    </w:p>
    <w:p>
      <w:pPr>
        <w:widowControl/>
        <w:spacing w:after="0" w:line="360" w:lineRule="auto"/>
        <w:ind w:firstLine="1680" w:firstLineChars="800"/>
        <w:jc w:val="left"/>
        <w:rPr>
          <w:rFonts w:hint="default" w:ascii="Times New Roman" w:hAnsi="Times New Roman" w:cs="Times New Roman"/>
          <w:color w:val="auto"/>
          <w:kern w:val="0"/>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w:t>
      </w:r>
      <w:r>
        <w:rPr>
          <w:rFonts w:hint="default" w:ascii="Times New Roman" w:hAnsi="Times New Roman" w:cs="Times New Roman"/>
          <w:color w:val="auto"/>
          <w:kern w:val="0"/>
          <w:sz w:val="21"/>
          <w:szCs w:val="21"/>
          <w:highlight w:val="none"/>
        </w:rPr>
        <w:t>（全称并加盖公章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w:t>
      </w:r>
      <w:r>
        <w:rPr>
          <w:rFonts w:hint="default" w:ascii="Times New Roman" w:hAnsi="Times New Roman" w:cs="Times New Roman"/>
          <w:color w:val="auto"/>
          <w:sz w:val="21"/>
          <w:szCs w:val="21"/>
          <w:highlight w:val="none"/>
          <w:u w:val="single"/>
        </w:rPr>
        <w:t xml:space="preserve">                                 </w:t>
      </w:r>
    </w:p>
    <w:p>
      <w:pPr>
        <w:widowControl/>
        <w:ind w:firstLine="3120" w:firstLineChars="1300"/>
        <w:rPr>
          <w:rFonts w:ascii="宋体" w:hAnsi="宋体" w:cs="宋体"/>
          <w:color w:val="auto"/>
          <w:sz w:val="24"/>
          <w:highlight w:val="none"/>
        </w:rPr>
      </w:pPr>
    </w:p>
    <w:p>
      <w:pPr>
        <w:widowControl/>
        <w:rPr>
          <w:color w:val="auto"/>
          <w:highlight w:val="none"/>
        </w:rPr>
      </w:pPr>
    </w:p>
    <w:p>
      <w:pPr>
        <w:widowControl/>
        <w:jc w:val="left"/>
        <w:rPr>
          <w:color w:val="auto"/>
          <w:highlight w:val="none"/>
        </w:rPr>
      </w:pPr>
      <w:r>
        <w:rPr>
          <w:rFonts w:ascii="宋体" w:hAnsi="宋体" w:cs="宋体"/>
          <w:color w:val="auto"/>
          <w:kern w:val="0"/>
          <w:sz w:val="18"/>
          <w:szCs w:val="18"/>
          <w:highlight w:val="none"/>
        </w:rPr>
        <w:t xml:space="preserve">1 </w:t>
      </w:r>
      <w:r>
        <w:rPr>
          <w:rFonts w:hint="eastAsia" w:ascii="宋体" w:hAnsi="宋体" w:cs="宋体"/>
          <w:color w:val="auto"/>
          <w:kern w:val="0"/>
          <w:sz w:val="18"/>
          <w:szCs w:val="18"/>
          <w:highlight w:val="none"/>
        </w:rPr>
        <w:t>从业人员、营业收入、资产总额填报上一年度数据，无上一年度数据的新成立企业可不填报。</w:t>
      </w:r>
    </w:p>
    <w:p>
      <w:pPr>
        <w:widowControl/>
        <w:ind w:firstLine="540" w:firstLineChars="300"/>
        <w:jc w:val="left"/>
        <w:rPr>
          <w:rFonts w:ascii="宋体" w:hAnsi="宋体" w:cs="宋体"/>
          <w:color w:val="auto"/>
          <w:kern w:val="0"/>
          <w:sz w:val="18"/>
          <w:szCs w:val="18"/>
          <w:highlight w:val="none"/>
        </w:rPr>
      </w:pPr>
    </w:p>
    <w:p>
      <w:pPr>
        <w:pStyle w:val="8"/>
        <w:topLinePunct/>
        <w:autoSpaceDE w:val="0"/>
        <w:autoSpaceDN w:val="0"/>
        <w:spacing w:line="460" w:lineRule="exact"/>
        <w:jc w:val="center"/>
        <w:rPr>
          <w:rFonts w:hint="default" w:ascii="Times New Roman" w:hAnsi="Times New Roman" w:cs="Times New Roman"/>
          <w:b/>
          <w:bCs/>
          <w:color w:val="auto"/>
          <w:sz w:val="28"/>
          <w:szCs w:val="28"/>
          <w:highlight w:val="none"/>
        </w:rPr>
      </w:pPr>
      <w:r>
        <w:rPr>
          <w:rFonts w:hint="eastAsia"/>
          <w:color w:val="auto"/>
          <w:sz w:val="24"/>
          <w:highlight w:val="none"/>
        </w:rPr>
        <w:br w:type="page"/>
      </w:r>
      <w:r>
        <w:rPr>
          <w:rFonts w:hint="default" w:ascii="Times New Roman" w:hAnsi="Times New Roman" w:cs="Times New Roman"/>
          <w:b/>
          <w:bCs/>
          <w:color w:val="auto"/>
          <w:sz w:val="28"/>
          <w:szCs w:val="28"/>
          <w:highlight w:val="none"/>
        </w:rPr>
        <w:t>格式7  残疾人福利性单位声明函</w:t>
      </w:r>
    </w:p>
    <w:p>
      <w:pPr>
        <w:spacing w:line="588" w:lineRule="exact"/>
        <w:ind w:firstLine="444" w:firstLineChars="200"/>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default" w:ascii="Times New Roman" w:hAnsi="Times New Roman" w:cs="Times New Roman"/>
          <w:color w:val="auto"/>
          <w:spacing w:val="6"/>
          <w:sz w:val="21"/>
          <w:szCs w:val="21"/>
          <w:highlight w:val="none"/>
        </w:rPr>
      </w:pPr>
      <w:r>
        <w:rPr>
          <w:rFonts w:hint="default" w:ascii="Times New Roman" w:hAnsi="Times New Roman" w:cs="Times New Roman"/>
          <w:color w:val="auto"/>
          <w:spacing w:val="6"/>
          <w:sz w:val="21"/>
          <w:szCs w:val="21"/>
          <w:highlight w:val="none"/>
        </w:rPr>
        <w:t>本单位对上述声明的真实性负责。如有虚假，将依法承担相应责任。</w:t>
      </w:r>
    </w:p>
    <w:p>
      <w:pPr>
        <w:spacing w:line="588" w:lineRule="exact"/>
        <w:ind w:firstLine="444" w:firstLineChars="200"/>
        <w:rPr>
          <w:rFonts w:hint="default" w:ascii="Times New Roman" w:hAnsi="Times New Roman" w:cs="Times New Roman"/>
          <w:color w:val="auto"/>
          <w:spacing w:val="6"/>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投标人</w:t>
      </w:r>
      <w:r>
        <w:rPr>
          <w:rFonts w:hint="default" w:ascii="Times New Roman" w:hAnsi="Times New Roman" w:cs="Times New Roman"/>
          <w:color w:val="auto"/>
          <w:kern w:val="0"/>
          <w:sz w:val="21"/>
          <w:szCs w:val="21"/>
          <w:highlight w:val="none"/>
        </w:rPr>
        <w:t>（全称并加盖公章</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日期：</w:t>
      </w:r>
      <w:r>
        <w:rPr>
          <w:rFonts w:hint="default" w:ascii="Times New Roman" w:hAnsi="Times New Roman" w:cs="Times New Roman"/>
          <w:color w:val="auto"/>
          <w:sz w:val="21"/>
          <w:szCs w:val="21"/>
          <w:highlight w:val="none"/>
          <w:u w:val="single"/>
        </w:rPr>
        <w:t xml:space="preserve">                                 </w:t>
      </w:r>
    </w:p>
    <w:p>
      <w:pPr>
        <w:topLinePunct/>
        <w:autoSpaceDE w:val="0"/>
        <w:autoSpaceDN w:val="0"/>
        <w:spacing w:line="460" w:lineRule="exact"/>
        <w:jc w:val="center"/>
        <w:rPr>
          <w:rFonts w:hint="default" w:ascii="Times New Roman" w:hAnsi="Times New Roman" w:cs="Times New Roman"/>
          <w:color w:val="auto"/>
          <w:spacing w:val="6"/>
          <w:sz w:val="21"/>
          <w:szCs w:val="21"/>
          <w:highlight w:val="none"/>
        </w:rPr>
      </w:pPr>
    </w:p>
    <w:p>
      <w:pPr>
        <w:rPr>
          <w:rFonts w:hAnsi="宋体" w:cs="宋体"/>
          <w:b/>
          <w:bCs/>
          <w:color w:val="auto"/>
          <w:sz w:val="28"/>
          <w:szCs w:val="28"/>
          <w:highlight w:val="none"/>
        </w:rPr>
      </w:pPr>
    </w:p>
    <w:p>
      <w:pPr>
        <w:pStyle w:val="20"/>
        <w:numPr>
          <w:ilvl w:val="0"/>
          <w:numId w:val="0"/>
        </w:numPr>
        <w:tabs>
          <w:tab w:val="left" w:pos="420"/>
        </w:tabs>
        <w:snapToGrid w:val="0"/>
        <w:spacing w:line="460" w:lineRule="atLeast"/>
        <w:jc w:val="center"/>
        <w:rPr>
          <w:rFonts w:hint="default" w:ascii="Times New Roman" w:hAnsi="Times New Roman" w:cs="Times New Roman"/>
          <w:b/>
          <w:bCs/>
          <w:color w:val="auto"/>
          <w:sz w:val="28"/>
          <w:szCs w:val="28"/>
          <w:highlight w:val="none"/>
        </w:rPr>
      </w:pPr>
      <w:bookmarkStart w:id="63" w:name="_Toc113393336"/>
      <w:bookmarkStart w:id="64" w:name="_Toc38030071"/>
      <w:bookmarkStart w:id="65" w:name="_Toc1403531177"/>
      <w:bookmarkStart w:id="66" w:name="_Toc38030154"/>
      <w:bookmarkStart w:id="67" w:name="_Toc1652355655"/>
      <w:bookmarkStart w:id="68" w:name="_Toc386861148"/>
      <w:r>
        <w:rPr>
          <w:rFonts w:hint="eastAsia" w:cs="宋体"/>
          <w:color w:val="auto"/>
          <w:kern w:val="2"/>
          <w:sz w:val="28"/>
          <w:szCs w:val="28"/>
          <w:highlight w:val="none"/>
        </w:rPr>
        <w:br w:type="page"/>
      </w:r>
      <w:bookmarkStart w:id="69" w:name="_Toc680706022"/>
      <w:bookmarkStart w:id="70" w:name="_Toc78504842"/>
      <w:bookmarkStart w:id="71" w:name="_Toc1749127877"/>
      <w:bookmarkStart w:id="72" w:name="_Toc1381122819"/>
      <w:bookmarkStart w:id="73" w:name="_Toc220361175"/>
      <w:bookmarkStart w:id="74" w:name="_Toc598152851"/>
      <w:bookmarkStart w:id="75" w:name="_Toc1615545750"/>
      <w:bookmarkStart w:id="76" w:name="_Toc681730266"/>
      <w:bookmarkStart w:id="77" w:name="_Toc1097421187"/>
      <w:r>
        <w:rPr>
          <w:rFonts w:hint="default" w:ascii="Times New Roman" w:hAnsi="Times New Roman" w:cs="Times New Roman"/>
          <w:b/>
          <w:bCs/>
          <w:color w:val="auto"/>
          <w:sz w:val="28"/>
          <w:szCs w:val="28"/>
          <w:highlight w:val="none"/>
        </w:rPr>
        <w:t>格式8 成功案例一览表</w:t>
      </w:r>
      <w:bookmarkEnd w:id="69"/>
      <w:bookmarkEnd w:id="70"/>
      <w:bookmarkEnd w:id="71"/>
      <w:bookmarkEnd w:id="72"/>
      <w:bookmarkEnd w:id="73"/>
      <w:bookmarkEnd w:id="74"/>
      <w:bookmarkEnd w:id="75"/>
      <w:bookmarkEnd w:id="76"/>
      <w:bookmarkEnd w:id="77"/>
    </w:p>
    <w:p>
      <w:pPr>
        <w:bidi w:val="0"/>
        <w:jc w:val="center"/>
        <w:rPr>
          <w:color w:val="auto"/>
          <w:highlight w:val="none"/>
        </w:rPr>
      </w:pPr>
      <w:r>
        <w:rPr>
          <w:rFonts w:hint="eastAsia"/>
          <w:color w:val="auto"/>
          <w:highlight w:val="none"/>
        </w:rPr>
        <w:t>（根据招标文件要求调整）</w:t>
      </w:r>
    </w:p>
    <w:tbl>
      <w:tblPr>
        <w:tblStyle w:val="13"/>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19"/>
        <w:gridCol w:w="864"/>
        <w:gridCol w:w="707"/>
        <w:gridCol w:w="744"/>
        <w:gridCol w:w="1221"/>
        <w:gridCol w:w="1161"/>
        <w:gridCol w:w="1065"/>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名称</w:t>
            </w: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甲方</w:t>
            </w:r>
          </w:p>
        </w:tc>
        <w:tc>
          <w:tcPr>
            <w:tcW w:w="70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合同时间</w:t>
            </w: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金额</w:t>
            </w: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合同主要</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内容</w:t>
            </w: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用  户</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联系人</w:t>
            </w: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用户联</w:t>
            </w:r>
          </w:p>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系电话</w:t>
            </w: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40"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819"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86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07" w:type="dxa"/>
            <w:tcBorders>
              <w:top w:val="single" w:color="auto" w:sz="4" w:space="0"/>
              <w:left w:val="single" w:color="auto" w:sz="4" w:space="0"/>
              <w:bottom w:val="single" w:color="auto" w:sz="4" w:space="0"/>
              <w:right w:val="single" w:color="auto" w:sz="4" w:space="0"/>
            </w:tcBorders>
            <w:noWrap/>
            <w:vAlign w:val="top"/>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744"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161"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737" w:type="dxa"/>
            <w:tcBorders>
              <w:top w:val="single" w:color="auto" w:sz="4" w:space="0"/>
              <w:left w:val="single" w:color="auto" w:sz="4" w:space="0"/>
              <w:bottom w:val="single" w:color="auto" w:sz="4" w:space="0"/>
              <w:right w:val="single" w:color="auto" w:sz="4" w:space="0"/>
            </w:tcBorders>
            <w:noWrap/>
            <w:vAlign w:val="center"/>
          </w:tcPr>
          <w:p>
            <w:pPr>
              <w:topLinePunct/>
              <w:autoSpaceDE w:val="0"/>
              <w:autoSpaceDN w:val="0"/>
              <w:adjustRightInd w:val="0"/>
              <w:snapToGri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1.提供20XX年1月1日以来（以合同签订日期为准），投标人独立承担的XXXX的项目案例。</w:t>
      </w:r>
    </w:p>
    <w:bookmarkEnd w:id="63"/>
    <w:bookmarkEnd w:id="64"/>
    <w:bookmarkEnd w:id="65"/>
    <w:bookmarkEnd w:id="66"/>
    <w:bookmarkEnd w:id="67"/>
    <w:bookmarkEnd w:id="68"/>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2.应提供合同复印件（线上采购项目提供扫描件，下同）。合同复印件应能清晰体现合同甲乙双方、合同时间、合同金额、合同主要内容等，并提供对方联系人及联系方式，否则不能获得相应分值。</w:t>
      </w:r>
    </w:p>
    <w:p>
      <w:pPr>
        <w:pStyle w:val="8"/>
        <w:topLinePunct/>
        <w:autoSpaceDE w:val="0"/>
        <w:autoSpaceDN w:val="0"/>
        <w:spacing w:line="460" w:lineRule="exact"/>
        <w:jc w:val="center"/>
        <w:rPr>
          <w:rFonts w:hAnsi="宋体" w:cs="宋体"/>
          <w:b/>
          <w:bCs/>
          <w:color w:val="auto"/>
          <w:sz w:val="36"/>
          <w:szCs w:val="36"/>
          <w:highlight w:val="none"/>
        </w:rPr>
      </w:pPr>
    </w:p>
    <w:p>
      <w:pPr>
        <w:rPr>
          <w:rFonts w:hAnsi="宋体" w:cs="宋体"/>
          <w:b/>
          <w:bCs/>
          <w:color w:val="auto"/>
          <w:sz w:val="36"/>
          <w:szCs w:val="36"/>
          <w:highlight w:val="none"/>
        </w:rPr>
      </w:pPr>
      <w:r>
        <w:rPr>
          <w:rFonts w:hint="eastAsia" w:hAnsi="宋体" w:cs="宋体"/>
          <w:b/>
          <w:bCs/>
          <w:color w:val="auto"/>
          <w:sz w:val="36"/>
          <w:szCs w:val="36"/>
          <w:highlight w:val="none"/>
        </w:rPr>
        <w:br w:type="page"/>
      </w:r>
    </w:p>
    <w:p>
      <w:pPr>
        <w:spacing w:line="600" w:lineRule="auto"/>
        <w:jc w:val="center"/>
        <w:rPr>
          <w:rFonts w:ascii="宋体" w:hAnsi="宋体"/>
          <w:b/>
          <w:color w:val="auto"/>
          <w:kern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jc w:val="center"/>
        <w:textAlignment w:val="auto"/>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投  标  文  件</w:t>
      </w:r>
    </w:p>
    <w:p>
      <w:pPr>
        <w:keepNext w:val="0"/>
        <w:keepLines w:val="0"/>
        <w:pageBreakBefore w:val="0"/>
        <w:widowControl w:val="0"/>
        <w:kinsoku/>
        <w:wordWrap/>
        <w:overflowPunct/>
        <w:topLinePunct w:val="0"/>
        <w:autoSpaceDE/>
        <w:autoSpaceDN/>
        <w:bidi w:val="0"/>
        <w:adjustRightInd/>
        <w:snapToGrid/>
        <w:spacing w:line="600" w:lineRule="auto"/>
        <w:ind w:firstLine="0" w:firstLineChars="0"/>
        <w:jc w:val="center"/>
        <w:textAlignment w:val="auto"/>
        <w:rPr>
          <w:rFonts w:hint="eastAsia" w:ascii="华文中宋" w:hAnsi="华文中宋" w:eastAsia="华文中宋" w:cs="华文中宋"/>
          <w:b w:val="0"/>
          <w:bCs/>
          <w:color w:val="auto"/>
          <w:kern w:val="0"/>
          <w:sz w:val="32"/>
          <w:szCs w:val="32"/>
          <w:highlight w:val="none"/>
        </w:rPr>
      </w:pPr>
      <w:r>
        <w:rPr>
          <w:rFonts w:hint="eastAsia" w:ascii="华文中宋" w:hAnsi="华文中宋" w:eastAsia="华文中宋" w:cs="华文中宋"/>
          <w:b w:val="0"/>
          <w:bCs/>
          <w:color w:val="auto"/>
          <w:kern w:val="0"/>
          <w:sz w:val="32"/>
          <w:szCs w:val="32"/>
          <w:highlight w:val="none"/>
        </w:rPr>
        <w:t>技术部分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（填写正本或副本）</w:t>
      </w:r>
    </w:p>
    <w:p>
      <w:pPr>
        <w:spacing w:line="360" w:lineRule="auto"/>
        <w:ind w:firstLine="480" w:firstLineChars="200"/>
        <w:jc w:val="center"/>
        <w:rPr>
          <w:rFonts w:hint="eastAsia" w:ascii="方正小标宋简体" w:hAnsi="方正小标宋简体" w:eastAsia="方正小标宋简体" w:cs="方正小标宋简体"/>
          <w:b w:val="0"/>
          <w:bCs/>
          <w:color w:val="auto"/>
          <w:kern w:val="0"/>
          <w:sz w:val="24"/>
          <w:szCs w:val="24"/>
          <w:highlight w:val="none"/>
        </w:rPr>
      </w:pPr>
    </w:p>
    <w:p>
      <w:pPr>
        <w:pStyle w:val="7"/>
        <w:rPr>
          <w:rFonts w:hint="eastAsia" w:ascii="方正小标宋简体" w:hAnsi="方正小标宋简体" w:eastAsia="方正小标宋简体" w:cs="方正小标宋简体"/>
          <w:b w:val="0"/>
          <w:bCs/>
          <w:color w:val="auto"/>
          <w:kern w:val="0"/>
          <w:sz w:val="24"/>
          <w:szCs w:val="24"/>
          <w:highlight w:val="none"/>
        </w:rPr>
      </w:pPr>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项目名称：</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项目编号：</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所投采购包：</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480" w:firstLineChars="200"/>
        <w:jc w:val="center"/>
        <w:textAlignment w:val="auto"/>
        <w:rPr>
          <w:rFonts w:hint="eastAsia" w:ascii="方正小标宋简体" w:hAnsi="方正小标宋简体" w:eastAsia="方正小标宋简体" w:cs="方正小标宋简体"/>
          <w:b w:val="0"/>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投标人：</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470" w:leftChars="700" w:firstLine="1680" w:firstLineChars="700"/>
        <w:textAlignment w:val="auto"/>
        <w:rPr>
          <w:rFonts w:hint="eastAsia" w:ascii="方正小标宋简体" w:hAnsi="方正小标宋简体" w:eastAsia="方正小标宋简体" w:cs="方正小标宋简体"/>
          <w:b w:val="0"/>
          <w:bCs/>
          <w:color w:val="auto"/>
          <w:kern w:val="0"/>
          <w:sz w:val="24"/>
          <w:szCs w:val="24"/>
          <w:highlight w:val="none"/>
        </w:rPr>
      </w:pPr>
      <w:r>
        <w:rPr>
          <w:rFonts w:hint="eastAsia" w:ascii="方正小标宋简体" w:hAnsi="方正小标宋简体" w:eastAsia="方正小标宋简体" w:cs="方正小标宋简体"/>
          <w:b w:val="0"/>
          <w:bCs/>
          <w:color w:val="auto"/>
          <w:kern w:val="0"/>
          <w:sz w:val="24"/>
          <w:szCs w:val="24"/>
          <w:highlight w:val="none"/>
        </w:rPr>
        <w:t>日  期：</w:t>
      </w:r>
      <w:r>
        <w:rPr>
          <w:rFonts w:hint="eastAsia" w:ascii="方正小标宋简体" w:hAnsi="方正小标宋简体" w:eastAsia="方正小标宋简体" w:cs="方正小标宋简体"/>
          <w:b w:val="0"/>
          <w:bCs/>
          <w:color w:val="auto"/>
          <w:kern w:val="0"/>
          <w:sz w:val="24"/>
          <w:szCs w:val="24"/>
          <w:highlight w:val="none"/>
          <w:u w:val="single"/>
        </w:rPr>
        <w:t xml:space="preserve">                 </w:t>
      </w:r>
    </w:p>
    <w:p>
      <w:pPr>
        <w:widowControl/>
        <w:spacing w:after="0" w:line="240" w:lineRule="auto"/>
        <w:jc w:val="center"/>
        <w:rPr>
          <w:rFonts w:ascii="宋体" w:hAnsi="宋体" w:cs="宋体"/>
          <w:b/>
          <w:bCs/>
          <w:color w:val="auto"/>
          <w:sz w:val="28"/>
          <w:szCs w:val="28"/>
          <w:highlight w:val="none"/>
        </w:rPr>
      </w:pPr>
      <w:r>
        <w:rPr>
          <w:rFonts w:ascii="宋体" w:hAnsi="宋体" w:cs="宋体"/>
          <w:b/>
          <w:bCs/>
          <w:color w:val="auto"/>
          <w:sz w:val="36"/>
          <w:szCs w:val="36"/>
          <w:highlight w:val="none"/>
        </w:rPr>
        <w:br w:type="page"/>
      </w:r>
      <w:r>
        <w:rPr>
          <w:rFonts w:hint="default" w:ascii="Times New Roman" w:hAnsi="Times New Roman" w:cs="Times New Roman"/>
          <w:b/>
          <w:bCs/>
          <w:color w:val="auto"/>
          <w:sz w:val="28"/>
          <w:szCs w:val="28"/>
          <w:highlight w:val="none"/>
        </w:rPr>
        <w:t>格式9 技术</w:t>
      </w:r>
      <w:r>
        <w:rPr>
          <w:rFonts w:hint="eastAsia" w:ascii="宋体" w:hAnsi="宋体" w:cs="宋体"/>
          <w:b/>
          <w:bCs/>
          <w:color w:val="auto"/>
          <w:sz w:val="28"/>
          <w:szCs w:val="28"/>
          <w:highlight w:val="none"/>
        </w:rPr>
        <w:t>条款偏离表</w:t>
      </w:r>
    </w:p>
    <w:tbl>
      <w:tblPr>
        <w:tblStyle w:val="13"/>
        <w:tblW w:w="897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28"/>
        <w:gridCol w:w="1516"/>
        <w:gridCol w:w="2116"/>
        <w:gridCol w:w="1684"/>
        <w:gridCol w:w="2090"/>
        <w:gridCol w:w="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516" w:type="dxa"/>
            <w:noWrap/>
            <w:vAlign w:val="top"/>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招标文件</w:t>
            </w:r>
          </w:p>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技术部分序号</w:t>
            </w:r>
          </w:p>
        </w:tc>
        <w:tc>
          <w:tcPr>
            <w:tcW w:w="2116"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招标文件</w:t>
            </w:r>
          </w:p>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技术部分内容要求</w:t>
            </w:r>
          </w:p>
        </w:tc>
        <w:tc>
          <w:tcPr>
            <w:tcW w:w="1684"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投标文件</w:t>
            </w:r>
          </w:p>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应答情况</w:t>
            </w:r>
          </w:p>
        </w:tc>
        <w:tc>
          <w:tcPr>
            <w:tcW w:w="2090"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偏离（无/正/负）</w:t>
            </w:r>
          </w:p>
        </w:tc>
        <w:tc>
          <w:tcPr>
            <w:tcW w:w="639" w:type="dxa"/>
            <w:noWrap/>
            <w:vAlign w:val="center"/>
          </w:tcPr>
          <w:p>
            <w:pPr>
              <w:adjustRightInd w:val="0"/>
              <w:snapToGri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15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ind w:left="50" w:leftChars="24" w:right="55" w:rightChars="26"/>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15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28"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116"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1684"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2090"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c>
          <w:tcPr>
            <w:tcW w:w="639" w:type="dxa"/>
            <w:noWrap/>
            <w:vAlign w:val="center"/>
          </w:tcPr>
          <w:p>
            <w:pPr>
              <w:adjustRightInd w:val="0"/>
              <w:snapToGrid w:val="0"/>
              <w:spacing w:after="0" w:line="240" w:lineRule="auto"/>
              <w:jc w:val="center"/>
              <w:rPr>
                <w:rFonts w:hint="default" w:ascii="Times New Roman" w:hAnsi="Times New Roman" w:cs="Times New Roman"/>
                <w:color w:val="auto"/>
                <w:sz w:val="21"/>
                <w:szCs w:val="21"/>
                <w:highlight w:val="none"/>
              </w:rPr>
            </w:pPr>
          </w:p>
        </w:tc>
      </w:tr>
    </w:tbl>
    <w:p>
      <w:pPr>
        <w:topLinePunct/>
        <w:autoSpaceDE w:val="0"/>
        <w:autoSpaceDN w:val="0"/>
        <w:spacing w:after="0" w:line="360" w:lineRule="auto"/>
        <w:rPr>
          <w:rFonts w:ascii="宋体" w:hAnsi="宋体" w:cs="宋体"/>
          <w:color w:val="auto"/>
          <w:szCs w:val="21"/>
          <w:highlight w:val="none"/>
        </w:rPr>
      </w:pPr>
      <w:r>
        <w:rPr>
          <w:rFonts w:hint="eastAsia" w:ascii="宋体" w:hAnsi="宋体" w:cs="宋体"/>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1.按照《招标文件-技术部分》内容要求，一一对应填写。如果对《招标文件-技术部分》内容不做一一响应，而将“投标文件应答情况”简单笼统描述为“无偏离”，则视为无效应答。</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2.《招标文件-技术部分》内容须条对条应答，不得遗漏；如有遗漏，则视为无效应答。如无偏离，请在此表中填写“无偏离”。如有偏离，请在此表中应答为“正/负偏离”并说明偏离情况；</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3.如《招标文件-技术部分》中有标注★号的，则为实质性要求，必须满足，如应答为“负偏离”，将导致投标无效。</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p>
    <w:p>
      <w:pPr>
        <w:pStyle w:val="22"/>
        <w:spacing w:after="156"/>
        <w:ind w:firstLine="400"/>
        <w:rPr>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投标人代表（签字或盖章）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jc w:val="center"/>
        <w:rPr>
          <w:b/>
          <w:bCs/>
          <w:color w:val="auto"/>
          <w:sz w:val="36"/>
          <w:szCs w:val="36"/>
          <w:highlight w:val="none"/>
        </w:rPr>
      </w:pPr>
      <w:r>
        <w:rPr>
          <w:rFonts w:hint="eastAsia" w:hAnsi="宋体" w:cs="宋体"/>
          <w:color w:val="auto"/>
          <w:sz w:val="24"/>
          <w:highlight w:val="none"/>
        </w:rPr>
        <w:br w:type="page"/>
      </w:r>
      <w:r>
        <w:rPr>
          <w:rFonts w:hint="eastAsia" w:ascii="宋体" w:hAnsi="宋体" w:eastAsia="宋体"/>
          <w:b/>
          <w:bCs/>
          <w:color w:val="auto"/>
          <w:sz w:val="28"/>
          <w:szCs w:val="28"/>
          <w:highlight w:val="none"/>
        </w:rPr>
        <w:t>格式</w:t>
      </w:r>
      <w:r>
        <w:rPr>
          <w:rFonts w:hint="default" w:ascii="Times New Roman" w:hAnsi="Times New Roman" w:eastAsia="宋体" w:cs="Times New Roman"/>
          <w:b/>
          <w:bCs/>
          <w:color w:val="auto"/>
          <w:sz w:val="28"/>
          <w:szCs w:val="28"/>
          <w:highlight w:val="none"/>
        </w:rPr>
        <w:t>10</w:t>
      </w:r>
      <w:r>
        <w:rPr>
          <w:rFonts w:hint="eastAsia" w:ascii="宋体" w:hAnsi="宋体" w:eastAsia="宋体"/>
          <w:b/>
          <w:bCs/>
          <w:color w:val="auto"/>
          <w:sz w:val="28"/>
          <w:szCs w:val="28"/>
          <w:highlight w:val="none"/>
        </w:rPr>
        <w:t>货</w:t>
      </w:r>
      <w:r>
        <w:rPr>
          <w:rFonts w:hint="eastAsia"/>
          <w:b/>
          <w:bCs/>
          <w:color w:val="auto"/>
          <w:sz w:val="28"/>
          <w:szCs w:val="28"/>
          <w:highlight w:val="none"/>
        </w:rPr>
        <w:t>物说明一览表、服务方案、实施方案及技术方案</w:t>
      </w:r>
    </w:p>
    <w:p>
      <w:pPr>
        <w:spacing w:after="0" w:line="240" w:lineRule="auto"/>
        <w:ind w:firstLine="420" w:firstLineChars="200"/>
        <w:rPr>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0"/>
        <w:jc w:val="center"/>
        <w:textAlignment w:val="auto"/>
        <w:rPr>
          <w:rFonts w:ascii="宋体" w:hAnsi="宋体" w:cs="宋体"/>
          <w:b/>
          <w:bCs/>
          <w:color w:val="auto"/>
          <w:sz w:val="28"/>
          <w:szCs w:val="28"/>
          <w:highlight w:val="none"/>
        </w:rPr>
      </w:pPr>
      <w:r>
        <w:rPr>
          <w:rFonts w:hint="eastAsia" w:ascii="宋体" w:hAnsi="宋体" w:cs="宋体"/>
          <w:b/>
          <w:bCs/>
          <w:color w:val="auto"/>
          <w:sz w:val="28"/>
          <w:szCs w:val="28"/>
          <w:highlight w:val="none"/>
        </w:rPr>
        <w:t>货物说明一览表</w:t>
      </w:r>
    </w:p>
    <w:p>
      <w:pPr>
        <w:topLinePunct/>
        <w:autoSpaceDE w:val="0"/>
        <w:autoSpaceDN w:val="0"/>
        <w:adjustRightInd w:val="0"/>
        <w:snapToGrid w:val="0"/>
        <w:spacing w:after="0" w:line="360" w:lineRule="auto"/>
        <w:jc w:val="left"/>
        <w:rPr>
          <w:rFonts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tbl>
      <w:tblPr>
        <w:tblStyle w:val="13"/>
        <w:tblpPr w:leftFromText="180" w:rightFromText="180" w:vertAnchor="text" w:horzAnchor="page" w:tblpX="1408" w:tblpY="38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290"/>
        <w:gridCol w:w="1511"/>
        <w:gridCol w:w="1290"/>
        <w:gridCol w:w="282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序号</w:t>
            </w:r>
          </w:p>
        </w:tc>
        <w:tc>
          <w:tcPr>
            <w:tcW w:w="748"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货物名称</w:t>
            </w:r>
          </w:p>
        </w:tc>
        <w:tc>
          <w:tcPr>
            <w:tcW w:w="876"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制造商名称</w:t>
            </w:r>
          </w:p>
        </w:tc>
        <w:tc>
          <w:tcPr>
            <w:tcW w:w="748"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型号规格</w:t>
            </w:r>
          </w:p>
        </w:tc>
        <w:tc>
          <w:tcPr>
            <w:tcW w:w="1639"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主要技术参数和技术指标</w:t>
            </w:r>
          </w:p>
        </w:tc>
        <w:tc>
          <w:tcPr>
            <w:tcW w:w="493" w:type="pct"/>
            <w:noWrap w:val="0"/>
            <w:vAlign w:val="center"/>
          </w:tcPr>
          <w:p>
            <w:pPr>
              <w:spacing w:after="0" w:line="360" w:lineRule="auto"/>
              <w:jc w:val="center"/>
              <w:rPr>
                <w:color w:val="auto"/>
                <w:sz w:val="21"/>
                <w:szCs w:val="21"/>
                <w:highlight w:val="none"/>
              </w:rPr>
            </w:pPr>
            <w:r>
              <w:rPr>
                <w:rFonts w:hint="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noWrap w:val="0"/>
            <w:vAlign w:val="center"/>
          </w:tcPr>
          <w:p>
            <w:pPr>
              <w:spacing w:after="0" w:line="360" w:lineRule="auto"/>
              <w:jc w:val="center"/>
              <w:rPr>
                <w:color w:val="auto"/>
                <w:sz w:val="21"/>
                <w:szCs w:val="21"/>
                <w:highlight w:val="none"/>
              </w:rPr>
            </w:pPr>
          </w:p>
        </w:tc>
        <w:tc>
          <w:tcPr>
            <w:tcW w:w="748" w:type="pct"/>
            <w:noWrap w:val="0"/>
            <w:vAlign w:val="center"/>
          </w:tcPr>
          <w:p>
            <w:pPr>
              <w:spacing w:after="0" w:line="360" w:lineRule="auto"/>
              <w:jc w:val="center"/>
              <w:rPr>
                <w:color w:val="auto"/>
                <w:sz w:val="21"/>
                <w:szCs w:val="21"/>
                <w:highlight w:val="none"/>
              </w:rPr>
            </w:pPr>
          </w:p>
        </w:tc>
        <w:tc>
          <w:tcPr>
            <w:tcW w:w="876" w:type="pct"/>
            <w:noWrap w:val="0"/>
            <w:vAlign w:val="center"/>
          </w:tcPr>
          <w:p>
            <w:pPr>
              <w:spacing w:after="0" w:line="360" w:lineRule="auto"/>
              <w:jc w:val="center"/>
              <w:rPr>
                <w:color w:val="auto"/>
                <w:sz w:val="21"/>
                <w:szCs w:val="21"/>
                <w:highlight w:val="none"/>
              </w:rPr>
            </w:pPr>
          </w:p>
        </w:tc>
        <w:tc>
          <w:tcPr>
            <w:tcW w:w="748" w:type="pct"/>
            <w:noWrap w:val="0"/>
            <w:vAlign w:val="center"/>
          </w:tcPr>
          <w:p>
            <w:pPr>
              <w:spacing w:after="0" w:line="360" w:lineRule="auto"/>
              <w:jc w:val="center"/>
              <w:rPr>
                <w:color w:val="auto"/>
                <w:sz w:val="21"/>
                <w:szCs w:val="21"/>
                <w:highlight w:val="none"/>
              </w:rPr>
            </w:pPr>
          </w:p>
        </w:tc>
        <w:tc>
          <w:tcPr>
            <w:tcW w:w="1639" w:type="pct"/>
            <w:noWrap w:val="0"/>
            <w:vAlign w:val="center"/>
          </w:tcPr>
          <w:p>
            <w:pPr>
              <w:spacing w:after="0" w:line="360" w:lineRule="auto"/>
              <w:jc w:val="center"/>
              <w:rPr>
                <w:color w:val="auto"/>
                <w:sz w:val="21"/>
                <w:szCs w:val="21"/>
                <w:highlight w:val="none"/>
              </w:rPr>
            </w:pPr>
          </w:p>
        </w:tc>
        <w:tc>
          <w:tcPr>
            <w:tcW w:w="493" w:type="pct"/>
            <w:noWrap w:val="0"/>
            <w:vAlign w:val="center"/>
          </w:tcPr>
          <w:p>
            <w:pPr>
              <w:spacing w:after="0"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noWrap w:val="0"/>
            <w:vAlign w:val="center"/>
          </w:tcPr>
          <w:p>
            <w:pPr>
              <w:spacing w:after="0" w:line="360" w:lineRule="auto"/>
              <w:jc w:val="center"/>
              <w:rPr>
                <w:color w:val="auto"/>
                <w:sz w:val="21"/>
                <w:szCs w:val="21"/>
                <w:highlight w:val="none"/>
              </w:rPr>
            </w:pPr>
          </w:p>
        </w:tc>
        <w:tc>
          <w:tcPr>
            <w:tcW w:w="748" w:type="pct"/>
            <w:noWrap w:val="0"/>
            <w:vAlign w:val="center"/>
          </w:tcPr>
          <w:p>
            <w:pPr>
              <w:spacing w:after="0" w:line="360" w:lineRule="auto"/>
              <w:jc w:val="center"/>
              <w:rPr>
                <w:color w:val="auto"/>
                <w:sz w:val="21"/>
                <w:szCs w:val="21"/>
                <w:highlight w:val="none"/>
              </w:rPr>
            </w:pPr>
          </w:p>
        </w:tc>
        <w:tc>
          <w:tcPr>
            <w:tcW w:w="876" w:type="pct"/>
            <w:noWrap w:val="0"/>
            <w:vAlign w:val="center"/>
          </w:tcPr>
          <w:p>
            <w:pPr>
              <w:spacing w:after="0" w:line="360" w:lineRule="auto"/>
              <w:jc w:val="center"/>
              <w:rPr>
                <w:color w:val="auto"/>
                <w:sz w:val="21"/>
                <w:szCs w:val="21"/>
                <w:highlight w:val="none"/>
              </w:rPr>
            </w:pPr>
          </w:p>
        </w:tc>
        <w:tc>
          <w:tcPr>
            <w:tcW w:w="748" w:type="pct"/>
            <w:noWrap w:val="0"/>
            <w:vAlign w:val="center"/>
          </w:tcPr>
          <w:p>
            <w:pPr>
              <w:spacing w:after="0" w:line="360" w:lineRule="auto"/>
              <w:jc w:val="center"/>
              <w:rPr>
                <w:color w:val="auto"/>
                <w:sz w:val="21"/>
                <w:szCs w:val="21"/>
                <w:highlight w:val="none"/>
              </w:rPr>
            </w:pPr>
          </w:p>
        </w:tc>
        <w:tc>
          <w:tcPr>
            <w:tcW w:w="1639" w:type="pct"/>
            <w:noWrap w:val="0"/>
            <w:vAlign w:val="center"/>
          </w:tcPr>
          <w:p>
            <w:pPr>
              <w:spacing w:after="0" w:line="360" w:lineRule="auto"/>
              <w:jc w:val="center"/>
              <w:rPr>
                <w:color w:val="auto"/>
                <w:sz w:val="21"/>
                <w:szCs w:val="21"/>
                <w:highlight w:val="none"/>
              </w:rPr>
            </w:pPr>
          </w:p>
        </w:tc>
        <w:tc>
          <w:tcPr>
            <w:tcW w:w="493" w:type="pct"/>
            <w:noWrap w:val="0"/>
            <w:vAlign w:val="center"/>
          </w:tcPr>
          <w:p>
            <w:pPr>
              <w:spacing w:after="0"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noWrap w:val="0"/>
            <w:vAlign w:val="center"/>
          </w:tcPr>
          <w:p>
            <w:pPr>
              <w:spacing w:after="0" w:line="360" w:lineRule="auto"/>
              <w:jc w:val="center"/>
              <w:rPr>
                <w:color w:val="auto"/>
                <w:sz w:val="21"/>
                <w:szCs w:val="21"/>
                <w:highlight w:val="none"/>
              </w:rPr>
            </w:pPr>
          </w:p>
        </w:tc>
        <w:tc>
          <w:tcPr>
            <w:tcW w:w="748" w:type="pct"/>
            <w:noWrap w:val="0"/>
            <w:vAlign w:val="center"/>
          </w:tcPr>
          <w:p>
            <w:pPr>
              <w:spacing w:after="0" w:line="360" w:lineRule="auto"/>
              <w:jc w:val="center"/>
              <w:rPr>
                <w:color w:val="auto"/>
                <w:sz w:val="21"/>
                <w:szCs w:val="21"/>
                <w:highlight w:val="none"/>
              </w:rPr>
            </w:pPr>
          </w:p>
        </w:tc>
        <w:tc>
          <w:tcPr>
            <w:tcW w:w="876" w:type="pct"/>
            <w:noWrap w:val="0"/>
            <w:vAlign w:val="center"/>
          </w:tcPr>
          <w:p>
            <w:pPr>
              <w:spacing w:after="0" w:line="360" w:lineRule="auto"/>
              <w:jc w:val="center"/>
              <w:rPr>
                <w:color w:val="auto"/>
                <w:sz w:val="21"/>
                <w:szCs w:val="21"/>
                <w:highlight w:val="none"/>
              </w:rPr>
            </w:pPr>
          </w:p>
        </w:tc>
        <w:tc>
          <w:tcPr>
            <w:tcW w:w="748" w:type="pct"/>
            <w:noWrap w:val="0"/>
            <w:vAlign w:val="center"/>
          </w:tcPr>
          <w:p>
            <w:pPr>
              <w:spacing w:after="0" w:line="360" w:lineRule="auto"/>
              <w:jc w:val="center"/>
              <w:rPr>
                <w:color w:val="auto"/>
                <w:sz w:val="21"/>
                <w:szCs w:val="21"/>
                <w:highlight w:val="none"/>
              </w:rPr>
            </w:pPr>
          </w:p>
        </w:tc>
        <w:tc>
          <w:tcPr>
            <w:tcW w:w="1639" w:type="pct"/>
            <w:noWrap w:val="0"/>
            <w:vAlign w:val="center"/>
          </w:tcPr>
          <w:p>
            <w:pPr>
              <w:spacing w:after="0" w:line="360" w:lineRule="auto"/>
              <w:jc w:val="center"/>
              <w:rPr>
                <w:color w:val="auto"/>
                <w:sz w:val="21"/>
                <w:szCs w:val="21"/>
                <w:highlight w:val="none"/>
              </w:rPr>
            </w:pPr>
          </w:p>
        </w:tc>
        <w:tc>
          <w:tcPr>
            <w:tcW w:w="493" w:type="pct"/>
            <w:noWrap w:val="0"/>
            <w:vAlign w:val="center"/>
          </w:tcPr>
          <w:p>
            <w:pPr>
              <w:spacing w:after="0"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noWrap w:val="0"/>
            <w:vAlign w:val="center"/>
          </w:tcPr>
          <w:p>
            <w:pPr>
              <w:spacing w:after="0" w:line="360" w:lineRule="auto"/>
              <w:jc w:val="center"/>
              <w:rPr>
                <w:color w:val="auto"/>
                <w:sz w:val="21"/>
                <w:szCs w:val="21"/>
                <w:highlight w:val="none"/>
              </w:rPr>
            </w:pPr>
          </w:p>
        </w:tc>
        <w:tc>
          <w:tcPr>
            <w:tcW w:w="748" w:type="pct"/>
            <w:noWrap w:val="0"/>
            <w:vAlign w:val="center"/>
          </w:tcPr>
          <w:p>
            <w:pPr>
              <w:spacing w:after="0" w:line="360" w:lineRule="auto"/>
              <w:jc w:val="center"/>
              <w:rPr>
                <w:color w:val="auto"/>
                <w:sz w:val="21"/>
                <w:szCs w:val="21"/>
                <w:highlight w:val="none"/>
              </w:rPr>
            </w:pPr>
          </w:p>
        </w:tc>
        <w:tc>
          <w:tcPr>
            <w:tcW w:w="876" w:type="pct"/>
            <w:noWrap w:val="0"/>
            <w:vAlign w:val="center"/>
          </w:tcPr>
          <w:p>
            <w:pPr>
              <w:spacing w:after="0" w:line="360" w:lineRule="auto"/>
              <w:jc w:val="center"/>
              <w:rPr>
                <w:color w:val="auto"/>
                <w:sz w:val="21"/>
                <w:szCs w:val="21"/>
                <w:highlight w:val="none"/>
              </w:rPr>
            </w:pPr>
          </w:p>
        </w:tc>
        <w:tc>
          <w:tcPr>
            <w:tcW w:w="748" w:type="pct"/>
            <w:noWrap w:val="0"/>
            <w:vAlign w:val="center"/>
          </w:tcPr>
          <w:p>
            <w:pPr>
              <w:spacing w:after="0" w:line="360" w:lineRule="auto"/>
              <w:jc w:val="center"/>
              <w:rPr>
                <w:color w:val="auto"/>
                <w:sz w:val="21"/>
                <w:szCs w:val="21"/>
                <w:highlight w:val="none"/>
              </w:rPr>
            </w:pPr>
          </w:p>
        </w:tc>
        <w:tc>
          <w:tcPr>
            <w:tcW w:w="1639" w:type="pct"/>
            <w:noWrap w:val="0"/>
            <w:vAlign w:val="center"/>
          </w:tcPr>
          <w:p>
            <w:pPr>
              <w:spacing w:after="0" w:line="360" w:lineRule="auto"/>
              <w:jc w:val="center"/>
              <w:rPr>
                <w:color w:val="auto"/>
                <w:sz w:val="21"/>
                <w:szCs w:val="21"/>
                <w:highlight w:val="none"/>
              </w:rPr>
            </w:pPr>
          </w:p>
        </w:tc>
        <w:tc>
          <w:tcPr>
            <w:tcW w:w="493" w:type="pct"/>
            <w:noWrap w:val="0"/>
            <w:vAlign w:val="center"/>
          </w:tcPr>
          <w:p>
            <w:pPr>
              <w:spacing w:after="0" w:line="360" w:lineRule="auto"/>
              <w:jc w:val="center"/>
              <w:rPr>
                <w:color w:val="auto"/>
                <w:sz w:val="21"/>
                <w:szCs w:val="21"/>
                <w:highlight w:val="none"/>
              </w:rPr>
            </w:pPr>
          </w:p>
        </w:tc>
      </w:tr>
    </w:tbl>
    <w:p>
      <w:pPr>
        <w:adjustRightInd w:val="0"/>
        <w:snapToGrid w:val="0"/>
        <w:spacing w:after="0" w:line="360" w:lineRule="auto"/>
        <w:ind w:right="840"/>
        <w:rPr>
          <w:rFonts w:ascii="宋体" w:hAnsi="宋体" w:cs="宋体"/>
          <w:bCs/>
          <w:color w:val="auto"/>
          <w:w w:val="150"/>
          <w:sz w:val="21"/>
          <w:szCs w:val="21"/>
          <w:highlight w:val="none"/>
        </w:rPr>
      </w:pPr>
      <w:r>
        <w:rPr>
          <w:rFonts w:hint="eastAsia" w:ascii="宋体" w:hAnsi="宋体" w:cs="宋体"/>
          <w:color w:val="auto"/>
          <w:sz w:val="21"/>
          <w:szCs w:val="21"/>
          <w:highlight w:val="none"/>
        </w:rPr>
        <w:t>采购包号：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价格单位：人民币   元</w:t>
      </w:r>
    </w:p>
    <w:p>
      <w:pPr>
        <w:topLinePunct/>
        <w:autoSpaceDE w:val="0"/>
        <w:autoSpaceDN w:val="0"/>
        <w:spacing w:after="0" w:line="360" w:lineRule="auto"/>
        <w:rPr>
          <w:rFonts w:ascii="宋体" w:hAnsi="宋体" w:cs="宋体"/>
          <w:color w:val="auto"/>
          <w:sz w:val="21"/>
          <w:szCs w:val="21"/>
          <w:highlight w:val="none"/>
        </w:rPr>
      </w:pPr>
      <w:r>
        <w:rPr>
          <w:rFonts w:hint="eastAsia" w:ascii="宋体" w:hAnsi="宋体" w:cs="宋体"/>
          <w:color w:val="auto"/>
          <w:sz w:val="21"/>
          <w:szCs w:val="21"/>
          <w:highlight w:val="none"/>
        </w:rPr>
        <w:t>备注：货物的主要技术参数和技术指标可另页描述。</w:t>
      </w:r>
    </w:p>
    <w:p>
      <w:pPr>
        <w:spacing w:after="0" w:line="240" w:lineRule="auto"/>
        <w:ind w:firstLine="420" w:firstLineChars="200"/>
        <w:rPr>
          <w:color w:val="auto"/>
          <w:sz w:val="21"/>
          <w:szCs w:val="21"/>
          <w:highlight w:val="none"/>
        </w:rPr>
      </w:pP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w:t>
      </w:r>
      <w:r>
        <w:rPr>
          <w:rFonts w:ascii="宋体" w:hAnsi="宋体"/>
          <w:color w:val="auto"/>
          <w:kern w:val="0"/>
          <w:sz w:val="21"/>
          <w:szCs w:val="21"/>
          <w:highlight w:val="none"/>
        </w:rPr>
        <w:t>（全称并加盖公章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olor w:val="auto"/>
          <w:kern w:val="0"/>
          <w:sz w:val="21"/>
          <w:szCs w:val="21"/>
          <w:highlight w:val="none"/>
        </w:rPr>
        <w:t>投标人代表（签字或盖章）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p>
    <w:p>
      <w:pPr>
        <w:tabs>
          <w:tab w:val="left" w:pos="1230"/>
        </w:tabs>
        <w:topLinePunct/>
        <w:autoSpaceDE w:val="0"/>
        <w:autoSpaceDN w:val="0"/>
        <w:adjustRightInd w:val="0"/>
        <w:snapToGrid w:val="0"/>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0"/>
        <w:jc w:val="center"/>
        <w:textAlignment w:val="auto"/>
        <w:rPr>
          <w:rFonts w:eastAsia="黑体"/>
          <w:color w:val="auto"/>
          <w:sz w:val="28"/>
          <w:szCs w:val="28"/>
          <w:highlight w:val="none"/>
        </w:rPr>
      </w:pPr>
      <w:r>
        <w:rPr>
          <w:rFonts w:eastAsia="仿宋_GB2312"/>
          <w:color w:val="auto"/>
          <w:szCs w:val="21"/>
          <w:highlight w:val="none"/>
        </w:rPr>
        <w:br w:type="page"/>
      </w:r>
      <w:r>
        <w:rPr>
          <w:rFonts w:hint="eastAsia" w:ascii="宋体" w:hAnsi="宋体" w:cs="宋体"/>
          <w:b/>
          <w:bCs/>
          <w:color w:val="auto"/>
          <w:sz w:val="28"/>
          <w:szCs w:val="28"/>
          <w:highlight w:val="none"/>
        </w:rPr>
        <w:t>服务方案说明</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服务类项目供应商应根据第六章规定编写服务方案说明。服务方案说明包括但不限于：</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(1)服务目标、范围和任务；</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(2)服务方案；</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(3)服务团队组织安排计划；</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(4)工作流程；</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(5)进度计划及保证措施；</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(6)质量保证措施；</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(7)合理化建议；</w:t>
      </w:r>
    </w:p>
    <w:p>
      <w:pPr>
        <w:spacing w:line="360" w:lineRule="auto"/>
        <w:ind w:firstLine="420" w:firstLineChars="200"/>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(8)其他。</w:t>
      </w:r>
    </w:p>
    <w:p>
      <w:pPr>
        <w:spacing w:after="0" w:line="240" w:lineRule="auto"/>
        <w:ind w:firstLine="420" w:firstLineChars="200"/>
        <w:rPr>
          <w:rFonts w:eastAsia="仿宋_GB2312"/>
          <w:color w:val="auto"/>
          <w:szCs w:val="21"/>
          <w:highlight w:val="none"/>
        </w:rPr>
      </w:pPr>
    </w:p>
    <w:p>
      <w:pPr>
        <w:adjustRightInd w:val="0"/>
        <w:snapToGrid w:val="0"/>
        <w:spacing w:after="0" w:line="360" w:lineRule="auto"/>
        <w:ind w:firstLine="723"/>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实施方案</w:t>
      </w:r>
    </w:p>
    <w:p>
      <w:pPr>
        <w:spacing w:line="360" w:lineRule="auto"/>
        <w:ind w:firstLine="420" w:firstLineChars="200"/>
        <w:jc w:val="left"/>
        <w:rPr>
          <w:rFonts w:ascii="宋体" w:hAnsi="宋体"/>
          <w:color w:val="auto"/>
          <w:kern w:val="0"/>
          <w:sz w:val="21"/>
          <w:szCs w:val="21"/>
          <w:highlight w:val="none"/>
        </w:rPr>
      </w:pPr>
      <w:r>
        <w:rPr>
          <w:rFonts w:hint="eastAsia" w:ascii="宋体" w:hAnsi="宋体"/>
          <w:color w:val="auto"/>
          <w:kern w:val="0"/>
          <w:sz w:val="21"/>
          <w:szCs w:val="21"/>
          <w:highlight w:val="none"/>
        </w:rPr>
        <w:t>(示例略)</w:t>
      </w:r>
    </w:p>
    <w:p>
      <w:pPr>
        <w:spacing w:after="0" w:line="240" w:lineRule="auto"/>
        <w:ind w:firstLine="420" w:firstLineChars="200"/>
        <w:rPr>
          <w:rFonts w:eastAsia="仿宋_GB2312"/>
          <w:color w:val="auto"/>
          <w:szCs w:val="21"/>
          <w:highlight w:val="none"/>
        </w:rPr>
      </w:pPr>
    </w:p>
    <w:p>
      <w:pPr>
        <w:adjustRightInd w:val="0"/>
        <w:snapToGrid w:val="0"/>
        <w:spacing w:after="0" w:line="360" w:lineRule="auto"/>
        <w:ind w:firstLine="723"/>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技术方案</w:t>
      </w:r>
    </w:p>
    <w:p>
      <w:pPr>
        <w:spacing w:line="360" w:lineRule="auto"/>
        <w:ind w:firstLine="420" w:firstLineChars="200"/>
        <w:jc w:val="left"/>
        <w:rPr>
          <w:rFonts w:ascii="宋体" w:hAnsi="宋体"/>
          <w:color w:val="auto"/>
          <w:kern w:val="0"/>
          <w:sz w:val="21"/>
          <w:szCs w:val="21"/>
          <w:highlight w:val="none"/>
        </w:rPr>
      </w:pPr>
      <w:r>
        <w:rPr>
          <w:rFonts w:ascii="宋体" w:hAnsi="宋体"/>
          <w:color w:val="auto"/>
          <w:kern w:val="0"/>
          <w:sz w:val="21"/>
          <w:szCs w:val="21"/>
          <w:highlight w:val="none"/>
        </w:rPr>
        <w:t>(</w:t>
      </w:r>
      <w:r>
        <w:rPr>
          <w:rFonts w:hint="eastAsia" w:ascii="宋体" w:hAnsi="宋体"/>
          <w:color w:val="auto"/>
          <w:kern w:val="0"/>
          <w:sz w:val="21"/>
          <w:szCs w:val="21"/>
          <w:highlight w:val="none"/>
        </w:rPr>
        <w:t>示例略</w:t>
      </w:r>
      <w:r>
        <w:rPr>
          <w:rFonts w:ascii="宋体" w:hAnsi="宋体"/>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s="宋体"/>
          <w:b/>
          <w:bCs/>
          <w:color w:val="auto"/>
          <w:sz w:val="28"/>
          <w:szCs w:val="28"/>
          <w:highlight w:val="none"/>
        </w:rPr>
      </w:pPr>
      <w:r>
        <w:rPr>
          <w:rFonts w:ascii="宋体" w:hAnsi="宋体"/>
          <w:color w:val="auto"/>
          <w:kern w:val="0"/>
          <w:sz w:val="24"/>
          <w:highlight w:val="none"/>
        </w:rPr>
        <w:br w:type="page"/>
      </w:r>
      <w:r>
        <w:rPr>
          <w:rFonts w:hint="eastAsia" w:ascii="宋体" w:hAnsi="宋体" w:cs="宋体"/>
          <w:b/>
          <w:bCs/>
          <w:color w:val="auto"/>
          <w:sz w:val="28"/>
          <w:szCs w:val="28"/>
          <w:highlight w:val="none"/>
        </w:rPr>
        <w:t>格式</w:t>
      </w:r>
      <w:bookmarkStart w:id="78" w:name="_Toc231801039"/>
      <w:r>
        <w:rPr>
          <w:rFonts w:hint="default" w:ascii="Times New Roman" w:hAnsi="Times New Roman" w:eastAsia="方正小标宋简体" w:cs="Times New Roman"/>
          <w:b/>
          <w:bCs/>
          <w:color w:val="auto"/>
          <w:sz w:val="28"/>
          <w:szCs w:val="28"/>
          <w:highlight w:val="none"/>
        </w:rPr>
        <w:t>11</w:t>
      </w:r>
      <w:r>
        <w:rPr>
          <w:rFonts w:hint="eastAsia" w:ascii="宋体" w:hAnsi="宋体" w:cs="宋体"/>
          <w:b/>
          <w:bCs/>
          <w:color w:val="auto"/>
          <w:sz w:val="28"/>
          <w:szCs w:val="28"/>
          <w:highlight w:val="none"/>
        </w:rPr>
        <w:t xml:space="preserve"> 技术力量一览表</w:t>
      </w:r>
    </w:p>
    <w:tbl>
      <w:tblPr>
        <w:tblStyle w:val="13"/>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356"/>
        <w:gridCol w:w="1187"/>
        <w:gridCol w:w="1189"/>
        <w:gridCol w:w="1275"/>
        <w:gridCol w:w="1243"/>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trPr>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姓 名</w:t>
            </w: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技术职称</w:t>
            </w: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人员级别</w:t>
            </w: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工作年限</w:t>
            </w: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本项目中担任职务</w:t>
            </w: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0" w:type="dxa"/>
            <w:gridSpan w:val="7"/>
            <w:tcBorders>
              <w:top w:val="single" w:color="auto" w:sz="4" w:space="0"/>
              <w:left w:val="single" w:color="auto" w:sz="4" w:space="0"/>
              <w:bottom w:val="single" w:color="auto" w:sz="4" w:space="0"/>
              <w:right w:val="single" w:color="auto" w:sz="4" w:space="0"/>
            </w:tcBorders>
            <w:noWrap/>
            <w:vAlign w:val="center"/>
          </w:tcPr>
          <w:p>
            <w:pPr>
              <w:numPr>
                <w:ilvl w:val="0"/>
                <w:numId w:val="0"/>
              </w:num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项目管理人员</w:t>
            </w:r>
          </w:p>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二、XX人员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pacing w:after="0" w:line="240" w:lineRule="auto"/>
              <w:jc w:val="left"/>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三、XX人员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35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35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5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7"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189"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75"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243"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c>
          <w:tcPr>
            <w:tcW w:w="1916" w:type="dxa"/>
            <w:noWrap w:val="0"/>
            <w:vAlign w:val="center"/>
          </w:tcPr>
          <w:p>
            <w:pPr>
              <w:adjustRightInd w:val="0"/>
              <w:spacing w:after="0" w:line="240" w:lineRule="auto"/>
              <w:jc w:val="center"/>
              <w:rPr>
                <w:rFonts w:hint="default" w:ascii="Times New Roman" w:hAnsi="Times New Roman" w:cs="Times New Roman"/>
                <w:color w:val="auto"/>
                <w:sz w:val="21"/>
                <w:szCs w:val="21"/>
                <w:highlight w:val="none"/>
              </w:rPr>
            </w:pPr>
          </w:p>
        </w:tc>
      </w:tr>
      <w:bookmarkEnd w:id="78"/>
    </w:tbl>
    <w:p>
      <w:pPr>
        <w:topLinePunct/>
        <w:autoSpaceDE w:val="0"/>
        <w:autoSpaceDN w:val="0"/>
        <w:spacing w:after="0" w:line="360" w:lineRule="auto"/>
        <w:rPr>
          <w:rFonts w:ascii="宋体" w:hAnsi="宋体" w:cs="宋体"/>
          <w:color w:val="auto"/>
          <w:szCs w:val="21"/>
          <w:highlight w:val="none"/>
        </w:rPr>
      </w:pPr>
      <w:r>
        <w:rPr>
          <w:rFonts w:ascii="宋体" w:hAnsi="宋体" w:cs="宋体"/>
          <w:color w:val="auto"/>
          <w:szCs w:val="21"/>
          <w:highlight w:val="none"/>
        </w:rPr>
        <w:t>特别说明：</w:t>
      </w:r>
    </w:p>
    <w:p>
      <w:pPr>
        <w:topLinePunct/>
        <w:autoSpaceDE w:val="0"/>
        <w:autoSpaceDN w:val="0"/>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投标人须按照上述格式填写投入本项目所有人员的相关信息。</w:t>
      </w:r>
    </w:p>
    <w:p>
      <w:pPr>
        <w:topLinePunct/>
        <w:autoSpaceDE w:val="0"/>
        <w:autoSpaceDN w:val="0"/>
        <w:spacing w:line="460" w:lineRule="exact"/>
        <w:rPr>
          <w:rFonts w:ascii="宋体" w:hAnsi="宋体" w:cs="宋体"/>
          <w:bCs/>
          <w:color w:val="auto"/>
          <w:w w:val="150"/>
          <w:sz w:val="24"/>
          <w:highlight w:val="none"/>
          <w:shd w:val="clear" w:color="auto" w:fill="FFFF00"/>
        </w:rPr>
      </w:pPr>
    </w:p>
    <w:p>
      <w:pPr>
        <w:keepNext w:val="0"/>
        <w:keepLines w:val="0"/>
        <w:pageBreakBefore w:val="0"/>
        <w:widowControl w:val="0"/>
        <w:kinsoku/>
        <w:wordWrap/>
        <w:overflowPunct/>
        <w:topLinePunct/>
        <w:autoSpaceDE w:val="0"/>
        <w:autoSpaceDN w:val="0"/>
        <w:bidi w:val="0"/>
        <w:adjustRightInd/>
        <w:snapToGrid/>
        <w:spacing w:line="360" w:lineRule="auto"/>
        <w:jc w:val="center"/>
        <w:textAlignment w:val="auto"/>
        <w:rPr>
          <w:rFonts w:ascii="宋体" w:hAnsi="宋体" w:cs="宋体"/>
          <w:b/>
          <w:bCs/>
          <w:color w:val="auto"/>
          <w:sz w:val="28"/>
          <w:szCs w:val="28"/>
          <w:highlight w:val="none"/>
        </w:rPr>
      </w:pPr>
      <w:r>
        <w:rPr>
          <w:rFonts w:hint="eastAsia" w:ascii="宋体" w:hAnsi="宋体" w:cs="宋体"/>
          <w:b/>
          <w:color w:val="auto"/>
          <w:sz w:val="30"/>
          <w:szCs w:val="30"/>
          <w:highlight w:val="none"/>
        </w:rPr>
        <w:br w:type="page"/>
      </w:r>
      <w:r>
        <w:rPr>
          <w:rFonts w:hint="eastAsia" w:ascii="宋体" w:hAnsi="宋体" w:cs="宋体"/>
          <w:b/>
          <w:bCs/>
          <w:color w:val="auto"/>
          <w:sz w:val="28"/>
          <w:szCs w:val="28"/>
          <w:highlight w:val="none"/>
        </w:rPr>
        <w:t>格式12 技术人员简历表</w:t>
      </w:r>
    </w:p>
    <w:tbl>
      <w:tblPr>
        <w:tblStyle w:val="1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713"/>
        <w:gridCol w:w="1505"/>
        <w:gridCol w:w="1388"/>
        <w:gridCol w:w="179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姓   名</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性    别</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出生日期</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学   历</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毕业学校</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技术职称</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公司职务</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任职时间</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本项目任职</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人员级别</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从事XXX工作年限</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c>
          <w:tcPr>
            <w:tcW w:w="1794"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从事XXXX年限</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认证证书</w:t>
            </w:r>
          </w:p>
        </w:tc>
        <w:tc>
          <w:tcPr>
            <w:tcW w:w="766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pacing w:after="0"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928" w:type="dxa"/>
            <w:gridSpan w:val="6"/>
            <w:tcBorders>
              <w:top w:val="single" w:color="auto" w:sz="4" w:space="0"/>
              <w:left w:val="single" w:color="auto" w:sz="4" w:space="0"/>
              <w:bottom w:val="single" w:color="auto" w:sz="4" w:space="0"/>
              <w:right w:val="single" w:color="auto" w:sz="4" w:space="0"/>
            </w:tcBorders>
            <w:noWrap w:val="0"/>
            <w:vAlign w:val="top"/>
          </w:tcPr>
          <w:p>
            <w:pPr>
              <w:spacing w:after="0" w:line="240" w:lineRule="auto"/>
              <w:rPr>
                <w:rFonts w:ascii="宋体" w:hAnsi="宋体" w:cs="宋体"/>
                <w:color w:val="auto"/>
                <w:sz w:val="21"/>
                <w:szCs w:val="21"/>
                <w:highlight w:val="none"/>
              </w:rPr>
            </w:pPr>
            <w:r>
              <w:rPr>
                <w:rFonts w:hint="eastAsia" w:ascii="宋体" w:hAnsi="宋体" w:cs="宋体"/>
                <w:color w:val="auto"/>
                <w:sz w:val="21"/>
                <w:szCs w:val="21"/>
                <w:highlight w:val="none"/>
              </w:rPr>
              <w:t>工作简历及主要业绩</w:t>
            </w:r>
          </w:p>
          <w:p>
            <w:pPr>
              <w:adjustRightInd w:val="0"/>
              <w:spacing w:after="0" w:line="240" w:lineRule="auto"/>
              <w:rPr>
                <w:rFonts w:ascii="宋体" w:hAnsi="宋体" w:cs="宋体"/>
                <w:color w:val="auto"/>
                <w:sz w:val="21"/>
                <w:szCs w:val="21"/>
                <w:highlight w:val="none"/>
              </w:rPr>
            </w:pPr>
          </w:p>
        </w:tc>
      </w:tr>
    </w:tbl>
    <w:p>
      <w:pPr>
        <w:topLinePunct/>
        <w:autoSpaceDE w:val="0"/>
        <w:autoSpaceDN w:val="0"/>
        <w:spacing w:after="0"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特别说明：</w:t>
      </w:r>
    </w:p>
    <w:p>
      <w:pPr>
        <w:topLinePunct/>
        <w:autoSpaceDE w:val="0"/>
        <w:autoSpaceDN w:val="0"/>
        <w:spacing w:after="0"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1.投标人应提供投入本项目所有人员的简历。</w:t>
      </w:r>
    </w:p>
    <w:p>
      <w:pPr>
        <w:topLinePunct/>
        <w:autoSpaceDE w:val="0"/>
        <w:autoSpaceDN w:val="0"/>
        <w:spacing w:after="0" w:line="360" w:lineRule="auto"/>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2.</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等人员应提供</w:t>
      </w:r>
      <w:r>
        <w:rPr>
          <w:rFonts w:hint="default" w:ascii="Times New Roman" w:hAnsi="Times New Roman" w:cs="Times New Roman"/>
          <w:color w:val="auto"/>
          <w:szCs w:val="21"/>
          <w:highlight w:val="none"/>
          <w:u w:val="single"/>
        </w:rPr>
        <w:t xml:space="preserve">       </w:t>
      </w:r>
      <w:r>
        <w:rPr>
          <w:rFonts w:hint="default" w:ascii="Times New Roman" w:hAnsi="Times New Roman" w:cs="Times New Roman"/>
          <w:color w:val="auto"/>
          <w:szCs w:val="21"/>
          <w:highlight w:val="none"/>
        </w:rPr>
        <w:t xml:space="preserve">复印件。 </w:t>
      </w:r>
    </w:p>
    <w:p>
      <w:pPr>
        <w:widowControl/>
        <w:spacing w:after="0" w:line="240" w:lineRule="auto"/>
        <w:jc w:val="left"/>
        <w:rPr>
          <w:color w:val="auto"/>
          <w:highlight w:val="none"/>
        </w:rPr>
      </w:pPr>
    </w:p>
    <w:p>
      <w:pPr>
        <w:widowControl/>
        <w:spacing w:after="0" w:line="240" w:lineRule="auto"/>
        <w:jc w:val="center"/>
        <w:rPr>
          <w:b/>
          <w:bCs/>
          <w:color w:val="auto"/>
          <w:sz w:val="36"/>
          <w:szCs w:val="36"/>
          <w:highlight w:val="none"/>
        </w:rPr>
      </w:pPr>
      <w:r>
        <w:rPr>
          <w:rFonts w:ascii="宋体" w:hAnsi="宋体" w:eastAsia="宋体"/>
          <w:b/>
          <w:bCs/>
          <w:color w:val="auto"/>
          <w:sz w:val="36"/>
          <w:szCs w:val="36"/>
          <w:highlight w:val="none"/>
        </w:rPr>
        <w:br w:type="page"/>
      </w:r>
      <w:r>
        <w:rPr>
          <w:rFonts w:hint="eastAsia" w:ascii="宋体" w:hAnsi="宋体" w:eastAsia="宋体"/>
          <w:b/>
          <w:bCs/>
          <w:color w:val="auto"/>
          <w:sz w:val="28"/>
          <w:szCs w:val="28"/>
          <w:highlight w:val="none"/>
        </w:rPr>
        <w:t>格式13 投标人售后服务承诺</w:t>
      </w:r>
    </w:p>
    <w:p>
      <w:pPr>
        <w:spacing w:after="0" w:line="240" w:lineRule="auto"/>
        <w:ind w:firstLine="420" w:firstLineChars="200"/>
        <w:rPr>
          <w:color w:val="auto"/>
          <w:szCs w:val="21"/>
          <w:highlight w:val="none"/>
        </w:rPr>
      </w:pPr>
    </w:p>
    <w:p>
      <w:pPr>
        <w:spacing w:line="360" w:lineRule="auto"/>
        <w:ind w:firstLine="420" w:firstLineChars="200"/>
        <w:jc w:val="left"/>
        <w:rPr>
          <w:rFonts w:ascii="宋体" w:hAnsi="宋体"/>
          <w:color w:val="auto"/>
          <w:kern w:val="0"/>
          <w:sz w:val="21"/>
          <w:szCs w:val="21"/>
          <w:highlight w:val="none"/>
        </w:rPr>
      </w:pPr>
      <w:r>
        <w:rPr>
          <w:rFonts w:ascii="宋体" w:hAnsi="宋体"/>
          <w:color w:val="auto"/>
          <w:kern w:val="0"/>
          <w:sz w:val="21"/>
          <w:szCs w:val="21"/>
          <w:highlight w:val="none"/>
        </w:rPr>
        <w:t>(示例略)</w:t>
      </w:r>
    </w:p>
    <w:p>
      <w:pPr>
        <w:rPr>
          <w:color w:val="auto"/>
          <w:sz w:val="21"/>
          <w:szCs w:val="21"/>
          <w:highlight w:val="none"/>
        </w:rPr>
        <w:sectPr>
          <w:pgSz w:w="11906" w:h="16838"/>
          <w:pgMar w:top="1440" w:right="1752" w:bottom="1440" w:left="1752"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topLinePunct/>
        <w:autoSpaceDE w:val="0"/>
        <w:autoSpaceDN w:val="0"/>
        <w:jc w:val="center"/>
        <w:rPr>
          <w:rFonts w:hint="eastAsia" w:ascii="华文中宋" w:hAnsi="华文中宋" w:eastAsia="华文中宋" w:cs="华文中宋"/>
          <w:b w:val="0"/>
          <w:bCs/>
          <w:color w:val="auto"/>
          <w:sz w:val="32"/>
          <w:szCs w:val="32"/>
          <w:highlight w:val="none"/>
        </w:rPr>
      </w:pPr>
    </w:p>
    <w:p>
      <w:pPr>
        <w:topLinePunct/>
        <w:autoSpaceDE w:val="0"/>
        <w:autoSpaceDN w:val="0"/>
        <w:jc w:val="center"/>
        <w:rPr>
          <w:rFonts w:hint="eastAsia" w:ascii="华文中宋" w:hAnsi="华文中宋" w:eastAsia="华文中宋" w:cs="华文中宋"/>
          <w:b w:val="0"/>
          <w:bCs/>
          <w:color w:val="auto"/>
          <w:sz w:val="32"/>
          <w:szCs w:val="32"/>
          <w:highlight w:val="none"/>
        </w:rPr>
      </w:pPr>
    </w:p>
    <w:p>
      <w:pPr>
        <w:topLinePunct/>
        <w:autoSpaceDE w:val="0"/>
        <w:autoSpaceDN w:val="0"/>
        <w:jc w:val="center"/>
        <w:rPr>
          <w:rFonts w:hint="eastAsia" w:ascii="华文中宋" w:hAnsi="华文中宋" w:eastAsia="华文中宋" w:cs="华文中宋"/>
          <w:b w:val="0"/>
          <w:bCs/>
          <w:color w:val="auto"/>
          <w:sz w:val="32"/>
          <w:szCs w:val="32"/>
          <w:highlight w:val="none"/>
        </w:rPr>
      </w:pPr>
    </w:p>
    <w:p>
      <w:pPr>
        <w:topLinePunct/>
        <w:autoSpaceDE w:val="0"/>
        <w:autoSpaceDN w:val="0"/>
        <w:jc w:val="center"/>
        <w:rPr>
          <w:rFonts w:hint="eastAsia" w:ascii="华文中宋" w:hAnsi="华文中宋" w:eastAsia="华文中宋" w:cs="华文中宋"/>
          <w:b w:val="0"/>
          <w:bCs/>
          <w:color w:val="auto"/>
          <w:sz w:val="44"/>
          <w:szCs w:val="44"/>
          <w:highlight w:val="none"/>
        </w:rPr>
      </w:pPr>
      <w:r>
        <w:rPr>
          <w:rFonts w:hint="eastAsia" w:ascii="华文中宋" w:hAnsi="华文中宋" w:eastAsia="华文中宋" w:cs="华文中宋"/>
          <w:b w:val="0"/>
          <w:bCs/>
          <w:color w:val="auto"/>
          <w:sz w:val="44"/>
          <w:szCs w:val="44"/>
          <w:highlight w:val="none"/>
        </w:rPr>
        <w:t>招 标 文 件</w:t>
      </w:r>
    </w:p>
    <w:p>
      <w:pPr>
        <w:topLinePunct/>
        <w:autoSpaceDE w:val="0"/>
        <w:autoSpaceDN w:val="0"/>
        <w:spacing w:line="60" w:lineRule="exact"/>
        <w:jc w:val="center"/>
        <w:rPr>
          <w:rFonts w:hint="eastAsia" w:ascii="华文中宋" w:hAnsi="华文中宋" w:eastAsia="华文中宋" w:cs="华文中宋"/>
          <w:b w:val="0"/>
          <w:bCs/>
          <w:color w:val="auto"/>
          <w:sz w:val="32"/>
          <w:szCs w:val="32"/>
          <w:highlight w:val="none"/>
        </w:rPr>
      </w:pPr>
    </w:p>
    <w:p>
      <w:pPr>
        <w:topLinePunct/>
        <w:autoSpaceDE w:val="0"/>
        <w:autoSpaceDN w:val="0"/>
        <w:snapToGrid w:val="0"/>
        <w:jc w:val="center"/>
        <w:rPr>
          <w:rFonts w:hint="eastAsia" w:ascii="华文中宋" w:hAnsi="华文中宋" w:eastAsia="华文中宋" w:cs="华文中宋"/>
          <w:b w:val="0"/>
          <w:bCs/>
          <w:color w:val="auto"/>
          <w:sz w:val="32"/>
          <w:szCs w:val="32"/>
          <w:highlight w:val="none"/>
        </w:rPr>
      </w:pPr>
      <w:r>
        <w:rPr>
          <w:rFonts w:hint="eastAsia" w:ascii="华文中宋" w:hAnsi="华文中宋" w:eastAsia="华文中宋" w:cs="华文中宋"/>
          <w:b w:val="0"/>
          <w:bCs/>
          <w:color w:val="auto"/>
          <w:sz w:val="32"/>
          <w:szCs w:val="32"/>
          <w:highlight w:val="none"/>
        </w:rPr>
        <w:t>（技术部分）</w:t>
      </w:r>
    </w:p>
    <w:p>
      <w:pPr>
        <w:topLinePunct/>
        <w:autoSpaceDE w:val="0"/>
        <w:autoSpaceDN w:val="0"/>
        <w:snapToGrid w:val="0"/>
        <w:rPr>
          <w:rFonts w:ascii="宋体" w:hAnsi="宋体"/>
          <w:color w:val="auto"/>
          <w:sz w:val="32"/>
          <w:szCs w:val="32"/>
          <w:highlight w:val="none"/>
        </w:rPr>
      </w:pPr>
    </w:p>
    <w:p>
      <w:pPr>
        <w:pStyle w:val="7"/>
        <w:rPr>
          <w:rFonts w:ascii="宋体" w:hAnsi="宋体"/>
          <w:color w:val="auto"/>
          <w:sz w:val="32"/>
          <w:szCs w:val="32"/>
          <w:highlight w:val="none"/>
        </w:rPr>
      </w:pPr>
    </w:p>
    <w:p>
      <w:pPr>
        <w:rPr>
          <w:rFonts w:ascii="宋体" w:hAnsi="宋体"/>
          <w:color w:val="auto"/>
          <w:sz w:val="32"/>
          <w:szCs w:val="32"/>
          <w:highlight w:val="none"/>
        </w:rPr>
      </w:pPr>
    </w:p>
    <w:p>
      <w:pPr>
        <w:pStyle w:val="7"/>
        <w:rPr>
          <w:color w:val="auto"/>
          <w:highlight w:val="none"/>
        </w:rPr>
      </w:pPr>
    </w:p>
    <w:p>
      <w:pPr>
        <w:pStyle w:val="7"/>
        <w:rPr>
          <w:color w:val="auto"/>
          <w:highlight w:val="none"/>
        </w:rPr>
      </w:pPr>
    </w:p>
    <w:p>
      <w:pPr>
        <w:ind w:left="0" w:leftChars="0" w:firstLine="218" w:firstLineChars="91"/>
        <w:jc w:val="both"/>
        <w:rPr>
          <w:rFonts w:hint="eastAsia" w:ascii="方正小标宋简体" w:hAnsi="方正小标宋简体" w:eastAsia="方正小标宋简体" w:cs="方正小标宋简体"/>
          <w:color w:val="auto"/>
          <w:sz w:val="24"/>
          <w:szCs w:val="24"/>
          <w:highlight w:val="none"/>
        </w:rPr>
      </w:pPr>
      <w:r>
        <w:rPr>
          <w:rFonts w:hint="eastAsia" w:ascii="方正小标宋简体" w:hAnsi="方正小标宋简体" w:eastAsia="方正小标宋简体" w:cs="方正小标宋简体"/>
          <w:color w:val="auto"/>
          <w:sz w:val="24"/>
          <w:szCs w:val="24"/>
          <w:highlight w:val="none"/>
        </w:rPr>
        <w:t>项目名称：国家税务总局茂名市电白区税务局2024至2025年饭堂后勤服务</w:t>
      </w:r>
    </w:p>
    <w:p>
      <w:pPr>
        <w:ind w:left="0" w:leftChars="0" w:firstLine="218" w:firstLineChars="91"/>
        <w:jc w:val="both"/>
        <w:rPr>
          <w:rFonts w:hint="eastAsia" w:ascii="方正小标宋简体" w:hAnsi="方正小标宋简体" w:eastAsia="方正小标宋简体" w:cs="方正小标宋简体"/>
          <w:color w:val="auto"/>
          <w:sz w:val="24"/>
          <w:szCs w:val="24"/>
          <w:highlight w:val="none"/>
        </w:rPr>
      </w:pPr>
      <w:r>
        <w:rPr>
          <w:rFonts w:hint="eastAsia" w:ascii="方正小标宋简体" w:hAnsi="方正小标宋简体" w:eastAsia="方正小标宋简体" w:cs="方正小标宋简体"/>
          <w:color w:val="auto"/>
          <w:sz w:val="24"/>
          <w:szCs w:val="24"/>
          <w:highlight w:val="none"/>
        </w:rPr>
        <w:t>项目编号：0835-240ZA9301081</w:t>
      </w:r>
    </w:p>
    <w:p>
      <w:pPr>
        <w:ind w:left="0" w:leftChars="0" w:firstLine="218" w:firstLineChars="91"/>
        <w:jc w:val="both"/>
        <w:rPr>
          <w:rFonts w:hint="eastAsia" w:ascii="方正小标宋简体" w:hAnsi="方正小标宋简体" w:eastAsia="方正小标宋简体" w:cs="方正小标宋简体"/>
          <w:color w:val="auto"/>
          <w:sz w:val="24"/>
          <w:szCs w:val="24"/>
          <w:highlight w:val="none"/>
        </w:rPr>
      </w:pPr>
      <w:r>
        <w:rPr>
          <w:rFonts w:hint="eastAsia" w:ascii="方正小标宋简体" w:hAnsi="方正小标宋简体" w:eastAsia="方正小标宋简体" w:cs="方正小标宋简体"/>
          <w:color w:val="auto"/>
          <w:sz w:val="24"/>
          <w:szCs w:val="24"/>
          <w:highlight w:val="none"/>
        </w:rPr>
        <w:t>采购人名称：国家税务总局茂名市电白区税务局</w:t>
      </w:r>
    </w:p>
    <w:p>
      <w:pPr>
        <w:ind w:left="0" w:leftChars="0" w:firstLine="218" w:firstLineChars="91"/>
        <w:jc w:val="both"/>
        <w:rPr>
          <w:rFonts w:hint="eastAsia" w:ascii="方正小标宋简体" w:hAnsi="方正小标宋简体" w:eastAsia="方正小标宋简体" w:cs="方正小标宋简体"/>
          <w:color w:val="auto"/>
          <w:sz w:val="24"/>
          <w:szCs w:val="24"/>
          <w:highlight w:val="none"/>
          <w:u w:val="none"/>
        </w:rPr>
      </w:pPr>
      <w:r>
        <w:rPr>
          <w:rFonts w:hint="eastAsia" w:ascii="方正小标宋简体" w:hAnsi="方正小标宋简体" w:eastAsia="方正小标宋简体" w:cs="方正小标宋简体"/>
          <w:color w:val="auto"/>
          <w:sz w:val="24"/>
          <w:szCs w:val="24"/>
          <w:highlight w:val="none"/>
        </w:rPr>
        <w:t>采购代理机构：广东元正招标采购有限公司</w:t>
      </w:r>
    </w:p>
    <w:p>
      <w:pPr>
        <w:topLinePunct/>
        <w:autoSpaceDE w:val="0"/>
        <w:autoSpaceDN w:val="0"/>
        <w:spacing w:line="460" w:lineRule="exact"/>
        <w:rPr>
          <w:rFonts w:hint="eastAsia" w:ascii="方正小标宋简体" w:hAnsi="方正小标宋简体" w:eastAsia="方正小标宋简体" w:cs="方正小标宋简体"/>
          <w:b/>
          <w:bCs/>
          <w:color w:val="auto"/>
          <w:sz w:val="24"/>
          <w:szCs w:val="24"/>
          <w:highlight w:val="none"/>
        </w:rPr>
      </w:pPr>
    </w:p>
    <w:p>
      <w:pPr>
        <w:topLinePunct/>
        <w:autoSpaceDE w:val="0"/>
        <w:autoSpaceDN w:val="0"/>
        <w:spacing w:line="460" w:lineRule="exact"/>
        <w:rPr>
          <w:rFonts w:hint="eastAsia" w:ascii="方正小标宋简体" w:hAnsi="方正小标宋简体" w:eastAsia="方正小标宋简体" w:cs="方正小标宋简体"/>
          <w:b/>
          <w:bCs/>
          <w:color w:val="auto"/>
          <w:sz w:val="24"/>
          <w:szCs w:val="24"/>
          <w:highlight w:val="none"/>
        </w:rPr>
      </w:pPr>
    </w:p>
    <w:p>
      <w:pPr>
        <w:topLinePunct/>
        <w:autoSpaceDE w:val="0"/>
        <w:autoSpaceDN w:val="0"/>
        <w:spacing w:line="460" w:lineRule="exact"/>
        <w:rPr>
          <w:rFonts w:hint="eastAsia" w:ascii="方正小标宋简体" w:hAnsi="方正小标宋简体" w:eastAsia="方正小标宋简体" w:cs="方正小标宋简体"/>
          <w:b/>
          <w:color w:val="auto"/>
          <w:sz w:val="24"/>
          <w:szCs w:val="24"/>
          <w:highlight w:val="none"/>
        </w:rPr>
      </w:pPr>
    </w:p>
    <w:p>
      <w:pPr>
        <w:topLinePunct/>
        <w:autoSpaceDE w:val="0"/>
        <w:autoSpaceDN w:val="0"/>
        <w:spacing w:line="460" w:lineRule="exact"/>
        <w:jc w:val="center"/>
        <w:rPr>
          <w:rFonts w:hint="eastAsia" w:ascii="方正小标宋简体" w:hAnsi="方正小标宋简体" w:eastAsia="方正小标宋简体" w:cs="方正小标宋简体"/>
          <w:color w:val="auto"/>
          <w:sz w:val="24"/>
          <w:szCs w:val="24"/>
          <w:highlight w:val="none"/>
          <w:lang w:eastAsia="zh-CN"/>
        </w:rPr>
      </w:pPr>
      <w:r>
        <w:rPr>
          <w:rFonts w:hint="eastAsia" w:ascii="方正小标宋简体" w:hAnsi="方正小标宋简体" w:eastAsia="方正小标宋简体" w:cs="方正小标宋简体"/>
          <w:color w:val="auto"/>
          <w:sz w:val="24"/>
          <w:szCs w:val="24"/>
          <w:highlight w:val="none"/>
          <w:lang w:eastAsia="zh-CN"/>
        </w:rPr>
        <w:t>国家税务总局茂名市电白区税务局</w:t>
      </w:r>
    </w:p>
    <w:p>
      <w:pPr>
        <w:topLinePunct/>
        <w:autoSpaceDE w:val="0"/>
        <w:autoSpaceDN w:val="0"/>
        <w:spacing w:line="160" w:lineRule="exact"/>
        <w:jc w:val="center"/>
        <w:rPr>
          <w:rFonts w:hint="eastAsia" w:ascii="方正小标宋简体" w:hAnsi="方正小标宋简体" w:eastAsia="方正小标宋简体" w:cs="方正小标宋简体"/>
          <w:color w:val="auto"/>
          <w:sz w:val="24"/>
          <w:szCs w:val="24"/>
          <w:highlight w:val="none"/>
        </w:rPr>
      </w:pPr>
    </w:p>
    <w:p>
      <w:pPr>
        <w:widowControl/>
        <w:spacing w:after="0" w:line="240" w:lineRule="auto"/>
        <w:jc w:val="center"/>
        <w:rPr>
          <w:rFonts w:hint="eastAsia" w:ascii="华文中宋" w:hAnsi="华文中宋" w:eastAsia="华文中宋" w:cs="华文中宋"/>
          <w:color w:val="auto"/>
          <w:sz w:val="28"/>
          <w:szCs w:val="28"/>
          <w:highlight w:val="none"/>
        </w:rPr>
      </w:pPr>
      <w:r>
        <w:rPr>
          <w:rFonts w:hint="eastAsia" w:ascii="方正小标宋简体" w:hAnsi="方正小标宋简体" w:eastAsia="方正小标宋简体" w:cs="方正小标宋简体"/>
          <w:color w:val="auto"/>
          <w:sz w:val="24"/>
          <w:szCs w:val="24"/>
          <w:highlight w:val="none"/>
        </w:rPr>
        <w:t>2024年07月05日</w:t>
      </w:r>
      <w:r>
        <w:rPr>
          <w:rFonts w:hint="eastAsia" w:ascii="方正小标宋简体" w:hAnsi="方正小标宋简体" w:eastAsia="方正小标宋简体" w:cs="方正小标宋简体"/>
          <w:color w:val="auto"/>
          <w:sz w:val="24"/>
          <w:szCs w:val="24"/>
          <w:highlight w:val="none"/>
        </w:rPr>
        <w:br w:type="page"/>
      </w:r>
      <w:bookmarkStart w:id="79" w:name="_Toc132880285"/>
      <w:r>
        <w:rPr>
          <w:rFonts w:hint="eastAsia" w:ascii="华文中宋" w:hAnsi="华文中宋" w:eastAsia="华文中宋" w:cs="华文中宋"/>
          <w:color w:val="auto"/>
          <w:sz w:val="28"/>
          <w:szCs w:val="28"/>
          <w:highlight w:val="none"/>
        </w:rPr>
        <w:t>第六章  项目采购需求</w:t>
      </w:r>
      <w:bookmarkEnd w:id="79"/>
    </w:p>
    <w:p>
      <w:pPr>
        <w:spacing w:line="360" w:lineRule="auto"/>
        <w:ind w:firstLine="482" w:firstLineChars="200"/>
        <w:textAlignment w:val="center"/>
        <w:rPr>
          <w:rFonts w:hint="eastAsia"/>
          <w:b/>
          <w:bCs/>
          <w:color w:val="auto"/>
          <w:sz w:val="24"/>
          <w:szCs w:val="24"/>
          <w:highlight w:val="none"/>
        </w:rPr>
      </w:pPr>
      <w:r>
        <w:rPr>
          <w:rFonts w:hint="eastAsia"/>
          <w:b/>
          <w:bCs/>
          <w:color w:val="auto"/>
          <w:sz w:val="24"/>
          <w:szCs w:val="24"/>
          <w:highlight w:val="none"/>
        </w:rPr>
        <w:t>一、项目说明：</w:t>
      </w:r>
    </w:p>
    <w:p>
      <w:pPr>
        <w:spacing w:before="72" w:line="360" w:lineRule="auto"/>
        <w:ind w:left="38" w:right="81" w:firstLine="468"/>
        <w:rPr>
          <w:rFonts w:hint="eastAsia" w:ascii="宋体" w:hAnsi="宋体" w:cs="宋体"/>
          <w:color w:val="auto"/>
          <w:kern w:val="2"/>
          <w:sz w:val="24"/>
          <w:highlight w:val="none"/>
        </w:rPr>
      </w:pPr>
      <w:bookmarkStart w:id="80" w:name="1、本项目不分包，投标人应对本项目内所有的招标内容进行投标，不允许只对其中部分 "/>
      <w:bookmarkEnd w:id="80"/>
      <w:r>
        <w:rPr>
          <w:rFonts w:hint="eastAsia" w:ascii="宋体" w:hAnsi="宋体" w:cs="宋体"/>
          <w:color w:val="auto"/>
          <w:spacing w:val="10"/>
          <w:sz w:val="24"/>
          <w:szCs w:val="24"/>
          <w:highlight w:val="none"/>
        </w:rPr>
        <w:t>1、项目类别：非通用类（服务）</w:t>
      </w:r>
      <w:r>
        <w:rPr>
          <w:rFonts w:hint="eastAsia" w:ascii="宋体" w:hAnsi="宋体" w:cs="宋体"/>
          <w:color w:val="auto"/>
          <w:kern w:val="2"/>
          <w:sz w:val="24"/>
          <w:highlight w:val="none"/>
        </w:rPr>
        <w:t>。</w:t>
      </w:r>
    </w:p>
    <w:p>
      <w:pPr>
        <w:spacing w:line="500" w:lineRule="exact"/>
        <w:ind w:firstLine="480" w:firstLineChars="200"/>
        <w:rPr>
          <w:rFonts w:hint="eastAsia" w:ascii="宋体" w:hAnsi="宋体" w:cs="宋体"/>
          <w:color w:val="auto"/>
          <w:kern w:val="2"/>
          <w:sz w:val="24"/>
          <w:highlight w:val="none"/>
          <w:shd w:val="clear" w:color="auto" w:fill="FFFF00"/>
        </w:rPr>
      </w:pPr>
      <w:r>
        <w:rPr>
          <w:rFonts w:hint="eastAsia" w:ascii="宋体" w:hAnsi="宋体" w:cs="宋体"/>
          <w:color w:val="auto"/>
          <w:kern w:val="2"/>
          <w:sz w:val="24"/>
          <w:highlight w:val="none"/>
        </w:rPr>
        <w:t>2、带“★”号条款为不可偏离参数，投标文件未完全满足招标文件中带“★”号的条款和指标，或非实质性响应有重大偏离的，将导致投标无效。</w:t>
      </w:r>
    </w:p>
    <w:p>
      <w:pPr>
        <w:spacing w:before="36" w:line="440" w:lineRule="exact"/>
        <w:ind w:firstLine="480" w:firstLineChars="200"/>
        <w:rPr>
          <w:rFonts w:hint="eastAsia" w:ascii="宋体" w:hAnsi="宋体" w:cs="宋体"/>
          <w:b/>
          <w:bCs/>
          <w:color w:val="auto"/>
          <w:sz w:val="24"/>
          <w:szCs w:val="22"/>
          <w:highlight w:val="none"/>
        </w:rPr>
      </w:pPr>
      <w:r>
        <w:rPr>
          <w:rFonts w:hint="eastAsia" w:ascii="宋体" w:hAnsi="宋体" w:cs="宋体"/>
          <w:color w:val="auto"/>
          <w:kern w:val="2"/>
          <w:sz w:val="24"/>
          <w:highlight w:val="none"/>
        </w:rPr>
        <w:t>3、</w:t>
      </w:r>
      <w:r>
        <w:rPr>
          <w:rFonts w:hint="eastAsia" w:ascii="宋体" w:hAnsi="宋体" w:cs="宋体"/>
          <w:b/>
          <w:bCs/>
          <w:color w:val="auto"/>
          <w:sz w:val="24"/>
          <w:szCs w:val="22"/>
          <w:highlight w:val="none"/>
        </w:rPr>
        <w:t>采购需求</w:t>
      </w:r>
    </w:p>
    <w:tbl>
      <w:tblPr>
        <w:tblStyle w:val="13"/>
        <w:tblW w:w="50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2505"/>
        <w:gridCol w:w="653"/>
        <w:gridCol w:w="1423"/>
        <w:gridCol w:w="1656"/>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362" w:type="pct"/>
            <w:noWrap w:val="0"/>
            <w:vAlign w:val="center"/>
          </w:tcPr>
          <w:p>
            <w:pPr>
              <w:spacing w:line="440" w:lineRule="exac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序号</w:t>
            </w:r>
          </w:p>
        </w:tc>
        <w:tc>
          <w:tcPr>
            <w:tcW w:w="1453" w:type="pct"/>
            <w:noWrap w:val="0"/>
            <w:vAlign w:val="center"/>
          </w:tcPr>
          <w:p>
            <w:pPr>
              <w:spacing w:line="440" w:lineRule="exact"/>
              <w:ind w:firstLine="480" w:firstLineChars="200"/>
              <w:jc w:val="center"/>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采购内容</w:t>
            </w:r>
          </w:p>
        </w:tc>
        <w:tc>
          <w:tcPr>
            <w:tcW w:w="380" w:type="pct"/>
            <w:noWrap w:val="0"/>
            <w:vAlign w:val="center"/>
          </w:tcPr>
          <w:p>
            <w:pPr>
              <w:spacing w:line="440" w:lineRule="exac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数量</w:t>
            </w:r>
          </w:p>
        </w:tc>
        <w:tc>
          <w:tcPr>
            <w:tcW w:w="826" w:type="pct"/>
            <w:noWrap w:val="0"/>
            <w:vAlign w:val="center"/>
          </w:tcPr>
          <w:p>
            <w:pPr>
              <w:spacing w:line="440" w:lineRule="exac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服务年限</w:t>
            </w:r>
          </w:p>
        </w:tc>
        <w:tc>
          <w:tcPr>
            <w:tcW w:w="951" w:type="pct"/>
            <w:noWrap w:val="0"/>
            <w:vAlign w:val="center"/>
          </w:tcPr>
          <w:p>
            <w:pPr>
              <w:spacing w:line="440" w:lineRule="exac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年预算金额</w:t>
            </w:r>
          </w:p>
          <w:p>
            <w:pPr>
              <w:spacing w:line="44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（元/年）</w:t>
            </w:r>
          </w:p>
        </w:tc>
        <w:tc>
          <w:tcPr>
            <w:tcW w:w="1024" w:type="pct"/>
            <w:noWrap w:val="0"/>
            <w:vAlign w:val="center"/>
          </w:tcPr>
          <w:p>
            <w:pPr>
              <w:spacing w:line="440" w:lineRule="exact"/>
              <w:ind w:firstLine="240" w:firstLineChars="1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总预算金额</w:t>
            </w:r>
          </w:p>
          <w:p>
            <w:pPr>
              <w:spacing w:line="44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exact"/>
          <w:jc w:val="center"/>
        </w:trPr>
        <w:tc>
          <w:tcPr>
            <w:tcW w:w="362" w:type="pct"/>
            <w:noWrap w:val="0"/>
            <w:vAlign w:val="center"/>
          </w:tcPr>
          <w:p>
            <w:pPr>
              <w:spacing w:line="360" w:lineRule="auto"/>
              <w:ind w:firstLine="480" w:firstLineChars="200"/>
              <w:jc w:val="center"/>
              <w:rPr>
                <w:rFonts w:hint="eastAsia" w:ascii="宋体" w:hAnsi="宋体" w:cs="宋体"/>
                <w:color w:val="auto"/>
                <w:kern w:val="2"/>
                <w:sz w:val="24"/>
                <w:szCs w:val="24"/>
                <w:highlight w:val="none"/>
              </w:rPr>
            </w:pPr>
          </w:p>
          <w:p>
            <w:pPr>
              <w:spacing w:line="360" w:lineRule="auto"/>
              <w:ind w:firstLine="240" w:firstLineChars="1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1</w:t>
            </w:r>
          </w:p>
        </w:tc>
        <w:tc>
          <w:tcPr>
            <w:tcW w:w="1453" w:type="pct"/>
            <w:noWrap w:val="0"/>
            <w:vAlign w:val="center"/>
          </w:tcPr>
          <w:p>
            <w:pPr>
              <w:spacing w:line="360" w:lineRule="auto"/>
              <w:rPr>
                <w:rFonts w:hint="eastAsia" w:ascii="宋体" w:hAnsi="宋体" w:cs="宋体"/>
                <w:color w:val="auto"/>
                <w:kern w:val="2"/>
                <w:sz w:val="24"/>
                <w:highlight w:val="none"/>
              </w:rPr>
            </w:pPr>
            <w:r>
              <w:rPr>
                <w:rFonts w:hint="eastAsia" w:ascii="宋体" w:hAnsi="宋体" w:cs="宋体"/>
                <w:color w:val="auto"/>
                <w:kern w:val="2"/>
                <w:sz w:val="24"/>
                <w:highlight w:val="none"/>
              </w:rPr>
              <w:t>国家税务总局茂名市电白区税务局2024至2025年饭堂后勤服务</w:t>
            </w:r>
          </w:p>
          <w:p>
            <w:pPr>
              <w:spacing w:line="360" w:lineRule="auto"/>
              <w:rPr>
                <w:rFonts w:hint="eastAsia" w:ascii="宋体" w:hAnsi="宋体" w:cs="宋体"/>
                <w:color w:val="auto"/>
                <w:kern w:val="2"/>
                <w:sz w:val="24"/>
                <w:szCs w:val="24"/>
                <w:highlight w:val="none"/>
              </w:rPr>
            </w:pPr>
          </w:p>
        </w:tc>
        <w:tc>
          <w:tcPr>
            <w:tcW w:w="380" w:type="pct"/>
            <w:noWrap w:val="0"/>
            <w:vAlign w:val="center"/>
          </w:tcPr>
          <w:p>
            <w:pPr>
              <w:spacing w:line="360" w:lineRule="auto"/>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1项</w:t>
            </w:r>
          </w:p>
          <w:p>
            <w:pPr>
              <w:spacing w:line="360" w:lineRule="auto"/>
              <w:ind w:firstLine="480" w:firstLineChars="200"/>
              <w:jc w:val="center"/>
              <w:rPr>
                <w:rFonts w:hint="eastAsia" w:ascii="宋体" w:hAnsi="宋体" w:cs="宋体"/>
                <w:color w:val="auto"/>
                <w:kern w:val="2"/>
                <w:sz w:val="24"/>
                <w:szCs w:val="24"/>
                <w:highlight w:val="none"/>
              </w:rPr>
            </w:pPr>
          </w:p>
        </w:tc>
        <w:tc>
          <w:tcPr>
            <w:tcW w:w="826" w:type="pct"/>
            <w:noWrap w:val="0"/>
            <w:vAlign w:val="center"/>
          </w:tcPr>
          <w:p>
            <w:pPr>
              <w:spacing w:line="360" w:lineRule="auto"/>
              <w:rPr>
                <w:rFonts w:hint="eastAsia" w:ascii="宋体" w:hAnsi="宋体" w:cs="宋体"/>
                <w:color w:val="auto"/>
                <w:kern w:val="2"/>
                <w:sz w:val="24"/>
                <w:szCs w:val="24"/>
                <w:highlight w:val="none"/>
              </w:rPr>
            </w:pPr>
            <w:r>
              <w:rPr>
                <w:rFonts w:hint="eastAsia" w:ascii="宋体" w:hAnsi="宋体"/>
                <w:color w:val="auto"/>
                <w:kern w:val="2"/>
                <w:sz w:val="24"/>
                <w:szCs w:val="22"/>
                <w:highlight w:val="none"/>
              </w:rPr>
              <w:t>2年，1+1服务模式</w:t>
            </w:r>
          </w:p>
        </w:tc>
        <w:tc>
          <w:tcPr>
            <w:tcW w:w="951" w:type="pct"/>
            <w:noWrap w:val="0"/>
            <w:vAlign w:val="center"/>
          </w:tcPr>
          <w:p>
            <w:pPr>
              <w:spacing w:line="360" w:lineRule="auto"/>
              <w:rPr>
                <w:rFonts w:ascii="宋体" w:hAnsi="宋体" w:cs="宋体"/>
                <w:color w:val="auto"/>
                <w:kern w:val="2"/>
                <w:sz w:val="24"/>
                <w:szCs w:val="24"/>
                <w:highlight w:val="none"/>
              </w:rPr>
            </w:pPr>
            <w:r>
              <w:rPr>
                <w:rFonts w:hint="eastAsia" w:ascii="宋体" w:hAnsi="宋体"/>
                <w:color w:val="auto"/>
                <w:kern w:val="2"/>
                <w:sz w:val="24"/>
                <w:szCs w:val="22"/>
                <w:highlight w:val="none"/>
              </w:rPr>
              <w:t>1,191,348.00</w:t>
            </w:r>
          </w:p>
        </w:tc>
        <w:tc>
          <w:tcPr>
            <w:tcW w:w="1024" w:type="pct"/>
            <w:noWrap w:val="0"/>
            <w:vAlign w:val="center"/>
          </w:tcPr>
          <w:p>
            <w:pPr>
              <w:spacing w:line="360" w:lineRule="auto"/>
              <w:rPr>
                <w:rFonts w:ascii="宋体" w:hAnsi="宋体" w:cs="宋体"/>
                <w:color w:val="auto"/>
                <w:kern w:val="2"/>
                <w:sz w:val="24"/>
                <w:szCs w:val="24"/>
                <w:highlight w:val="none"/>
              </w:rPr>
            </w:pPr>
            <w:r>
              <w:rPr>
                <w:rFonts w:hint="eastAsia" w:ascii="宋体" w:hAnsi="宋体"/>
                <w:color w:val="auto"/>
                <w:kern w:val="2"/>
                <w:sz w:val="24"/>
                <w:szCs w:val="22"/>
                <w:highlight w:val="none"/>
              </w:rPr>
              <w:t>2,382,696.00</w:t>
            </w:r>
          </w:p>
        </w:tc>
      </w:tr>
    </w:tbl>
    <w:p>
      <w:pPr>
        <w:spacing w:line="360" w:lineRule="auto"/>
        <w:rPr>
          <w:rFonts w:hint="eastAsia" w:ascii="新宋体" w:hAnsi="新宋体" w:eastAsia="新宋体" w:cs="新宋体"/>
          <w:color w:val="auto"/>
          <w:kern w:val="1"/>
          <w:sz w:val="24"/>
          <w:szCs w:val="24"/>
          <w:highlight w:val="none"/>
        </w:rPr>
      </w:pPr>
      <w:r>
        <w:rPr>
          <w:rFonts w:ascii="新宋体" w:hAnsi="新宋体" w:eastAsia="新宋体" w:cs="新宋体"/>
          <w:color w:val="auto"/>
          <w:kern w:val="1"/>
          <w:sz w:val="24"/>
          <w:szCs w:val="24"/>
          <w:highlight w:val="none"/>
        </w:rPr>
        <w:t>注：1.详细</w:t>
      </w:r>
      <w:r>
        <w:rPr>
          <w:rFonts w:hint="eastAsia" w:ascii="新宋体" w:hAnsi="新宋体" w:eastAsia="新宋体" w:cs="新宋体"/>
          <w:color w:val="auto"/>
          <w:kern w:val="1"/>
          <w:sz w:val="24"/>
          <w:szCs w:val="24"/>
          <w:highlight w:val="none"/>
        </w:rPr>
        <w:t>服务</w:t>
      </w:r>
      <w:r>
        <w:rPr>
          <w:rFonts w:ascii="新宋体" w:hAnsi="新宋体" w:eastAsia="新宋体" w:cs="新宋体"/>
          <w:color w:val="auto"/>
          <w:kern w:val="1"/>
          <w:sz w:val="24"/>
          <w:szCs w:val="24"/>
          <w:highlight w:val="none"/>
        </w:rPr>
        <w:t>要求请查阅</w:t>
      </w:r>
      <w:r>
        <w:rPr>
          <w:rFonts w:hint="eastAsia" w:ascii="新宋体" w:hAnsi="新宋体" w:eastAsia="新宋体" w:cs="新宋体"/>
          <w:color w:val="auto"/>
          <w:kern w:val="1"/>
          <w:sz w:val="24"/>
          <w:szCs w:val="24"/>
          <w:highlight w:val="none"/>
        </w:rPr>
        <w:t>文件</w:t>
      </w:r>
      <w:r>
        <w:rPr>
          <w:rFonts w:ascii="新宋体" w:hAnsi="新宋体" w:eastAsia="新宋体" w:cs="新宋体"/>
          <w:color w:val="auto"/>
          <w:kern w:val="1"/>
          <w:sz w:val="24"/>
          <w:szCs w:val="24"/>
          <w:highlight w:val="none"/>
        </w:rPr>
        <w:t>第二部分“</w:t>
      </w:r>
      <w:r>
        <w:rPr>
          <w:rFonts w:hint="eastAsia" w:ascii="新宋体" w:hAnsi="新宋体" w:eastAsia="新宋体" w:cs="新宋体"/>
          <w:color w:val="auto"/>
          <w:kern w:val="1"/>
          <w:sz w:val="24"/>
          <w:szCs w:val="24"/>
          <w:highlight w:val="none"/>
        </w:rPr>
        <w:t>采购需求书</w:t>
      </w:r>
      <w:r>
        <w:rPr>
          <w:rFonts w:ascii="新宋体" w:hAnsi="新宋体" w:eastAsia="新宋体" w:cs="新宋体"/>
          <w:color w:val="auto"/>
          <w:kern w:val="1"/>
          <w:sz w:val="24"/>
          <w:szCs w:val="24"/>
          <w:highlight w:val="none"/>
        </w:rPr>
        <w:t>”；</w:t>
      </w:r>
    </w:p>
    <w:p>
      <w:pPr>
        <w:numPr>
          <w:ilvl w:val="0"/>
          <w:numId w:val="2"/>
        </w:numPr>
        <w:tabs>
          <w:tab w:val="left" w:pos="111"/>
          <w:tab w:val="clear" w:pos="312"/>
        </w:tabs>
        <w:spacing w:line="360" w:lineRule="auto"/>
        <w:ind w:firstLine="480" w:firstLineChars="200"/>
        <w:jc w:val="left"/>
        <w:outlineLvl w:val="0"/>
        <w:rPr>
          <w:rFonts w:ascii="新宋体" w:hAnsi="新宋体" w:eastAsia="新宋体" w:cs="新宋体"/>
          <w:color w:val="auto"/>
          <w:kern w:val="1"/>
          <w:sz w:val="24"/>
          <w:szCs w:val="24"/>
          <w:highlight w:val="none"/>
        </w:rPr>
      </w:pPr>
      <w:r>
        <w:rPr>
          <w:rFonts w:ascii="新宋体" w:hAnsi="新宋体" w:eastAsia="新宋体" w:cs="新宋体"/>
          <w:color w:val="auto"/>
          <w:kern w:val="1"/>
          <w:sz w:val="24"/>
          <w:szCs w:val="24"/>
          <w:highlight w:val="none"/>
        </w:rPr>
        <w:t>本项目不分包，供应商应对本项目内所有的招标内容进行投标，不允许只对其中部分内容进行投标。</w:t>
      </w:r>
    </w:p>
    <w:p>
      <w:pPr>
        <w:spacing w:line="360" w:lineRule="auto"/>
        <w:ind w:firstLine="482" w:firstLineChars="200"/>
        <w:textAlignment w:val="center"/>
        <w:rPr>
          <w:rFonts w:hint="eastAsia"/>
          <w:color w:val="auto"/>
          <w:sz w:val="24"/>
          <w:szCs w:val="24"/>
          <w:highlight w:val="none"/>
        </w:rPr>
      </w:pPr>
      <w:r>
        <w:rPr>
          <w:rFonts w:hint="eastAsia"/>
          <w:b/>
          <w:bCs/>
          <w:color w:val="auto"/>
          <w:sz w:val="24"/>
          <w:szCs w:val="24"/>
          <w:highlight w:val="none"/>
        </w:rPr>
        <w:t>二、项目概述及服务管理事项</w:t>
      </w:r>
    </w:p>
    <w:p>
      <w:pPr>
        <w:spacing w:line="500" w:lineRule="atLeast"/>
        <w:ind w:firstLine="482" w:firstLineChars="200"/>
        <w:rPr>
          <w:rFonts w:ascii="宋体" w:hAnsi="宋体" w:cs="宋体"/>
          <w:b/>
          <w:color w:val="auto"/>
          <w:kern w:val="2"/>
          <w:sz w:val="24"/>
          <w:szCs w:val="24"/>
          <w:highlight w:val="none"/>
        </w:rPr>
      </w:pPr>
      <w:bookmarkStart w:id="81" w:name="_Toc18076"/>
      <w:bookmarkStart w:id="82" w:name="_Toc18782"/>
      <w:bookmarkStart w:id="83" w:name="_Toc13219"/>
      <w:bookmarkStart w:id="84" w:name="_Toc6470"/>
      <w:bookmarkStart w:id="85" w:name="_Toc31089"/>
      <w:bookmarkStart w:id="86" w:name="_Toc24431"/>
      <w:bookmarkStart w:id="87" w:name="_Toc15688"/>
      <w:bookmarkStart w:id="88" w:name="_Toc25313"/>
      <w:bookmarkStart w:id="89" w:name="_Toc12687"/>
      <w:bookmarkStart w:id="90" w:name="_Toc395800912"/>
      <w:bookmarkStart w:id="91" w:name="_Toc15811"/>
      <w:bookmarkStart w:id="92" w:name="_Toc10057"/>
      <w:r>
        <w:rPr>
          <w:rFonts w:hint="eastAsia" w:ascii="宋体" w:hAnsi="宋体" w:cs="宋体"/>
          <w:b/>
          <w:color w:val="auto"/>
          <w:kern w:val="2"/>
          <w:sz w:val="24"/>
          <w:szCs w:val="24"/>
          <w:highlight w:val="none"/>
        </w:rPr>
        <w:t>1</w:t>
      </w:r>
      <w:r>
        <w:rPr>
          <w:rFonts w:hint="eastAsia" w:ascii="宋体" w:hAnsi="宋体" w:cs="宋体"/>
          <w:b/>
          <w:bCs/>
          <w:color w:val="auto"/>
          <w:kern w:val="2"/>
          <w:sz w:val="24"/>
          <w:szCs w:val="24"/>
          <w:highlight w:val="none"/>
        </w:rPr>
        <w:t>、</w:t>
      </w:r>
      <w:bookmarkEnd w:id="81"/>
      <w:r>
        <w:rPr>
          <w:rFonts w:hint="eastAsia" w:ascii="宋体" w:hAnsi="宋体" w:cs="宋体"/>
          <w:b/>
          <w:color w:val="auto"/>
          <w:kern w:val="2"/>
          <w:sz w:val="24"/>
          <w:szCs w:val="24"/>
          <w:highlight w:val="none"/>
        </w:rPr>
        <w:t>项目概况</w:t>
      </w:r>
    </w:p>
    <w:p>
      <w:pPr>
        <w:spacing w:line="500" w:lineRule="exact"/>
        <w:ind w:firstLine="480" w:firstLineChars="200"/>
        <w:textAlignment w:val="center"/>
        <w:rPr>
          <w:rFonts w:ascii="宋体" w:hAnsi="宋体" w:cs="宋体"/>
          <w:color w:val="auto"/>
          <w:kern w:val="2"/>
          <w:sz w:val="24"/>
          <w:highlight w:val="none"/>
        </w:rPr>
      </w:pPr>
      <w:bookmarkStart w:id="93" w:name="_Toc2777"/>
      <w:bookmarkStart w:id="94" w:name="_Toc25593"/>
      <w:bookmarkStart w:id="95" w:name="_Toc8728"/>
      <w:bookmarkStart w:id="96" w:name="_Toc20495"/>
      <w:r>
        <w:rPr>
          <w:rFonts w:hint="eastAsia" w:ascii="宋体" w:hAnsi="宋体" w:cs="宋体"/>
          <w:color w:val="auto"/>
          <w:kern w:val="2"/>
          <w:sz w:val="24"/>
          <w:highlight w:val="none"/>
        </w:rPr>
        <w:t>（1）本项目为采购人饭堂提供早、中、晚餐服务，为全体工作人员提供卫生、营养、可口的丰富餐饮服务及舒适卫生的就餐环境。供应商需服务的饭堂共有两处：</w:t>
      </w:r>
      <w:r>
        <w:rPr>
          <w:rFonts w:hint="eastAsia" w:ascii="宋体" w:hAnsi="宋体" w:cs="宋体"/>
          <w:bCs/>
          <w:color w:val="auto"/>
          <w:kern w:val="2"/>
          <w:sz w:val="24"/>
          <w:szCs w:val="24"/>
          <w:highlight w:val="none"/>
        </w:rPr>
        <w:t>茂名市电白区水东街道海滨四路1号、茂名市电白区水东街道海滨二路118号，每天用餐人数合计约300人。</w:t>
      </w:r>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（2）本项目属于整体面向中小企业预留项目。</w:t>
      </w:r>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注：供应商须按项目类型选择对应格式的《中小企业声明函》，例如：服务类项目，供应商须选择服务类格式的《中小企业声明函》(服务类)，如果选择货物类格式的《中小企业声明函》，将不视为中小企业。）</w:t>
      </w:r>
    </w:p>
    <w:p>
      <w:pPr>
        <w:spacing w:line="500" w:lineRule="exact"/>
        <w:ind w:firstLine="482" w:firstLineChars="200"/>
        <w:rPr>
          <w:rFonts w:hint="eastAsia" w:ascii="宋体" w:hAnsi="宋体" w:cs="宋体"/>
          <w:b/>
          <w:color w:val="auto"/>
          <w:kern w:val="2"/>
          <w:sz w:val="24"/>
          <w:szCs w:val="24"/>
          <w:highlight w:val="none"/>
        </w:rPr>
      </w:pPr>
      <w:r>
        <w:rPr>
          <w:rFonts w:hint="eastAsia" w:ascii="宋体" w:hAnsi="宋体" w:cs="宋体"/>
          <w:b/>
          <w:color w:val="auto"/>
          <w:kern w:val="2"/>
          <w:sz w:val="24"/>
          <w:szCs w:val="24"/>
          <w:highlight w:val="none"/>
        </w:rPr>
        <w:t>2、采购项目费用内容</w:t>
      </w:r>
    </w:p>
    <w:p>
      <w:pPr>
        <w:spacing w:line="500" w:lineRule="exact"/>
        <w:ind w:firstLine="422" w:firstLineChars="200"/>
        <w:textAlignment w:val="center"/>
        <w:rPr>
          <w:rFonts w:hint="eastAsia" w:ascii="宋体" w:hAnsi="宋体" w:cs="宋体"/>
          <w:color w:val="auto"/>
          <w:kern w:val="2"/>
          <w:sz w:val="24"/>
          <w:highlight w:val="none"/>
        </w:rPr>
      </w:pPr>
      <w:r>
        <w:rPr>
          <w:rFonts w:hint="eastAsia" w:ascii="宋体" w:hAnsi="宋体" w:cs="宋体"/>
          <w:b/>
          <w:bCs/>
          <w:color w:val="auto"/>
          <w:szCs w:val="21"/>
          <w:highlight w:val="none"/>
        </w:rPr>
        <w:t>★</w:t>
      </w:r>
      <w:r>
        <w:rPr>
          <w:rFonts w:hint="eastAsia" w:ascii="宋体" w:hAnsi="宋体" w:cs="宋体"/>
          <w:color w:val="auto"/>
          <w:kern w:val="2"/>
          <w:sz w:val="24"/>
          <w:highlight w:val="none"/>
        </w:rPr>
        <w:t>（1）本项目的“服务费用”为包干价，包括但不限于以下内容：洗涤费用、厨余垃圾清理费、服务人员的工资、各类津补贴、奖金、社会保险、意外保险、工作服、培训费、离职经济补偿等人员成本费用及管理费、社保费政策性调增费用和税费等。采购人不再负担成交价以外的其他费用。</w:t>
      </w:r>
    </w:p>
    <w:p>
      <w:pPr>
        <w:adjustRightInd w:val="0"/>
        <w:snapToGrid w:val="0"/>
        <w:spacing w:line="360" w:lineRule="auto"/>
        <w:ind w:firstLine="422" w:firstLineChars="200"/>
        <w:rPr>
          <w:rFonts w:hint="eastAsia" w:ascii="宋体" w:hAnsi="宋体" w:cs="宋体"/>
          <w:color w:val="auto"/>
          <w:kern w:val="2"/>
          <w:sz w:val="24"/>
          <w:highlight w:val="none"/>
        </w:rPr>
      </w:pPr>
      <w:r>
        <w:rPr>
          <w:rFonts w:hint="eastAsia" w:ascii="宋体" w:hAnsi="宋体" w:cs="宋体"/>
          <w:b/>
          <w:bCs/>
          <w:color w:val="auto"/>
          <w:szCs w:val="21"/>
          <w:highlight w:val="none"/>
        </w:rPr>
        <w:t>★</w:t>
      </w:r>
      <w:r>
        <w:rPr>
          <w:rFonts w:hint="eastAsia" w:ascii="宋体" w:hAnsi="宋体" w:cs="宋体"/>
          <w:color w:val="auto"/>
          <w:kern w:val="2"/>
          <w:sz w:val="24"/>
          <w:highlight w:val="none"/>
        </w:rPr>
        <w:t>（2）供应商支付服务人员的薪酬须按国家相关政策上调而上调，以保证员工的最低工资不得低于当地最低工资标准；社会保险费用须按国家政策调整,因社保费政策调增部分由供应商承担,供应商应按调整后的金额对服务人员应交的社会保险金额进行调整，采购人不追加采购费用。</w:t>
      </w:r>
    </w:p>
    <w:p>
      <w:pPr>
        <w:spacing w:line="500" w:lineRule="exact"/>
        <w:ind w:firstLine="480" w:firstLineChars="200"/>
        <w:textAlignment w:val="center"/>
        <w:rPr>
          <w:rFonts w:hint="eastAsia" w:ascii="宋体" w:hAnsi="宋体" w:cs="宋体"/>
          <w:color w:val="auto"/>
          <w:kern w:val="2"/>
          <w:sz w:val="24"/>
          <w:highlight w:val="none"/>
          <w:lang w:val="zh-CN"/>
        </w:rPr>
      </w:pPr>
      <w:r>
        <w:rPr>
          <w:rFonts w:hint="eastAsia" w:ascii="宋体" w:hAnsi="宋体" w:cs="宋体"/>
          <w:color w:val="auto"/>
          <w:kern w:val="2"/>
          <w:sz w:val="24"/>
          <w:highlight w:val="none"/>
        </w:rPr>
        <w:t>（3）采购人每月按《服务质量考核方案》对服务质量进行考核，</w:t>
      </w:r>
      <w:r>
        <w:rPr>
          <w:rFonts w:hint="eastAsia" w:ascii="宋体" w:hAnsi="宋体" w:cs="宋体"/>
          <w:color w:val="auto"/>
          <w:kern w:val="2"/>
          <w:sz w:val="24"/>
          <w:highlight w:val="none"/>
          <w:lang w:val="zh-CN"/>
        </w:rPr>
        <w:t>考核结果为“优”等级，全额（</w:t>
      </w:r>
      <w:r>
        <w:rPr>
          <w:rFonts w:hint="eastAsia" w:ascii="宋体" w:hAnsi="宋体" w:cs="宋体"/>
          <w:color w:val="auto"/>
          <w:kern w:val="2"/>
          <w:sz w:val="24"/>
          <w:highlight w:val="none"/>
        </w:rPr>
        <w:t>2000.00元）</w:t>
      </w:r>
      <w:r>
        <w:rPr>
          <w:rFonts w:hint="eastAsia" w:ascii="宋体" w:hAnsi="宋体" w:cs="宋体"/>
          <w:color w:val="auto"/>
          <w:kern w:val="2"/>
          <w:sz w:val="24"/>
          <w:highlight w:val="none"/>
          <w:lang w:val="zh-CN"/>
        </w:rPr>
        <w:t>支付服务质量考评奖；考核结果为“良”等级，支付服务质量考核奖的</w:t>
      </w:r>
      <w:r>
        <w:rPr>
          <w:rFonts w:hint="eastAsia" w:ascii="宋体" w:hAnsi="宋体" w:cs="宋体"/>
          <w:color w:val="auto"/>
          <w:kern w:val="2"/>
          <w:sz w:val="24"/>
          <w:highlight w:val="none"/>
        </w:rPr>
        <w:t>50%</w:t>
      </w:r>
      <w:r>
        <w:rPr>
          <w:rFonts w:hint="eastAsia" w:ascii="宋体" w:hAnsi="宋体" w:cs="宋体"/>
          <w:color w:val="auto"/>
          <w:kern w:val="2"/>
          <w:sz w:val="24"/>
          <w:highlight w:val="none"/>
          <w:lang w:val="zh-CN"/>
        </w:rPr>
        <w:t>；考核结果为“一般”等级，全额扣罚服务质量考核奖。</w:t>
      </w:r>
    </w:p>
    <w:p>
      <w:pPr>
        <w:spacing w:line="500" w:lineRule="exact"/>
        <w:ind w:firstLine="482" w:firstLineChars="200"/>
        <w:textAlignment w:val="center"/>
        <w:rPr>
          <w:rFonts w:ascii="宋体" w:hAnsi="宋体" w:cs="宋体"/>
          <w:b/>
          <w:bCs/>
          <w:color w:val="auto"/>
          <w:kern w:val="2"/>
          <w:sz w:val="24"/>
          <w:highlight w:val="none"/>
        </w:rPr>
      </w:pPr>
      <w:r>
        <w:rPr>
          <w:rFonts w:hint="eastAsia" w:ascii="宋体" w:hAnsi="宋体" w:cs="宋体"/>
          <w:b/>
          <w:bCs/>
          <w:color w:val="auto"/>
          <w:kern w:val="2"/>
          <w:sz w:val="24"/>
          <w:highlight w:val="none"/>
        </w:rPr>
        <w:t>3、服务事项</w:t>
      </w:r>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（1）负责食品制作、餐饮服务、餐厅清洁及管理工作。</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（2）负责厨房食品制作任务和餐厅工作协调，确保员工关系和谐。</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（3）负责菜单的筹划和更换，以及新品种的研发。</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（4）按照要求控制好营业成本并保证菜肴质量、服务水平。</w:t>
      </w:r>
    </w:p>
    <w:p>
      <w:pPr>
        <w:spacing w:line="500" w:lineRule="exact"/>
        <w:ind w:firstLine="480" w:firstLineChars="200"/>
        <w:textAlignment w:val="center"/>
        <w:rPr>
          <w:color w:val="auto"/>
          <w:kern w:val="2"/>
          <w:sz w:val="24"/>
          <w:highlight w:val="none"/>
        </w:rPr>
      </w:pPr>
      <w:r>
        <w:rPr>
          <w:rFonts w:hint="eastAsia" w:ascii="宋体" w:hAnsi="宋体" w:cs="宋体"/>
          <w:color w:val="auto"/>
          <w:kern w:val="2"/>
          <w:sz w:val="24"/>
          <w:highlight w:val="none"/>
        </w:rPr>
        <w:t>（5）负责食品卫生安全、消防安全工作</w:t>
      </w:r>
      <w:r>
        <w:rPr>
          <w:rFonts w:hint="eastAsia"/>
          <w:color w:val="auto"/>
          <w:kern w:val="2"/>
          <w:sz w:val="24"/>
          <w:highlight w:val="none"/>
        </w:rPr>
        <w:t>及疫情防控工作。</w:t>
      </w:r>
    </w:p>
    <w:p>
      <w:pPr>
        <w:spacing w:line="500" w:lineRule="exact"/>
        <w:jc w:val="left"/>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　　4、服务地址</w:t>
      </w:r>
    </w:p>
    <w:p>
      <w:pPr>
        <w:spacing w:line="500" w:lineRule="exact"/>
        <w:jc w:val="left"/>
        <w:rPr>
          <w:rFonts w:hint="eastAsia" w:ascii="宋体" w:hAnsi="宋体" w:cs="宋体"/>
          <w:bCs/>
          <w:color w:val="auto"/>
          <w:kern w:val="2"/>
          <w:sz w:val="24"/>
          <w:szCs w:val="24"/>
          <w:highlight w:val="none"/>
        </w:rPr>
      </w:pPr>
      <w:r>
        <w:rPr>
          <w:rFonts w:hint="eastAsia" w:ascii="宋体" w:hAnsi="宋体" w:cs="宋体"/>
          <w:b/>
          <w:color w:val="auto"/>
          <w:kern w:val="2"/>
          <w:sz w:val="24"/>
          <w:szCs w:val="24"/>
          <w:highlight w:val="none"/>
        </w:rPr>
        <w:t xml:space="preserve">    </w:t>
      </w:r>
      <w:r>
        <w:rPr>
          <w:rFonts w:hint="eastAsia" w:ascii="宋体" w:hAnsi="宋体" w:cs="宋体"/>
          <w:bCs/>
          <w:color w:val="auto"/>
          <w:kern w:val="2"/>
          <w:sz w:val="24"/>
          <w:szCs w:val="24"/>
          <w:highlight w:val="none"/>
        </w:rPr>
        <w:t>（1）茂名市电白区水东街道海滨四路1号；</w:t>
      </w:r>
    </w:p>
    <w:p>
      <w:pPr>
        <w:spacing w:line="500" w:lineRule="exact"/>
        <w:jc w:val="left"/>
        <w:rPr>
          <w:rFonts w:hint="eastAsia"/>
          <w:bCs/>
          <w:color w:val="auto"/>
          <w:kern w:val="2"/>
          <w:sz w:val="24"/>
          <w:highlight w:val="none"/>
        </w:rPr>
      </w:pPr>
      <w:r>
        <w:rPr>
          <w:rFonts w:hint="eastAsia" w:ascii="宋体" w:hAnsi="宋体" w:cs="宋体"/>
          <w:bCs/>
          <w:color w:val="auto"/>
          <w:kern w:val="2"/>
          <w:sz w:val="24"/>
          <w:szCs w:val="24"/>
          <w:highlight w:val="none"/>
        </w:rPr>
        <w:t xml:space="preserve">  　（2）茂名市电白区水东街道海滨二路118号。</w:t>
      </w:r>
    </w:p>
    <w:bookmarkEnd w:id="93"/>
    <w:p>
      <w:pPr>
        <w:spacing w:line="500" w:lineRule="exact"/>
        <w:ind w:firstLine="482" w:firstLineChars="200"/>
        <w:jc w:val="left"/>
        <w:outlineLvl w:val="1"/>
        <w:rPr>
          <w:rFonts w:ascii="宋体" w:hAnsi="宋体" w:cs="宋体"/>
          <w:color w:val="auto"/>
          <w:kern w:val="2"/>
          <w:sz w:val="24"/>
          <w:szCs w:val="24"/>
          <w:highlight w:val="none"/>
          <w:lang w:val="zh-CN"/>
        </w:rPr>
      </w:pPr>
      <w:bookmarkStart w:id="97" w:name="_Toc22111"/>
      <w:r>
        <w:rPr>
          <w:rFonts w:hint="eastAsia" w:ascii="宋体" w:hAnsi="宋体" w:cs="宋体"/>
          <w:b/>
          <w:color w:val="auto"/>
          <w:kern w:val="2"/>
          <w:sz w:val="24"/>
          <w:highlight w:val="none"/>
        </w:rPr>
        <w:t>二</w:t>
      </w:r>
      <w:r>
        <w:rPr>
          <w:rFonts w:hint="eastAsia" w:ascii="宋体" w:hAnsi="宋体" w:cs="宋体"/>
          <w:b/>
          <w:color w:val="auto"/>
          <w:kern w:val="2"/>
          <w:sz w:val="24"/>
          <w:szCs w:val="24"/>
          <w:highlight w:val="none"/>
        </w:rPr>
        <w:t>、采购项目服务要求</w:t>
      </w:r>
      <w:bookmarkEnd w:id="94"/>
      <w:bookmarkEnd w:id="95"/>
      <w:bookmarkEnd w:id="96"/>
      <w:bookmarkEnd w:id="97"/>
    </w:p>
    <w:bookmarkEnd w:id="82"/>
    <w:bookmarkEnd w:id="83"/>
    <w:p>
      <w:pPr>
        <w:spacing w:line="500" w:lineRule="exact"/>
        <w:ind w:firstLine="482" w:firstLineChars="200"/>
        <w:textAlignment w:val="center"/>
        <w:outlineLvl w:val="2"/>
        <w:rPr>
          <w:rFonts w:ascii="宋体" w:hAnsi="宋体" w:cs="宋体"/>
          <w:b/>
          <w:bCs/>
          <w:color w:val="auto"/>
          <w:kern w:val="2"/>
          <w:sz w:val="24"/>
          <w:highlight w:val="none"/>
        </w:rPr>
      </w:pPr>
      <w:bookmarkStart w:id="98" w:name="_Toc6333"/>
      <w:bookmarkStart w:id="99" w:name="_Toc28570"/>
      <w:bookmarkStart w:id="100" w:name="_Toc3370"/>
      <w:bookmarkStart w:id="101" w:name="_Toc9467"/>
      <w:bookmarkStart w:id="102" w:name="_Toc12790"/>
      <w:bookmarkStart w:id="103" w:name="_Toc27614"/>
      <w:r>
        <w:rPr>
          <w:rFonts w:hint="eastAsia" w:ascii="宋体" w:hAnsi="宋体" w:cs="宋体"/>
          <w:b/>
          <w:bCs/>
          <w:color w:val="auto"/>
          <w:kern w:val="2"/>
          <w:sz w:val="24"/>
          <w:highlight w:val="none"/>
        </w:rPr>
        <w:t>（一）服务范围</w:t>
      </w:r>
      <w:bookmarkEnd w:id="98"/>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1、供应商应明确服务人员各岗位的目标和责任,对菜式出品、卫生安全及应急处置实施严格管理，坚持厉行节约，注重效率，提供高质量服务。</w:t>
      </w:r>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2、采购人提供的设施设备以及所需食材，供应商应正当使用及认真处理。</w:t>
      </w:r>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3、采购人主管部门根据《服务质量考核方案》，对供应商服务质量按月进行考核，考核方式包括日常检查和专项检查。对检查中发现的问题，由采购人检查人员进行记录，填写记录并经供应商确认，月度汇总后作为考核的依据。每月的管理服务质量月度考核表需经过双方签字或盖章确认后，方可作为核定标准的依据。</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4、供应商在做好服务工作的同时，有责任向采购人提供合理化建议，以提高管理效率和管理质量。</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5、供应商不得以任何方式转包或分包本项目，一经采购人发现，有权终止合同。</w:t>
      </w:r>
    </w:p>
    <w:p>
      <w:pPr>
        <w:spacing w:line="500" w:lineRule="exact"/>
        <w:ind w:firstLine="482" w:firstLineChars="200"/>
        <w:textAlignment w:val="center"/>
        <w:outlineLvl w:val="2"/>
        <w:rPr>
          <w:rFonts w:ascii="宋体" w:hAnsi="宋体" w:cs="宋体"/>
          <w:b/>
          <w:bCs/>
          <w:color w:val="auto"/>
          <w:kern w:val="2"/>
          <w:sz w:val="24"/>
          <w:highlight w:val="none"/>
        </w:rPr>
      </w:pPr>
      <w:bookmarkStart w:id="104" w:name="_Toc4798"/>
      <w:r>
        <w:rPr>
          <w:rFonts w:hint="eastAsia" w:ascii="宋体" w:hAnsi="宋体" w:cs="宋体"/>
          <w:b/>
          <w:bCs/>
          <w:color w:val="auto"/>
          <w:kern w:val="2"/>
          <w:sz w:val="24"/>
          <w:highlight w:val="none"/>
        </w:rPr>
        <w:t>（二）服务团队配置要求。</w:t>
      </w:r>
      <w:bookmarkEnd w:id="104"/>
      <w:r>
        <w:rPr>
          <w:rFonts w:hint="eastAsia" w:ascii="宋体" w:hAnsi="宋体" w:cs="宋体"/>
          <w:b/>
          <w:bCs/>
          <w:color w:val="auto"/>
          <w:kern w:val="2"/>
          <w:sz w:val="24"/>
          <w:highlight w:val="none"/>
        </w:rPr>
        <w:tab/>
      </w:r>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1、供应商配备专业的服务团队，岗位设置结构完整，配备主厨、点心师、中厨、普厨、刀工、餐厅主管、餐厅服务员等岗位。为保障服务质量和效率，所有岗位人员须经采购人同意，才可安排服务。</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2、签订合同及服务期内，供应商须提供有关卫生部门对拟安排的工作人员</w:t>
      </w:r>
      <w:r>
        <w:rPr>
          <w:rFonts w:hint="eastAsia" w:ascii="宋体" w:hAnsi="宋体" w:cs="宋体"/>
          <w:color w:val="auto"/>
          <w:kern w:val="2"/>
          <w:sz w:val="24"/>
          <w:highlight w:val="none"/>
          <w:lang w:val="en-US" w:eastAsia="zh-CN"/>
        </w:rPr>
        <w:t>有效</w:t>
      </w:r>
      <w:r>
        <w:rPr>
          <w:rFonts w:hint="eastAsia" w:ascii="宋体" w:hAnsi="宋体" w:cs="宋体"/>
          <w:color w:val="auto"/>
          <w:kern w:val="2"/>
          <w:sz w:val="24"/>
          <w:highlight w:val="none"/>
        </w:rPr>
        <w:t>的健康证明。</w:t>
      </w:r>
      <w:r>
        <w:rPr>
          <w:rFonts w:hint="eastAsia" w:ascii="宋体" w:hAnsi="宋体" w:cs="宋体"/>
          <w:b/>
          <w:bCs/>
          <w:color w:val="auto"/>
          <w:kern w:val="2"/>
          <w:sz w:val="24"/>
          <w:highlight w:val="none"/>
        </w:rPr>
        <w:t>（投标时提交承诺函，格式自拟）</w:t>
      </w:r>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3、供应商配备使用的各类工作人员须符合有关法律法规的规定，按用工性质持证上岗，须五官端正、谈吐清晰，具有一定的文化素质，着装、仪容要求整洁整齐，上班穿工作服。</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4、供应商应制定员工培训计划，使各岗位的工作人员具备相应的专业素质，并熟悉各项管理规定，能够按照各项管理规定提供高水平的服务。</w:t>
      </w:r>
    </w:p>
    <w:p>
      <w:pPr>
        <w:spacing w:line="50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5、供应商不得随意更换</w:t>
      </w:r>
      <w:r>
        <w:rPr>
          <w:rFonts w:hint="eastAsia" w:ascii="宋体" w:hAnsi="宋体" w:cs="宋体"/>
          <w:color w:val="auto"/>
          <w:kern w:val="2"/>
          <w:sz w:val="24"/>
          <w:highlight w:val="none"/>
        </w:rPr>
        <w:t>服务</w:t>
      </w:r>
      <w:r>
        <w:rPr>
          <w:rFonts w:hint="eastAsia" w:ascii="宋体" w:hAnsi="宋体" w:cs="宋体"/>
          <w:color w:val="auto"/>
          <w:kern w:val="2"/>
          <w:sz w:val="24"/>
          <w:szCs w:val="24"/>
          <w:highlight w:val="none"/>
        </w:rPr>
        <w:t>人员，有人员变动情况，需提前10个工作日以书面形式告</w:t>
      </w:r>
      <w:r>
        <w:rPr>
          <w:rFonts w:hint="eastAsia" w:ascii="宋体" w:hAnsi="宋体" w:cs="宋体"/>
          <w:color w:val="auto"/>
          <w:kern w:val="2"/>
          <w:sz w:val="24"/>
          <w:szCs w:val="24"/>
          <w:highlight w:val="none"/>
          <w:u w:val="none"/>
        </w:rPr>
        <w:t>知采购人</w:t>
      </w:r>
      <w:r>
        <w:rPr>
          <w:rFonts w:hint="eastAsia" w:ascii="Times New Roman" w:hAnsi="Times New Roman" w:cs="Times New Roman"/>
          <w:color w:val="auto"/>
          <w:sz w:val="24"/>
          <w:szCs w:val="24"/>
          <w:highlight w:val="none"/>
          <w:u w:val="none"/>
          <w:lang w:val="en-US" w:eastAsia="zh-CN"/>
        </w:rPr>
        <w:t>并取得采购人同意</w:t>
      </w:r>
      <w:r>
        <w:rPr>
          <w:rFonts w:hint="eastAsia" w:ascii="宋体" w:hAnsi="宋体" w:cs="宋体"/>
          <w:color w:val="auto"/>
          <w:kern w:val="2"/>
          <w:sz w:val="24"/>
          <w:szCs w:val="24"/>
          <w:highlight w:val="none"/>
          <w:u w:val="none"/>
        </w:rPr>
        <w:t>。</w:t>
      </w:r>
    </w:p>
    <w:p>
      <w:pPr>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6、采购人有权根据实际需要对服务人员进行岗位调配和提出更换人员要求，供应商应在收到采购人书面通知10个工作日内免费更换。</w:t>
      </w:r>
    </w:p>
    <w:p>
      <w:pPr>
        <w:spacing w:line="500" w:lineRule="exact"/>
        <w:ind w:firstLine="482" w:firstLineChars="200"/>
        <w:textAlignment w:val="center"/>
        <w:outlineLvl w:val="2"/>
        <w:rPr>
          <w:rFonts w:ascii="宋体" w:hAnsi="宋体" w:cs="宋体"/>
          <w:b/>
          <w:bCs/>
          <w:color w:val="auto"/>
          <w:kern w:val="2"/>
          <w:sz w:val="24"/>
          <w:highlight w:val="none"/>
        </w:rPr>
      </w:pPr>
      <w:bookmarkStart w:id="105" w:name="_Toc1433"/>
      <w:r>
        <w:rPr>
          <w:rFonts w:hint="eastAsia" w:ascii="宋体" w:hAnsi="宋体" w:cs="宋体"/>
          <w:b/>
          <w:bCs/>
          <w:color w:val="auto"/>
          <w:kern w:val="2"/>
          <w:sz w:val="24"/>
          <w:highlight w:val="none"/>
        </w:rPr>
        <w:t>（三）卫生要求</w:t>
      </w:r>
      <w:bookmarkEnd w:id="105"/>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1、供应商须制定严格的餐饮卫生管理制度和食品安全突发事故应急预案，严格执行国家《食品安全法》及《餐饮服务食品安全操作规范》，规范服务，卫生防疫、就餐环境须达到本市职能部门制定的标准。</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2、就餐环境要求良好，应保证饭堂通风、干净卫生、地面无积水，有剩饭剩菜等垃圾处理措施，每天清理厨余垃圾。</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 xml:space="preserve">3、供应商按照国家有关餐具卫生管理要求，做好公共餐具清洗和消毒工作。 </w:t>
      </w:r>
    </w:p>
    <w:p>
      <w:pPr>
        <w:spacing w:line="500" w:lineRule="exact"/>
        <w:ind w:firstLine="480" w:firstLineChars="200"/>
        <w:textAlignment w:val="center"/>
        <w:rPr>
          <w:rFonts w:ascii="宋体" w:hAnsi="宋体" w:cs="宋体"/>
          <w:b/>
          <w:bCs/>
          <w:color w:val="auto"/>
          <w:kern w:val="2"/>
          <w:sz w:val="24"/>
          <w:highlight w:val="none"/>
        </w:rPr>
      </w:pPr>
      <w:r>
        <w:rPr>
          <w:rFonts w:hint="eastAsia" w:ascii="宋体" w:hAnsi="宋体" w:cs="宋体"/>
          <w:bCs/>
          <w:color w:val="auto"/>
          <w:kern w:val="2"/>
          <w:sz w:val="24"/>
          <w:highlight w:val="none"/>
        </w:rPr>
        <w:t>4、</w:t>
      </w:r>
      <w:r>
        <w:rPr>
          <w:rFonts w:hint="eastAsia" w:ascii="宋体" w:hAnsi="宋体" w:cs="宋体"/>
          <w:color w:val="auto"/>
          <w:kern w:val="2"/>
          <w:sz w:val="24"/>
          <w:highlight w:val="none"/>
        </w:rPr>
        <w:t>供应商负责定期洗涤台布和椅套，保证无污渍。</w:t>
      </w:r>
    </w:p>
    <w:p>
      <w:pPr>
        <w:spacing w:line="500" w:lineRule="exact"/>
        <w:ind w:firstLine="482" w:firstLineChars="200"/>
        <w:textAlignment w:val="center"/>
        <w:outlineLvl w:val="2"/>
        <w:rPr>
          <w:rFonts w:ascii="宋体" w:hAnsi="宋体" w:cs="宋体"/>
          <w:b/>
          <w:bCs/>
          <w:color w:val="auto"/>
          <w:kern w:val="2"/>
          <w:sz w:val="24"/>
          <w:highlight w:val="none"/>
        </w:rPr>
      </w:pPr>
      <w:bookmarkStart w:id="106" w:name="_Toc24030"/>
      <w:r>
        <w:rPr>
          <w:rFonts w:hint="eastAsia" w:ascii="宋体" w:hAnsi="宋体" w:cs="宋体"/>
          <w:b/>
          <w:bCs/>
          <w:color w:val="auto"/>
          <w:kern w:val="2"/>
          <w:sz w:val="24"/>
          <w:highlight w:val="none"/>
        </w:rPr>
        <w:t>（四）安全要求</w:t>
      </w:r>
      <w:bookmarkEnd w:id="106"/>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1、供应商须做好安全用水、用火、用电、煤气等工作，须服从采购人的监督和检查。因供应商原因造成火灾及工伤等事故所造成的一切经济损失由供应商负责。</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highlight w:val="none"/>
        </w:rPr>
        <w:t>2、供应商为食品制作卫生安全直接责任人，须严格把好食品卫生安全关。供应商须做好食品留样等常规安全手续并做好存档资料工作。服务期间，因食堂食品安全造成的且经食品药品监督部门检查认定或卫生行政部门检验鉴定确认是供应商的责任所引起的食品安全事故，由供应商承担相关责任和支付全部罚金及一切费用，且采购人有权立即取消供应商的服务资格。</w:t>
      </w:r>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3、供应商要有针对不可抗力情况，如停水、停电等情况进行如何响应的方案，投标时提交各项保障措施。</w:t>
      </w:r>
    </w:p>
    <w:p>
      <w:pPr>
        <w:spacing w:line="500" w:lineRule="exact"/>
        <w:ind w:firstLine="480" w:firstLineChars="200"/>
        <w:textAlignment w:val="center"/>
        <w:rPr>
          <w:rFonts w:hint="eastAsia" w:ascii="宋体" w:hAnsi="宋体" w:cs="宋体"/>
          <w:color w:val="auto"/>
          <w:kern w:val="2"/>
          <w:sz w:val="24"/>
          <w:highlight w:val="none"/>
        </w:rPr>
      </w:pPr>
      <w:r>
        <w:rPr>
          <w:rFonts w:hint="eastAsia" w:ascii="宋体" w:hAnsi="宋体" w:cs="宋体"/>
          <w:color w:val="auto"/>
          <w:kern w:val="2"/>
          <w:sz w:val="24"/>
          <w:highlight w:val="none"/>
        </w:rPr>
        <w:t>4、供应商对厨房服务人员每季度进行一次消防演练培训。</w:t>
      </w:r>
    </w:p>
    <w:p>
      <w:pPr>
        <w:spacing w:line="500" w:lineRule="exact"/>
        <w:ind w:firstLine="482" w:firstLineChars="200"/>
        <w:textAlignment w:val="center"/>
        <w:outlineLvl w:val="2"/>
        <w:rPr>
          <w:rFonts w:hint="eastAsia" w:ascii="宋体" w:hAnsi="宋体" w:cs="宋体"/>
          <w:b/>
          <w:bCs/>
          <w:color w:val="auto"/>
          <w:kern w:val="2"/>
          <w:sz w:val="24"/>
          <w:highlight w:val="none"/>
        </w:rPr>
      </w:pPr>
      <w:bookmarkStart w:id="107" w:name="_Toc2111"/>
      <w:r>
        <w:rPr>
          <w:rFonts w:hint="eastAsia" w:ascii="宋体" w:hAnsi="宋体" w:cs="宋体"/>
          <w:b/>
          <w:bCs/>
          <w:color w:val="auto"/>
          <w:kern w:val="2"/>
          <w:sz w:val="24"/>
          <w:highlight w:val="none"/>
        </w:rPr>
        <w:t>（五）菜式及出品方案</w:t>
      </w:r>
    </w:p>
    <w:p>
      <w:pPr>
        <w:spacing w:line="440" w:lineRule="exact"/>
        <w:ind w:firstLine="480" w:firstLineChars="200"/>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1、</w:t>
      </w:r>
      <w:r>
        <w:rPr>
          <w:rFonts w:hint="eastAsia" w:ascii="宋体" w:hAnsi="宋体" w:cs="宋体"/>
          <w:color w:val="auto"/>
          <w:kern w:val="2"/>
          <w:sz w:val="24"/>
          <w:szCs w:val="24"/>
          <w:highlight w:val="none"/>
          <w:lang w:val="zh-CN" w:bidi="zh-CN"/>
        </w:rPr>
        <w:t>菜单编制合理、审核、公示及时。</w:t>
      </w:r>
    </w:p>
    <w:p>
      <w:pPr>
        <w:spacing w:line="440" w:lineRule="exact"/>
        <w:ind w:firstLine="480" w:firstLineChars="200"/>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2、</w:t>
      </w:r>
      <w:r>
        <w:rPr>
          <w:rFonts w:hint="eastAsia" w:ascii="宋体" w:hAnsi="宋体" w:cs="宋体"/>
          <w:color w:val="auto"/>
          <w:kern w:val="2"/>
          <w:sz w:val="24"/>
          <w:szCs w:val="24"/>
          <w:highlight w:val="none"/>
          <w:lang w:val="zh-CN" w:bidi="zh-CN"/>
        </w:rPr>
        <w:t>按照季节搭配菜式、按标准制作。</w:t>
      </w:r>
    </w:p>
    <w:p>
      <w:pPr>
        <w:spacing w:line="440" w:lineRule="exact"/>
        <w:ind w:firstLine="480" w:firstLineChars="200"/>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3、</w:t>
      </w:r>
      <w:r>
        <w:rPr>
          <w:rFonts w:hint="eastAsia" w:ascii="宋体" w:hAnsi="宋体" w:cs="宋体"/>
          <w:color w:val="auto"/>
          <w:kern w:val="2"/>
          <w:sz w:val="24"/>
          <w:szCs w:val="24"/>
          <w:highlight w:val="none"/>
          <w:lang w:val="zh-CN" w:bidi="zh-CN"/>
        </w:rPr>
        <w:t>口味、颜色、刀工无影响菜品现象。</w:t>
      </w:r>
    </w:p>
    <w:p>
      <w:pPr>
        <w:spacing w:line="440" w:lineRule="exact"/>
        <w:ind w:firstLine="480" w:firstLineChars="200"/>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4、</w:t>
      </w:r>
      <w:r>
        <w:rPr>
          <w:rFonts w:hint="eastAsia" w:ascii="宋体" w:hAnsi="宋体" w:cs="宋体"/>
          <w:color w:val="auto"/>
          <w:kern w:val="2"/>
          <w:sz w:val="24"/>
          <w:szCs w:val="24"/>
          <w:highlight w:val="none"/>
          <w:lang w:val="zh-CN" w:bidi="zh-CN"/>
        </w:rPr>
        <w:t>无变质、变味、半熟出品。</w:t>
      </w:r>
    </w:p>
    <w:p>
      <w:pPr>
        <w:spacing w:line="440" w:lineRule="exact"/>
        <w:ind w:firstLine="480" w:firstLineChars="200"/>
        <w:rPr>
          <w:rFonts w:hint="eastAsia"/>
          <w:color w:val="auto"/>
          <w:kern w:val="2"/>
          <w:sz w:val="24"/>
          <w:highlight w:val="none"/>
          <w:lang w:val="zh-CN"/>
        </w:rPr>
      </w:pPr>
      <w:r>
        <w:rPr>
          <w:rFonts w:hint="eastAsia" w:ascii="宋体" w:hAnsi="宋体" w:cs="宋体"/>
          <w:color w:val="auto"/>
          <w:kern w:val="2"/>
          <w:sz w:val="24"/>
          <w:szCs w:val="24"/>
          <w:highlight w:val="none"/>
          <w:lang w:bidi="zh-CN"/>
        </w:rPr>
        <w:t>5、</w:t>
      </w:r>
      <w:r>
        <w:rPr>
          <w:rFonts w:hint="eastAsia" w:ascii="宋体" w:hAnsi="宋体" w:cs="宋体"/>
          <w:color w:val="auto"/>
          <w:kern w:val="2"/>
          <w:sz w:val="24"/>
          <w:szCs w:val="24"/>
          <w:highlight w:val="none"/>
          <w:lang w:val="zh-CN" w:bidi="zh-CN"/>
        </w:rPr>
        <w:t xml:space="preserve">营养、健康、美味、无不合理搭配现象。 </w:t>
      </w:r>
    </w:p>
    <w:p>
      <w:pPr>
        <w:spacing w:line="500" w:lineRule="exact"/>
        <w:ind w:firstLine="482" w:firstLineChars="200"/>
        <w:textAlignment w:val="center"/>
        <w:outlineLvl w:val="2"/>
        <w:rPr>
          <w:rFonts w:hint="eastAsia" w:ascii="宋体" w:hAnsi="宋体" w:cs="宋体"/>
          <w:b/>
          <w:bCs/>
          <w:color w:val="auto"/>
          <w:kern w:val="2"/>
          <w:sz w:val="24"/>
          <w:highlight w:val="none"/>
        </w:rPr>
      </w:pPr>
      <w:r>
        <w:rPr>
          <w:rFonts w:hint="eastAsia" w:ascii="宋体" w:hAnsi="宋体" w:cs="宋体"/>
          <w:b/>
          <w:bCs/>
          <w:color w:val="auto"/>
          <w:kern w:val="2"/>
          <w:sz w:val="24"/>
          <w:highlight w:val="none"/>
        </w:rPr>
        <w:t>（六）食品安全及卫生保障方案</w:t>
      </w:r>
    </w:p>
    <w:p>
      <w:pPr>
        <w:spacing w:line="500" w:lineRule="exact"/>
        <w:ind w:firstLine="480" w:firstLineChars="200"/>
        <w:textAlignment w:val="center"/>
        <w:outlineLvl w:val="2"/>
        <w:rPr>
          <w:rFonts w:hint="eastAsia" w:ascii="宋体" w:hAnsi="宋体" w:cs="宋体"/>
          <w:b/>
          <w:bCs/>
          <w:color w:val="auto"/>
          <w:kern w:val="2"/>
          <w:sz w:val="24"/>
          <w:highlight w:val="none"/>
        </w:rPr>
      </w:pPr>
      <w:r>
        <w:rPr>
          <w:rFonts w:hint="eastAsia" w:ascii="宋体" w:hAnsi="宋体" w:cs="宋体"/>
          <w:color w:val="auto"/>
          <w:kern w:val="2"/>
          <w:sz w:val="24"/>
          <w:szCs w:val="24"/>
          <w:highlight w:val="none"/>
          <w:lang w:bidi="zh-CN"/>
        </w:rPr>
        <w:t>供应商配合、协助</w:t>
      </w:r>
      <w:r>
        <w:rPr>
          <w:rFonts w:hint="eastAsia" w:ascii="宋体" w:hAnsi="宋体"/>
          <w:color w:val="auto"/>
          <w:kern w:val="2"/>
          <w:sz w:val="24"/>
          <w:szCs w:val="24"/>
          <w:highlight w:val="none"/>
        </w:rPr>
        <w:t>采购人</w:t>
      </w:r>
      <w:r>
        <w:rPr>
          <w:rFonts w:hint="eastAsia" w:ascii="宋体" w:hAnsi="宋体" w:cs="宋体"/>
          <w:color w:val="auto"/>
          <w:kern w:val="2"/>
          <w:sz w:val="24"/>
          <w:szCs w:val="24"/>
          <w:highlight w:val="none"/>
          <w:lang w:bidi="zh-CN"/>
        </w:rPr>
        <w:t>主管部门</w:t>
      </w:r>
      <w:r>
        <w:rPr>
          <w:rFonts w:hint="eastAsia" w:ascii="宋体" w:hAnsi="宋体"/>
          <w:color w:val="auto"/>
          <w:kern w:val="2"/>
          <w:sz w:val="24"/>
          <w:szCs w:val="24"/>
          <w:highlight w:val="none"/>
        </w:rPr>
        <w:t>对食材验收、</w:t>
      </w:r>
      <w:r>
        <w:rPr>
          <w:rFonts w:hint="eastAsia" w:ascii="宋体" w:hAnsi="宋体" w:cs="宋体"/>
          <w:color w:val="auto"/>
          <w:kern w:val="2"/>
          <w:sz w:val="24"/>
          <w:szCs w:val="24"/>
          <w:highlight w:val="none"/>
          <w:lang w:bidi="zh-CN"/>
        </w:rPr>
        <w:t>仓储、冷藏保鲜</w:t>
      </w:r>
      <w:r>
        <w:rPr>
          <w:rFonts w:hint="eastAsia" w:ascii="宋体" w:hAnsi="宋体"/>
          <w:color w:val="auto"/>
          <w:kern w:val="2"/>
          <w:sz w:val="24"/>
          <w:szCs w:val="24"/>
          <w:highlight w:val="none"/>
        </w:rPr>
        <w:t>实施严格管理。</w:t>
      </w:r>
    </w:p>
    <w:p>
      <w:pPr>
        <w:spacing w:line="440" w:lineRule="exact"/>
        <w:ind w:firstLine="480" w:firstLineChars="200"/>
        <w:rPr>
          <w:rFonts w:hint="eastAsia" w:ascii="宋体" w:hAnsi="宋体" w:cs="宋体"/>
          <w:color w:val="auto"/>
          <w:kern w:val="2"/>
          <w:sz w:val="24"/>
          <w:szCs w:val="24"/>
          <w:highlight w:val="none"/>
          <w:lang w:bidi="zh-CN"/>
        </w:rPr>
      </w:pPr>
      <w:r>
        <w:rPr>
          <w:rFonts w:hint="eastAsia" w:ascii="宋体" w:hAnsi="宋体" w:cs="宋体"/>
          <w:color w:val="auto"/>
          <w:kern w:val="2"/>
          <w:sz w:val="24"/>
          <w:szCs w:val="24"/>
          <w:highlight w:val="none"/>
          <w:lang w:bidi="zh-CN"/>
        </w:rPr>
        <w:t xml:space="preserve">1、配合食材验收：包含食品入库、出库、库存登记台账记录；对劣质、霉腐食品及时退换货；食品供货单品类、数量、重量与实物不符问题的处理等等。 </w:t>
      </w:r>
    </w:p>
    <w:p>
      <w:pPr>
        <w:spacing w:line="440" w:lineRule="exact"/>
        <w:ind w:firstLine="480" w:firstLineChars="200"/>
        <w:rPr>
          <w:rFonts w:hint="eastAsia" w:ascii="宋体" w:hAnsi="宋体" w:cs="宋体"/>
          <w:color w:val="auto"/>
          <w:kern w:val="2"/>
          <w:sz w:val="24"/>
          <w:szCs w:val="24"/>
          <w:highlight w:val="none"/>
          <w:lang w:bidi="zh-CN"/>
        </w:rPr>
      </w:pPr>
      <w:r>
        <w:rPr>
          <w:rFonts w:hint="eastAsia" w:ascii="宋体" w:hAnsi="宋体" w:cs="宋体"/>
          <w:color w:val="auto"/>
          <w:kern w:val="2"/>
          <w:sz w:val="24"/>
          <w:szCs w:val="24"/>
          <w:highlight w:val="none"/>
          <w:lang w:bidi="zh-CN"/>
        </w:rPr>
        <w:t>2、保障食品仓储卫生：仓库设专人负责管理，建立健全采购、验收、发放登记管理</w:t>
      </w:r>
      <w:r>
        <w:rPr>
          <w:rFonts w:hint="eastAsia" w:ascii="宋体" w:hAnsi="宋体" w:cs="宋体"/>
          <w:color w:val="auto"/>
          <w:kern w:val="2"/>
          <w:sz w:val="24"/>
          <w:szCs w:val="24"/>
          <w:highlight w:val="none"/>
          <w:shd w:val="clear" w:color="auto" w:fill="FFFFFF"/>
          <w:lang w:bidi="zh-CN"/>
        </w:rPr>
        <w:t>流程；</w:t>
      </w:r>
      <w:r>
        <w:rPr>
          <w:rFonts w:hint="eastAsia" w:ascii="宋体" w:hAnsi="宋体" w:cs="宋体"/>
          <w:color w:val="auto"/>
          <w:kern w:val="2"/>
          <w:sz w:val="24"/>
          <w:szCs w:val="24"/>
          <w:highlight w:val="none"/>
          <w:lang w:bidi="zh-CN"/>
        </w:rPr>
        <w:t>空调设备通风除湿性能良好，排风扇运转正常，库内干净整洁，无潮湿、无霉味；各类食品按类别、品种分类、分区、分架摆放整齐，离地、离墙10cm以上；防鼠、防虫、防蝇、防蟑螂设备完好，使用正常。</w:t>
      </w:r>
    </w:p>
    <w:p>
      <w:pPr>
        <w:spacing w:line="440" w:lineRule="exact"/>
        <w:ind w:firstLine="480" w:firstLineChars="200"/>
        <w:rPr>
          <w:rFonts w:hint="eastAsia" w:ascii="宋体" w:hAnsi="宋体" w:cs="宋体"/>
          <w:color w:val="auto"/>
          <w:kern w:val="2"/>
          <w:sz w:val="24"/>
          <w:szCs w:val="24"/>
          <w:highlight w:val="none"/>
          <w:lang w:bidi="zh-CN"/>
        </w:rPr>
      </w:pPr>
      <w:r>
        <w:rPr>
          <w:rFonts w:hint="eastAsia" w:ascii="宋体" w:hAnsi="宋体" w:cs="宋体"/>
          <w:color w:val="auto"/>
          <w:kern w:val="2"/>
          <w:sz w:val="24"/>
          <w:szCs w:val="24"/>
          <w:highlight w:val="none"/>
          <w:lang w:bidi="zh-CN"/>
        </w:rPr>
        <w:t xml:space="preserve">3、执行冷藏保鲜措施：柜温度设定符合规定，定期除冰除霜，制冷性能良好，柜内无异味；生食与熟食、成品与半成品、植物性食品与动物性和水产类食品分柜存放，保鲜效果好；双休日和节假日停餐期间易腐食品及时清空出柜。 </w:t>
      </w:r>
    </w:p>
    <w:p>
      <w:pPr>
        <w:spacing w:line="440" w:lineRule="exact"/>
        <w:ind w:firstLine="482" w:firstLineChars="200"/>
        <w:rPr>
          <w:rFonts w:hint="eastAsia" w:ascii="宋体" w:hAnsi="宋体" w:cs="宋体"/>
          <w:b/>
          <w:bCs/>
          <w:color w:val="auto"/>
          <w:kern w:val="2"/>
          <w:sz w:val="24"/>
          <w:highlight w:val="none"/>
        </w:rPr>
      </w:pPr>
      <w:r>
        <w:rPr>
          <w:rFonts w:hint="eastAsia" w:ascii="宋体" w:hAnsi="宋体" w:cs="宋体"/>
          <w:b/>
          <w:bCs/>
          <w:color w:val="auto"/>
          <w:kern w:val="2"/>
          <w:sz w:val="24"/>
          <w:highlight w:val="none"/>
        </w:rPr>
        <w:t>（七）管理运作制度</w:t>
      </w:r>
    </w:p>
    <w:p>
      <w:pPr>
        <w:spacing w:line="440" w:lineRule="exact"/>
        <w:ind w:firstLine="480" w:firstLineChars="200"/>
        <w:rPr>
          <w:color w:val="auto"/>
          <w:kern w:val="2"/>
          <w:sz w:val="24"/>
          <w:highlight w:val="none"/>
        </w:rPr>
      </w:pPr>
      <w:r>
        <w:rPr>
          <w:rFonts w:hint="eastAsia" w:ascii="宋体" w:hAnsi="宋体" w:cs="宋体"/>
          <w:color w:val="auto"/>
          <w:kern w:val="2"/>
          <w:sz w:val="24"/>
          <w:szCs w:val="24"/>
          <w:highlight w:val="none"/>
          <w:lang w:bidi="zh-CN"/>
        </w:rPr>
        <w:t xml:space="preserve">实施方式说明：采取供应商管理模式，即供应商负责提供饭堂工作人员，并派驻管理及技术团队管理运营，采购人负责对供应商监督管理。 </w:t>
      </w:r>
    </w:p>
    <w:p>
      <w:pPr>
        <w:spacing w:line="440" w:lineRule="exact"/>
        <w:ind w:firstLine="480" w:firstLineChars="200"/>
        <w:rPr>
          <w:rFonts w:hint="eastAsia"/>
          <w:color w:val="auto"/>
          <w:kern w:val="2"/>
          <w:sz w:val="24"/>
          <w:highlight w:val="none"/>
        </w:rPr>
      </w:pPr>
      <w:r>
        <w:rPr>
          <w:color w:val="auto"/>
          <w:kern w:val="2"/>
          <w:sz w:val="24"/>
          <w:highlight w:val="none"/>
        </w:rPr>
        <w:t>1</w:t>
      </w:r>
      <w:r>
        <w:rPr>
          <w:rFonts w:hint="eastAsia"/>
          <w:color w:val="auto"/>
          <w:kern w:val="2"/>
          <w:sz w:val="24"/>
          <w:highlight w:val="none"/>
        </w:rPr>
        <w:t>、</w:t>
      </w:r>
      <w:r>
        <w:rPr>
          <w:color w:val="auto"/>
          <w:kern w:val="2"/>
          <w:sz w:val="24"/>
          <w:highlight w:val="none"/>
        </w:rPr>
        <w:t>应建立基本的管理制度，主要包括厨房纪律、厨房出品制度、清洁卫生制度、员工考勤休假制度、饭堂设施设备使用维护制度、</w:t>
      </w:r>
      <w:r>
        <w:rPr>
          <w:rFonts w:hint="eastAsia"/>
          <w:color w:val="auto"/>
          <w:kern w:val="2"/>
          <w:sz w:val="24"/>
          <w:highlight w:val="none"/>
        </w:rPr>
        <w:t>服务人员培训与管理</w:t>
      </w:r>
      <w:r>
        <w:rPr>
          <w:color w:val="auto"/>
          <w:kern w:val="2"/>
          <w:sz w:val="24"/>
          <w:highlight w:val="none"/>
        </w:rPr>
        <w:t>等</w:t>
      </w:r>
      <w:r>
        <w:rPr>
          <w:rFonts w:hint="eastAsia"/>
          <w:color w:val="auto"/>
          <w:kern w:val="2"/>
          <w:sz w:val="24"/>
          <w:highlight w:val="none"/>
        </w:rPr>
        <w:t>。</w:t>
      </w:r>
    </w:p>
    <w:p>
      <w:pPr>
        <w:spacing w:line="440" w:lineRule="exact"/>
        <w:ind w:firstLine="480" w:firstLineChars="200"/>
        <w:rPr>
          <w:rFonts w:hint="eastAsia"/>
          <w:color w:val="auto"/>
          <w:kern w:val="2"/>
          <w:sz w:val="24"/>
          <w:highlight w:val="none"/>
        </w:rPr>
      </w:pPr>
      <w:r>
        <w:rPr>
          <w:color w:val="auto"/>
          <w:kern w:val="2"/>
          <w:sz w:val="24"/>
          <w:highlight w:val="none"/>
        </w:rPr>
        <w:t>2</w:t>
      </w:r>
      <w:r>
        <w:rPr>
          <w:rFonts w:hint="eastAsia"/>
          <w:color w:val="auto"/>
          <w:kern w:val="2"/>
          <w:sz w:val="24"/>
          <w:highlight w:val="none"/>
        </w:rPr>
        <w:t>、</w:t>
      </w:r>
      <w:r>
        <w:rPr>
          <w:color w:val="auto"/>
          <w:kern w:val="2"/>
          <w:sz w:val="24"/>
          <w:highlight w:val="none"/>
        </w:rPr>
        <w:t>在符合国家、地方和行业的餐饮、食品卫生质量标准的前提下，有服务质量管理办法，确保菜肴食品质量的卫生可口</w:t>
      </w:r>
      <w:r>
        <w:rPr>
          <w:rFonts w:hint="eastAsia"/>
          <w:color w:val="auto"/>
          <w:kern w:val="2"/>
          <w:sz w:val="24"/>
          <w:highlight w:val="none"/>
        </w:rPr>
        <w:t>。</w:t>
      </w:r>
    </w:p>
    <w:p>
      <w:pPr>
        <w:spacing w:line="440" w:lineRule="exact"/>
        <w:ind w:firstLine="480" w:firstLineChars="200"/>
        <w:rPr>
          <w:rFonts w:hint="eastAsia"/>
          <w:color w:val="auto"/>
          <w:kern w:val="2"/>
          <w:sz w:val="24"/>
          <w:highlight w:val="none"/>
        </w:rPr>
      </w:pPr>
      <w:r>
        <w:rPr>
          <w:color w:val="auto"/>
          <w:kern w:val="2"/>
          <w:sz w:val="24"/>
          <w:highlight w:val="none"/>
        </w:rPr>
        <w:t>3</w:t>
      </w:r>
      <w:r>
        <w:rPr>
          <w:rFonts w:hint="eastAsia"/>
          <w:color w:val="auto"/>
          <w:kern w:val="2"/>
          <w:sz w:val="24"/>
          <w:highlight w:val="none"/>
        </w:rPr>
        <w:t>、</w:t>
      </w:r>
      <w:r>
        <w:rPr>
          <w:color w:val="auto"/>
          <w:kern w:val="2"/>
          <w:sz w:val="24"/>
          <w:highlight w:val="none"/>
        </w:rPr>
        <w:t>应明确各岗位的目标和责任，对生产过程和物料处理实施管理，提高工作效率，确保饮食安全，物料足量、降低餐饮成本，厉行节约，合理使用水、电、煤气等</w:t>
      </w:r>
      <w:r>
        <w:rPr>
          <w:rFonts w:hint="eastAsia"/>
          <w:color w:val="auto"/>
          <w:kern w:val="2"/>
          <w:sz w:val="24"/>
          <w:highlight w:val="none"/>
        </w:rPr>
        <w:t>。</w:t>
      </w:r>
    </w:p>
    <w:p>
      <w:pPr>
        <w:spacing w:line="440" w:lineRule="exact"/>
        <w:ind w:firstLine="480" w:firstLineChars="200"/>
        <w:rPr>
          <w:rFonts w:hint="eastAsia"/>
          <w:color w:val="auto"/>
          <w:kern w:val="2"/>
          <w:sz w:val="24"/>
          <w:highlight w:val="none"/>
        </w:rPr>
      </w:pPr>
      <w:r>
        <w:rPr>
          <w:color w:val="auto"/>
          <w:kern w:val="2"/>
          <w:sz w:val="24"/>
          <w:highlight w:val="none"/>
        </w:rPr>
        <w:t>4</w:t>
      </w:r>
      <w:r>
        <w:rPr>
          <w:rFonts w:hint="eastAsia"/>
          <w:color w:val="auto"/>
          <w:kern w:val="2"/>
          <w:sz w:val="24"/>
          <w:highlight w:val="none"/>
        </w:rPr>
        <w:t>、</w:t>
      </w:r>
      <w:r>
        <w:rPr>
          <w:color w:val="auto"/>
          <w:kern w:val="2"/>
          <w:sz w:val="24"/>
          <w:highlight w:val="none"/>
        </w:rPr>
        <w:t>检验考核:每月进行一次考核工作，对菜肴品种与口味、食品质量、服务水平、服务环境清洁卫生、各项制度执行情况等进行考核，采购人有权对考核工作进行监督，考核不符合要求的要限时进行整改</w:t>
      </w:r>
      <w:r>
        <w:rPr>
          <w:rFonts w:hint="eastAsia"/>
          <w:color w:val="auto"/>
          <w:kern w:val="2"/>
          <w:sz w:val="24"/>
          <w:highlight w:val="none"/>
        </w:rPr>
        <w:t>。</w:t>
      </w:r>
    </w:p>
    <w:p>
      <w:pPr>
        <w:spacing w:line="440" w:lineRule="exact"/>
        <w:ind w:firstLine="480" w:firstLineChars="200"/>
        <w:rPr>
          <w:rFonts w:hint="eastAsia"/>
          <w:color w:val="auto"/>
          <w:kern w:val="2"/>
          <w:sz w:val="24"/>
          <w:highlight w:val="none"/>
        </w:rPr>
      </w:pPr>
      <w:r>
        <w:rPr>
          <w:color w:val="auto"/>
          <w:kern w:val="2"/>
          <w:sz w:val="24"/>
          <w:highlight w:val="none"/>
        </w:rPr>
        <w:t>5</w:t>
      </w:r>
      <w:r>
        <w:rPr>
          <w:rFonts w:hint="eastAsia"/>
          <w:color w:val="auto"/>
          <w:kern w:val="2"/>
          <w:sz w:val="24"/>
          <w:highlight w:val="none"/>
        </w:rPr>
        <w:t>、</w:t>
      </w:r>
      <w:r>
        <w:rPr>
          <w:color w:val="auto"/>
          <w:kern w:val="2"/>
          <w:sz w:val="24"/>
          <w:highlight w:val="none"/>
        </w:rPr>
        <w:t>若合同执行期间因</w:t>
      </w:r>
      <w:r>
        <w:rPr>
          <w:rFonts w:hint="eastAsia"/>
          <w:color w:val="auto"/>
          <w:kern w:val="2"/>
          <w:sz w:val="24"/>
          <w:highlight w:val="none"/>
        </w:rPr>
        <w:t>供应商</w:t>
      </w:r>
      <w:r>
        <w:rPr>
          <w:color w:val="auto"/>
          <w:kern w:val="2"/>
          <w:sz w:val="24"/>
          <w:highlight w:val="none"/>
        </w:rPr>
        <w:t>原因，发生卫生、安全事故，造成人员伤害或财产损失的，则采购人有权在合同执行期间以无法履约为由终止合同执行，因此而产生的损失及违约责任由</w:t>
      </w:r>
      <w:r>
        <w:rPr>
          <w:rFonts w:hint="eastAsia"/>
          <w:color w:val="auto"/>
          <w:kern w:val="2"/>
          <w:sz w:val="24"/>
          <w:highlight w:val="none"/>
        </w:rPr>
        <w:t>供应商</w:t>
      </w:r>
      <w:r>
        <w:rPr>
          <w:color w:val="auto"/>
          <w:kern w:val="2"/>
          <w:sz w:val="24"/>
          <w:highlight w:val="none"/>
        </w:rPr>
        <w:t>承担</w:t>
      </w:r>
      <w:r>
        <w:rPr>
          <w:rFonts w:hint="eastAsia"/>
          <w:color w:val="auto"/>
          <w:kern w:val="2"/>
          <w:sz w:val="24"/>
          <w:highlight w:val="none"/>
        </w:rPr>
        <w:t>。</w:t>
      </w:r>
    </w:p>
    <w:p>
      <w:pPr>
        <w:spacing w:line="440" w:lineRule="exact"/>
        <w:ind w:firstLine="480" w:firstLineChars="200"/>
        <w:rPr>
          <w:rFonts w:hint="eastAsia"/>
          <w:color w:val="auto"/>
          <w:kern w:val="2"/>
          <w:sz w:val="24"/>
          <w:highlight w:val="none"/>
        </w:rPr>
      </w:pPr>
      <w:r>
        <w:rPr>
          <w:color w:val="auto"/>
          <w:kern w:val="2"/>
          <w:sz w:val="24"/>
          <w:highlight w:val="none"/>
        </w:rPr>
        <w:t>6</w:t>
      </w:r>
      <w:r>
        <w:rPr>
          <w:rFonts w:hint="eastAsia"/>
          <w:color w:val="auto"/>
          <w:kern w:val="2"/>
          <w:sz w:val="24"/>
          <w:highlight w:val="none"/>
        </w:rPr>
        <w:t>、供应商</w:t>
      </w:r>
      <w:r>
        <w:rPr>
          <w:color w:val="auto"/>
          <w:kern w:val="2"/>
          <w:sz w:val="24"/>
          <w:highlight w:val="none"/>
        </w:rPr>
        <w:t>应负责对厨房及餐厅设施、设备正常使用与管理，严格按使用规程操作。因使用不当造成损坏，由</w:t>
      </w:r>
      <w:r>
        <w:rPr>
          <w:rFonts w:hint="eastAsia"/>
          <w:color w:val="auto"/>
          <w:kern w:val="2"/>
          <w:sz w:val="24"/>
          <w:highlight w:val="none"/>
        </w:rPr>
        <w:t>供应商</w:t>
      </w:r>
      <w:r>
        <w:rPr>
          <w:color w:val="auto"/>
          <w:kern w:val="2"/>
          <w:sz w:val="24"/>
          <w:highlight w:val="none"/>
        </w:rPr>
        <w:t>负责赔偿。</w:t>
      </w:r>
      <w:r>
        <w:rPr>
          <w:rFonts w:hint="eastAsia"/>
          <w:color w:val="auto"/>
          <w:kern w:val="2"/>
          <w:sz w:val="24"/>
          <w:highlight w:val="none"/>
        </w:rPr>
        <w:t>供应商专门</w:t>
      </w:r>
      <w:r>
        <w:rPr>
          <w:color w:val="auto"/>
          <w:kern w:val="2"/>
          <w:sz w:val="24"/>
          <w:highlight w:val="none"/>
        </w:rPr>
        <w:t>为本项目购买公众责任险和</w:t>
      </w:r>
      <w:r>
        <w:rPr>
          <w:rFonts w:hint="eastAsia"/>
          <w:color w:val="auto"/>
          <w:kern w:val="2"/>
          <w:sz w:val="24"/>
          <w:highlight w:val="none"/>
        </w:rPr>
        <w:t>保险保额≥200万元</w:t>
      </w:r>
      <w:r>
        <w:rPr>
          <w:color w:val="auto"/>
          <w:kern w:val="2"/>
          <w:sz w:val="24"/>
          <w:highlight w:val="none"/>
        </w:rPr>
        <w:t>食品安全责任险</w:t>
      </w:r>
      <w:r>
        <w:rPr>
          <w:rFonts w:hint="eastAsia"/>
          <w:color w:val="auto"/>
          <w:kern w:val="2"/>
          <w:sz w:val="24"/>
          <w:highlight w:val="none"/>
        </w:rPr>
        <w:t>。</w:t>
      </w:r>
    </w:p>
    <w:p>
      <w:pPr>
        <w:spacing w:line="440" w:lineRule="exact"/>
        <w:ind w:firstLine="480" w:firstLineChars="200"/>
        <w:rPr>
          <w:rFonts w:hint="eastAsia"/>
          <w:color w:val="auto"/>
          <w:kern w:val="2"/>
          <w:sz w:val="24"/>
          <w:highlight w:val="none"/>
        </w:rPr>
      </w:pPr>
      <w:r>
        <w:rPr>
          <w:color w:val="auto"/>
          <w:kern w:val="2"/>
          <w:sz w:val="24"/>
          <w:highlight w:val="none"/>
        </w:rPr>
        <w:t>7</w:t>
      </w:r>
      <w:r>
        <w:rPr>
          <w:rFonts w:hint="eastAsia"/>
          <w:color w:val="auto"/>
          <w:kern w:val="2"/>
          <w:sz w:val="24"/>
          <w:highlight w:val="none"/>
        </w:rPr>
        <w:t>、供应商</w:t>
      </w:r>
      <w:r>
        <w:rPr>
          <w:color w:val="auto"/>
          <w:kern w:val="2"/>
          <w:sz w:val="24"/>
          <w:highlight w:val="none"/>
        </w:rPr>
        <w:t>签订合同后应按采购人的各项要求按时保质保量完成所承担事项，不得将项目分包和转让</w:t>
      </w:r>
      <w:r>
        <w:rPr>
          <w:rFonts w:hint="eastAsia"/>
          <w:color w:val="auto"/>
          <w:kern w:val="2"/>
          <w:sz w:val="24"/>
          <w:highlight w:val="none"/>
        </w:rPr>
        <w:t>。</w:t>
      </w:r>
    </w:p>
    <w:p>
      <w:pPr>
        <w:spacing w:line="440" w:lineRule="exact"/>
        <w:ind w:firstLine="480" w:firstLineChars="200"/>
        <w:rPr>
          <w:rFonts w:hint="eastAsia" w:ascii="宋体" w:hAnsi="宋体" w:cs="宋体"/>
          <w:color w:val="auto"/>
          <w:kern w:val="2"/>
          <w:sz w:val="24"/>
          <w:szCs w:val="24"/>
          <w:highlight w:val="none"/>
          <w:lang w:bidi="zh-CN"/>
        </w:rPr>
      </w:pPr>
      <w:r>
        <w:rPr>
          <w:color w:val="auto"/>
          <w:kern w:val="2"/>
          <w:sz w:val="24"/>
          <w:highlight w:val="none"/>
        </w:rPr>
        <w:t>8</w:t>
      </w:r>
      <w:r>
        <w:rPr>
          <w:rFonts w:hint="eastAsia"/>
          <w:color w:val="auto"/>
          <w:kern w:val="2"/>
          <w:sz w:val="24"/>
          <w:highlight w:val="none"/>
        </w:rPr>
        <w:t>、</w:t>
      </w:r>
      <w:r>
        <w:rPr>
          <w:rFonts w:hint="eastAsia" w:ascii="宋体" w:hAnsi="宋体" w:cs="宋体"/>
          <w:color w:val="auto"/>
          <w:kern w:val="2"/>
          <w:sz w:val="24"/>
          <w:szCs w:val="24"/>
          <w:highlight w:val="none"/>
          <w:lang w:bidi="zh-CN"/>
        </w:rPr>
        <w:t xml:space="preserve">服务人员培训与管理： 供应商定期对派驻的现场服务人员进行培训，根据现场实际情况制定各类服务人员的定期管理培训计划，培训内容符合现场实际操作需求。人员培训总体要求：制定完善的培训计划和考核制度，切实提高从业人员整体素质。 培训要求：针对餐饮服务的特点，分别提供适配其特性的培训方案。同时，应面向所有作业人员制定针对采购人特点的培训方案。 </w:t>
      </w:r>
    </w:p>
    <w:p>
      <w:pPr>
        <w:spacing w:line="440" w:lineRule="exact"/>
        <w:ind w:firstLine="480" w:firstLineChars="200"/>
        <w:rPr>
          <w:rFonts w:hint="eastAsia"/>
          <w:color w:val="auto"/>
          <w:kern w:val="2"/>
          <w:sz w:val="24"/>
          <w:highlight w:val="none"/>
        </w:rPr>
      </w:pPr>
      <w:r>
        <w:rPr>
          <w:color w:val="auto"/>
          <w:kern w:val="2"/>
          <w:sz w:val="24"/>
          <w:highlight w:val="none"/>
        </w:rPr>
        <w:t>9</w:t>
      </w:r>
      <w:r>
        <w:rPr>
          <w:rFonts w:hint="eastAsia"/>
          <w:color w:val="auto"/>
          <w:kern w:val="2"/>
          <w:sz w:val="24"/>
          <w:highlight w:val="none"/>
        </w:rPr>
        <w:t>、供应商</w:t>
      </w:r>
      <w:r>
        <w:rPr>
          <w:color w:val="auto"/>
          <w:kern w:val="2"/>
          <w:sz w:val="24"/>
          <w:highlight w:val="none"/>
        </w:rPr>
        <w:t>必须能够严格把好卫生关，注重搞好饭堂的就餐环境，能够严格做好食品储藏；做好食品加工卫生和餐具消毒等基本工作必须达到有关标准要求</w:t>
      </w:r>
      <w:r>
        <w:rPr>
          <w:rFonts w:hint="eastAsia"/>
          <w:color w:val="auto"/>
          <w:kern w:val="2"/>
          <w:sz w:val="24"/>
          <w:highlight w:val="none"/>
        </w:rPr>
        <w:t>。</w:t>
      </w:r>
    </w:p>
    <w:p>
      <w:pPr>
        <w:spacing w:line="440" w:lineRule="exact"/>
        <w:ind w:firstLine="480" w:firstLineChars="200"/>
        <w:rPr>
          <w:rFonts w:hint="eastAsia"/>
          <w:color w:val="auto"/>
          <w:kern w:val="2"/>
          <w:sz w:val="24"/>
          <w:highlight w:val="none"/>
        </w:rPr>
      </w:pPr>
      <w:r>
        <w:rPr>
          <w:color w:val="auto"/>
          <w:kern w:val="2"/>
          <w:sz w:val="24"/>
          <w:highlight w:val="none"/>
        </w:rPr>
        <w:t>10</w:t>
      </w:r>
      <w:r>
        <w:rPr>
          <w:rFonts w:hint="eastAsia"/>
          <w:color w:val="auto"/>
          <w:kern w:val="2"/>
          <w:sz w:val="24"/>
          <w:highlight w:val="none"/>
        </w:rPr>
        <w:t>、供应商</w:t>
      </w:r>
      <w:r>
        <w:rPr>
          <w:color w:val="auto"/>
          <w:kern w:val="2"/>
          <w:sz w:val="24"/>
          <w:highlight w:val="none"/>
        </w:rPr>
        <w:t>必须制定和执行食品卫生安全管理制度。一旦发生食物中毒或其他食源性疾患事故，必须立即向双方主管部门报告及采取相应的措施</w:t>
      </w:r>
      <w:r>
        <w:rPr>
          <w:rFonts w:hint="eastAsia"/>
          <w:color w:val="auto"/>
          <w:kern w:val="2"/>
          <w:sz w:val="24"/>
          <w:highlight w:val="none"/>
        </w:rPr>
        <w:t>。</w:t>
      </w:r>
    </w:p>
    <w:p>
      <w:pPr>
        <w:spacing w:line="440" w:lineRule="exact"/>
        <w:ind w:firstLine="480" w:firstLineChars="200"/>
        <w:rPr>
          <w:rFonts w:hint="eastAsia"/>
          <w:color w:val="auto"/>
          <w:kern w:val="2"/>
          <w:sz w:val="24"/>
          <w:highlight w:val="none"/>
        </w:rPr>
      </w:pPr>
      <w:r>
        <w:rPr>
          <w:color w:val="auto"/>
          <w:kern w:val="2"/>
          <w:sz w:val="24"/>
          <w:highlight w:val="none"/>
        </w:rPr>
        <w:t>1</w:t>
      </w:r>
      <w:r>
        <w:rPr>
          <w:rFonts w:hint="eastAsia"/>
          <w:color w:val="auto"/>
          <w:kern w:val="2"/>
          <w:sz w:val="24"/>
          <w:highlight w:val="none"/>
        </w:rPr>
        <w:t>1、供应商</w:t>
      </w:r>
      <w:r>
        <w:rPr>
          <w:color w:val="auto"/>
          <w:kern w:val="2"/>
          <w:sz w:val="24"/>
          <w:highlight w:val="none"/>
        </w:rPr>
        <w:t>必须接受采购人对所服务饭堂的质量、卫生和服务，进行全方位监督、检查和质量评估工作</w:t>
      </w:r>
      <w:r>
        <w:rPr>
          <w:rFonts w:hint="eastAsia"/>
          <w:color w:val="auto"/>
          <w:kern w:val="2"/>
          <w:sz w:val="24"/>
          <w:highlight w:val="none"/>
        </w:rPr>
        <w:t>。</w:t>
      </w:r>
    </w:p>
    <w:p>
      <w:pPr>
        <w:spacing w:line="440" w:lineRule="exact"/>
        <w:ind w:firstLine="480" w:firstLineChars="200"/>
        <w:rPr>
          <w:color w:val="auto"/>
          <w:kern w:val="2"/>
          <w:sz w:val="24"/>
          <w:highlight w:val="none"/>
        </w:rPr>
      </w:pPr>
      <w:r>
        <w:rPr>
          <w:color w:val="auto"/>
          <w:kern w:val="2"/>
          <w:sz w:val="24"/>
          <w:highlight w:val="none"/>
        </w:rPr>
        <w:t>1</w:t>
      </w:r>
      <w:r>
        <w:rPr>
          <w:rFonts w:hint="eastAsia"/>
          <w:color w:val="auto"/>
          <w:kern w:val="2"/>
          <w:sz w:val="24"/>
          <w:highlight w:val="none"/>
        </w:rPr>
        <w:t>2、</w:t>
      </w:r>
      <w:r>
        <w:rPr>
          <w:color w:val="auto"/>
          <w:kern w:val="2"/>
          <w:sz w:val="24"/>
          <w:highlight w:val="none"/>
        </w:rPr>
        <w:t>因卫生、安全、消防、环境、缴费等问题和其他管理问题所造成采购人的不良后果，特别是食物中毒事件，</w:t>
      </w:r>
      <w:r>
        <w:rPr>
          <w:rFonts w:hint="eastAsia"/>
          <w:color w:val="auto"/>
          <w:kern w:val="2"/>
          <w:sz w:val="24"/>
          <w:highlight w:val="none"/>
        </w:rPr>
        <w:t>供应商</w:t>
      </w:r>
      <w:r>
        <w:rPr>
          <w:color w:val="auto"/>
          <w:kern w:val="2"/>
          <w:sz w:val="24"/>
          <w:highlight w:val="none"/>
        </w:rPr>
        <w:t>应承担全部责任（包括行政、经济、刑事的处罚），采购人不负任何责任。如</w:t>
      </w:r>
      <w:r>
        <w:rPr>
          <w:rFonts w:hint="eastAsia"/>
          <w:color w:val="auto"/>
          <w:kern w:val="2"/>
          <w:sz w:val="24"/>
          <w:highlight w:val="none"/>
        </w:rPr>
        <w:t>供应商</w:t>
      </w:r>
      <w:r>
        <w:rPr>
          <w:color w:val="auto"/>
          <w:kern w:val="2"/>
          <w:sz w:val="24"/>
          <w:highlight w:val="none"/>
        </w:rPr>
        <w:t>的行为造成采购人的场地、设备等损失，</w:t>
      </w:r>
      <w:r>
        <w:rPr>
          <w:rFonts w:hint="eastAsia"/>
          <w:color w:val="auto"/>
          <w:kern w:val="2"/>
          <w:sz w:val="24"/>
          <w:highlight w:val="none"/>
        </w:rPr>
        <w:t>供应商</w:t>
      </w:r>
      <w:r>
        <w:rPr>
          <w:color w:val="auto"/>
          <w:kern w:val="2"/>
          <w:sz w:val="24"/>
          <w:highlight w:val="none"/>
        </w:rPr>
        <w:t>应予以赔偿。</w:t>
      </w:r>
    </w:p>
    <w:p>
      <w:pPr>
        <w:spacing w:line="440" w:lineRule="exact"/>
        <w:ind w:firstLine="480" w:firstLineChars="200"/>
        <w:rPr>
          <w:color w:val="auto"/>
          <w:kern w:val="2"/>
          <w:sz w:val="24"/>
          <w:highlight w:val="none"/>
        </w:rPr>
      </w:pPr>
      <w:r>
        <w:rPr>
          <w:color w:val="auto"/>
          <w:kern w:val="2"/>
          <w:sz w:val="24"/>
          <w:highlight w:val="none"/>
        </w:rPr>
        <w:t>1</w:t>
      </w:r>
      <w:r>
        <w:rPr>
          <w:rFonts w:hint="eastAsia"/>
          <w:color w:val="auto"/>
          <w:kern w:val="2"/>
          <w:sz w:val="24"/>
          <w:highlight w:val="none"/>
        </w:rPr>
        <w:t>3、供应商</w:t>
      </w:r>
      <w:r>
        <w:rPr>
          <w:color w:val="auto"/>
          <w:kern w:val="2"/>
          <w:sz w:val="24"/>
          <w:highlight w:val="none"/>
        </w:rPr>
        <w:t>必须做好服务人员的安全教育及安全措施，保证服务人员的安全，</w:t>
      </w:r>
      <w:r>
        <w:rPr>
          <w:rFonts w:hint="eastAsia"/>
          <w:color w:val="auto"/>
          <w:kern w:val="2"/>
          <w:sz w:val="24"/>
          <w:highlight w:val="none"/>
        </w:rPr>
        <w:t>供应商</w:t>
      </w:r>
      <w:r>
        <w:rPr>
          <w:color w:val="auto"/>
          <w:kern w:val="2"/>
          <w:sz w:val="24"/>
          <w:highlight w:val="none"/>
        </w:rPr>
        <w:t>服务人员在采购人饭堂服务范围内发生的事故，一切责任由</w:t>
      </w:r>
      <w:r>
        <w:rPr>
          <w:rFonts w:hint="eastAsia"/>
          <w:color w:val="auto"/>
          <w:kern w:val="2"/>
          <w:sz w:val="24"/>
          <w:highlight w:val="none"/>
        </w:rPr>
        <w:t>供应商</w:t>
      </w:r>
      <w:r>
        <w:rPr>
          <w:color w:val="auto"/>
          <w:kern w:val="2"/>
          <w:sz w:val="24"/>
          <w:highlight w:val="none"/>
        </w:rPr>
        <w:t>负责。</w:t>
      </w:r>
    </w:p>
    <w:p>
      <w:pPr>
        <w:spacing w:line="440" w:lineRule="exact"/>
        <w:ind w:firstLine="480" w:firstLineChars="200"/>
        <w:rPr>
          <w:rFonts w:hint="eastAsia" w:ascii="宋体" w:hAnsi="宋体" w:cs="宋体"/>
          <w:b/>
          <w:bCs/>
          <w:color w:val="auto"/>
          <w:kern w:val="2"/>
          <w:sz w:val="24"/>
          <w:highlight w:val="none"/>
        </w:rPr>
      </w:pPr>
      <w:r>
        <w:rPr>
          <w:color w:val="auto"/>
          <w:kern w:val="2"/>
          <w:sz w:val="24"/>
          <w:highlight w:val="none"/>
        </w:rPr>
        <w:t>1</w:t>
      </w:r>
      <w:r>
        <w:rPr>
          <w:rFonts w:hint="eastAsia"/>
          <w:color w:val="auto"/>
          <w:kern w:val="2"/>
          <w:sz w:val="24"/>
          <w:highlight w:val="none"/>
        </w:rPr>
        <w:t>4、</w:t>
      </w:r>
      <w:r>
        <w:rPr>
          <w:color w:val="auto"/>
          <w:kern w:val="2"/>
          <w:sz w:val="24"/>
          <w:highlight w:val="none"/>
        </w:rPr>
        <w:t>如遇到国家、省、市特殊情况或封闭、封控期，</w:t>
      </w:r>
      <w:r>
        <w:rPr>
          <w:rFonts w:hint="eastAsia"/>
          <w:color w:val="auto"/>
          <w:kern w:val="2"/>
          <w:sz w:val="24"/>
          <w:highlight w:val="none"/>
        </w:rPr>
        <w:t>供应商</w:t>
      </w:r>
      <w:r>
        <w:rPr>
          <w:color w:val="auto"/>
          <w:kern w:val="2"/>
          <w:sz w:val="24"/>
          <w:highlight w:val="none"/>
        </w:rPr>
        <w:t>必须接受采购人防疫要求进行防疫，配合采购人做好防疫封闭期间的供餐工作。</w:t>
      </w:r>
    </w:p>
    <w:p>
      <w:pPr>
        <w:spacing w:line="440" w:lineRule="exact"/>
        <w:ind w:firstLine="482" w:firstLineChars="200"/>
        <w:rPr>
          <w:rFonts w:hint="eastAsia" w:ascii="宋体" w:hAnsi="宋体" w:cs="宋体"/>
          <w:b/>
          <w:bCs/>
          <w:color w:val="auto"/>
          <w:kern w:val="2"/>
          <w:sz w:val="24"/>
          <w:highlight w:val="none"/>
        </w:rPr>
      </w:pPr>
      <w:r>
        <w:rPr>
          <w:rFonts w:hint="eastAsia" w:ascii="宋体" w:hAnsi="宋体" w:cs="宋体"/>
          <w:b/>
          <w:bCs/>
          <w:color w:val="auto"/>
          <w:kern w:val="2"/>
          <w:sz w:val="24"/>
          <w:highlight w:val="none"/>
        </w:rPr>
        <w:t>（八）应急处置方案</w:t>
      </w:r>
    </w:p>
    <w:p>
      <w:pPr>
        <w:spacing w:line="440" w:lineRule="exact"/>
        <w:ind w:firstLine="480" w:firstLineChars="200"/>
        <w:rPr>
          <w:rFonts w:hint="eastAsia" w:ascii="宋体" w:hAnsi="宋体" w:cs="宋体"/>
          <w:color w:val="auto"/>
          <w:kern w:val="2"/>
          <w:sz w:val="24"/>
          <w:szCs w:val="24"/>
          <w:highlight w:val="none"/>
          <w:lang w:bidi="zh-CN"/>
        </w:rPr>
      </w:pPr>
      <w:r>
        <w:rPr>
          <w:rFonts w:hint="eastAsia" w:ascii="宋体" w:hAnsi="宋体" w:cs="宋体"/>
          <w:color w:val="auto"/>
          <w:kern w:val="2"/>
          <w:sz w:val="24"/>
          <w:szCs w:val="24"/>
          <w:highlight w:val="none"/>
          <w:lang w:bidi="zh-CN"/>
        </w:rPr>
        <w:t>1、供应商需做好包括突发停水、停电情况下如何保障采购人职工就餐，突发食物中毒，水源污染、食材污染、人为破坏等突发事项的应急处理办法，制订的各项应急保障措施。</w:t>
      </w:r>
    </w:p>
    <w:p>
      <w:pPr>
        <w:spacing w:line="440" w:lineRule="exact"/>
        <w:ind w:firstLine="480" w:firstLineChars="200"/>
        <w:rPr>
          <w:rFonts w:hint="eastAsia" w:ascii="宋体" w:hAnsi="宋体" w:cs="宋体"/>
          <w:color w:val="auto"/>
          <w:kern w:val="2"/>
          <w:sz w:val="24"/>
          <w:szCs w:val="24"/>
          <w:highlight w:val="none"/>
          <w:lang w:bidi="zh-CN"/>
        </w:rPr>
      </w:pPr>
      <w:r>
        <w:rPr>
          <w:rFonts w:hint="eastAsia" w:ascii="宋体" w:hAnsi="宋体" w:cs="宋体"/>
          <w:color w:val="auto"/>
          <w:kern w:val="2"/>
          <w:sz w:val="24"/>
          <w:szCs w:val="24"/>
          <w:highlight w:val="none"/>
          <w:lang w:bidi="zh-CN"/>
        </w:rPr>
        <w:t>2、</w:t>
      </w:r>
      <w:r>
        <w:rPr>
          <w:color w:val="auto"/>
          <w:kern w:val="2"/>
          <w:sz w:val="24"/>
          <w:highlight w:val="none"/>
        </w:rPr>
        <w:t>采购人</w:t>
      </w:r>
      <w:r>
        <w:rPr>
          <w:rFonts w:hint="eastAsia"/>
          <w:color w:val="auto"/>
          <w:kern w:val="2"/>
          <w:sz w:val="24"/>
          <w:highlight w:val="none"/>
        </w:rPr>
        <w:t>有</w:t>
      </w:r>
      <w:r>
        <w:rPr>
          <w:rFonts w:hint="eastAsia" w:ascii="宋体" w:hAnsi="宋体" w:cs="宋体"/>
          <w:color w:val="auto"/>
          <w:kern w:val="2"/>
          <w:sz w:val="24"/>
          <w:szCs w:val="24"/>
          <w:highlight w:val="none"/>
          <w:lang w:bidi="zh-CN"/>
        </w:rPr>
        <w:t>临时性工作任务时，提前1小时告知供应商，供应商须及时到达项目地址，按时完成服务。</w:t>
      </w:r>
    </w:p>
    <w:p>
      <w:pPr>
        <w:spacing w:line="500" w:lineRule="exact"/>
        <w:ind w:firstLine="482" w:firstLineChars="200"/>
        <w:textAlignment w:val="center"/>
        <w:outlineLvl w:val="2"/>
        <w:rPr>
          <w:rFonts w:hint="eastAsia" w:ascii="宋体" w:hAnsi="宋体" w:cs="宋体"/>
          <w:b/>
          <w:bCs/>
          <w:color w:val="auto"/>
          <w:kern w:val="2"/>
          <w:sz w:val="24"/>
          <w:szCs w:val="24"/>
          <w:highlight w:val="none"/>
        </w:rPr>
      </w:pPr>
      <w:r>
        <w:rPr>
          <w:rFonts w:hint="eastAsia" w:ascii="宋体" w:hAnsi="宋体" w:cs="宋体"/>
          <w:b/>
          <w:bCs/>
          <w:color w:val="auto"/>
          <w:kern w:val="2"/>
          <w:sz w:val="24"/>
          <w:szCs w:val="24"/>
          <w:highlight w:val="none"/>
        </w:rPr>
        <w:t>（九）服务质量考核方案</w:t>
      </w:r>
    </w:p>
    <w:p>
      <w:pPr>
        <w:spacing w:line="48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w:t>
      </w:r>
      <w:r>
        <w:rPr>
          <w:rFonts w:hint="eastAsia" w:ascii="宋体" w:hAnsi="宋体" w:cs="宋体"/>
          <w:color w:val="auto"/>
          <w:kern w:val="2"/>
          <w:sz w:val="24"/>
          <w:szCs w:val="24"/>
          <w:highlight w:val="none"/>
          <w:lang w:val="zh-CN" w:bidi="zh-CN"/>
        </w:rPr>
        <w:t>考核与扣罚</w:t>
      </w:r>
    </w:p>
    <w:p>
      <w:pPr>
        <w:tabs>
          <w:tab w:val="left" w:pos="958"/>
        </w:tabs>
        <w:spacing w:line="480" w:lineRule="exact"/>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val="zh-CN" w:bidi="zh-CN"/>
        </w:rPr>
        <w:t>（</w:t>
      </w:r>
      <w:r>
        <w:rPr>
          <w:rFonts w:hint="eastAsia" w:ascii="宋体" w:hAnsi="宋体" w:cs="宋体"/>
          <w:color w:val="auto"/>
          <w:kern w:val="2"/>
          <w:sz w:val="24"/>
          <w:szCs w:val="24"/>
          <w:highlight w:val="none"/>
          <w:lang w:bidi="zh-CN"/>
        </w:rPr>
        <w:t>1</w:t>
      </w:r>
      <w:r>
        <w:rPr>
          <w:rFonts w:hint="eastAsia" w:ascii="宋体" w:hAnsi="宋体" w:cs="宋体"/>
          <w:color w:val="auto"/>
          <w:kern w:val="2"/>
          <w:sz w:val="24"/>
          <w:szCs w:val="24"/>
          <w:highlight w:val="none"/>
          <w:lang w:val="zh-CN" w:bidi="zh-CN"/>
        </w:rPr>
        <w:t>）采购人成立考核小组，以日常检查和专项检查的方式对饭堂服务质量进行评分，奖励与惩罚的金额均在当月服务费中体现。</w:t>
      </w:r>
    </w:p>
    <w:p>
      <w:pPr>
        <w:spacing w:line="480" w:lineRule="exact"/>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val="zh-CN" w:bidi="zh-CN"/>
        </w:rPr>
        <w:t>（</w:t>
      </w:r>
      <w:r>
        <w:rPr>
          <w:rFonts w:hint="eastAsia" w:ascii="宋体" w:hAnsi="宋体" w:cs="宋体"/>
          <w:color w:val="auto"/>
          <w:kern w:val="2"/>
          <w:sz w:val="24"/>
          <w:szCs w:val="24"/>
          <w:highlight w:val="none"/>
          <w:lang w:bidi="zh-CN"/>
        </w:rPr>
        <w:t>2</w:t>
      </w:r>
      <w:r>
        <w:rPr>
          <w:rFonts w:hint="eastAsia" w:ascii="宋体" w:hAnsi="宋体" w:cs="宋体"/>
          <w:color w:val="auto"/>
          <w:kern w:val="2"/>
          <w:sz w:val="24"/>
          <w:szCs w:val="24"/>
          <w:highlight w:val="none"/>
          <w:lang w:val="zh-CN" w:bidi="zh-CN"/>
        </w:rPr>
        <w:t>）服务费的奖罚</w:t>
      </w:r>
    </w:p>
    <w:p>
      <w:pPr>
        <w:spacing w:line="480" w:lineRule="exact"/>
        <w:ind w:firstLine="480" w:firstLineChars="200"/>
        <w:jc w:val="left"/>
        <w:rPr>
          <w:rFonts w:hint="eastAsia" w:ascii="宋体" w:hAnsi="宋体" w:cs="宋体"/>
          <w:color w:val="auto"/>
          <w:kern w:val="2"/>
          <w:sz w:val="24"/>
          <w:szCs w:val="24"/>
          <w:highlight w:val="none"/>
          <w:lang w:bidi="zh-CN"/>
        </w:rPr>
      </w:pPr>
      <w:r>
        <w:rPr>
          <w:rFonts w:hint="eastAsia" w:ascii="宋体" w:hAnsi="宋体" w:cs="宋体"/>
          <w:color w:val="auto"/>
          <w:kern w:val="2"/>
          <w:sz w:val="24"/>
          <w:szCs w:val="24"/>
          <w:highlight w:val="none"/>
          <w:lang w:bidi="zh-CN"/>
        </w:rPr>
        <w:t>每月服务费中有2000元是属于服务质量考核奖金。</w:t>
      </w:r>
    </w:p>
    <w:p>
      <w:pPr>
        <w:spacing w:line="480" w:lineRule="exact"/>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1）当月</w:t>
      </w:r>
      <w:r>
        <w:rPr>
          <w:rFonts w:hint="eastAsia" w:ascii="宋体" w:hAnsi="宋体" w:cs="宋体"/>
          <w:color w:val="auto"/>
          <w:kern w:val="2"/>
          <w:sz w:val="24"/>
          <w:szCs w:val="24"/>
          <w:highlight w:val="none"/>
          <w:lang w:val="zh-CN" w:bidi="zh-CN"/>
        </w:rPr>
        <w:t>服务质量考核结果</w:t>
      </w:r>
      <w:r>
        <w:rPr>
          <w:rFonts w:hint="eastAsia" w:ascii="宋体" w:hAnsi="宋体" w:cs="宋体"/>
          <w:color w:val="auto"/>
          <w:kern w:val="2"/>
          <w:sz w:val="24"/>
          <w:szCs w:val="24"/>
          <w:highlight w:val="none"/>
          <w:lang w:bidi="zh-CN"/>
        </w:rPr>
        <w:t>90</w:t>
      </w:r>
      <w:r>
        <w:rPr>
          <w:rFonts w:hint="eastAsia" w:ascii="宋体" w:hAnsi="宋体" w:cs="宋体"/>
          <w:color w:val="auto"/>
          <w:kern w:val="2"/>
          <w:sz w:val="24"/>
          <w:szCs w:val="24"/>
          <w:highlight w:val="none"/>
          <w:lang w:val="zh-CN" w:bidi="zh-CN"/>
        </w:rPr>
        <w:t>分（含</w:t>
      </w:r>
      <w:r>
        <w:rPr>
          <w:rFonts w:hint="eastAsia" w:ascii="宋体" w:hAnsi="宋体" w:cs="宋体"/>
          <w:color w:val="auto"/>
          <w:kern w:val="2"/>
          <w:sz w:val="24"/>
          <w:szCs w:val="24"/>
          <w:highlight w:val="none"/>
          <w:lang w:bidi="zh-CN"/>
        </w:rPr>
        <w:t>90</w:t>
      </w:r>
      <w:r>
        <w:rPr>
          <w:rFonts w:hint="eastAsia" w:ascii="宋体" w:hAnsi="宋体" w:cs="宋体"/>
          <w:color w:val="auto"/>
          <w:kern w:val="2"/>
          <w:sz w:val="24"/>
          <w:szCs w:val="24"/>
          <w:highlight w:val="none"/>
          <w:lang w:val="zh-CN" w:bidi="zh-CN"/>
        </w:rPr>
        <w:t>分）以上的为</w:t>
      </w:r>
      <w:r>
        <w:rPr>
          <w:rFonts w:hint="eastAsia" w:ascii="宋体" w:hAnsi="宋体" w:cs="宋体"/>
          <w:color w:val="auto"/>
          <w:kern w:val="2"/>
          <w:sz w:val="24"/>
          <w:szCs w:val="24"/>
          <w:highlight w:val="none"/>
          <w:lang w:bidi="zh-CN"/>
        </w:rPr>
        <w:t>考核</w:t>
      </w:r>
      <w:r>
        <w:rPr>
          <w:rFonts w:hint="eastAsia" w:ascii="宋体" w:hAnsi="宋体" w:cs="宋体"/>
          <w:color w:val="auto"/>
          <w:kern w:val="2"/>
          <w:sz w:val="24"/>
          <w:szCs w:val="24"/>
          <w:highlight w:val="none"/>
          <w:lang w:val="zh-CN" w:bidi="zh-CN"/>
        </w:rPr>
        <w:t>“优”等级，全额支付服务质量考核奖。</w:t>
      </w:r>
    </w:p>
    <w:p>
      <w:pPr>
        <w:spacing w:line="480" w:lineRule="exact"/>
        <w:ind w:left="210" w:leftChars="100" w:firstLine="240" w:firstLineChars="1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2）</w:t>
      </w:r>
      <w:r>
        <w:rPr>
          <w:rFonts w:hint="eastAsia" w:ascii="宋体" w:hAnsi="宋体" w:cs="宋体"/>
          <w:color w:val="auto"/>
          <w:kern w:val="2"/>
          <w:sz w:val="24"/>
          <w:szCs w:val="24"/>
          <w:highlight w:val="none"/>
          <w:lang w:val="zh-CN" w:bidi="zh-CN"/>
        </w:rPr>
        <w:t>服务质量考核结果</w:t>
      </w:r>
      <w:r>
        <w:rPr>
          <w:rFonts w:hint="eastAsia" w:ascii="宋体" w:hAnsi="宋体" w:cs="宋体"/>
          <w:color w:val="auto"/>
          <w:kern w:val="2"/>
          <w:sz w:val="24"/>
          <w:szCs w:val="24"/>
          <w:highlight w:val="none"/>
          <w:lang w:bidi="zh-CN"/>
        </w:rPr>
        <w:t>80-89</w:t>
      </w:r>
      <w:r>
        <w:rPr>
          <w:rFonts w:hint="eastAsia" w:ascii="宋体" w:hAnsi="宋体" w:cs="宋体"/>
          <w:color w:val="auto"/>
          <w:kern w:val="2"/>
          <w:sz w:val="24"/>
          <w:szCs w:val="24"/>
          <w:highlight w:val="none"/>
          <w:lang w:val="zh-CN" w:bidi="zh-CN"/>
        </w:rPr>
        <w:t>分（含8</w:t>
      </w:r>
      <w:r>
        <w:rPr>
          <w:rFonts w:hint="eastAsia" w:ascii="宋体" w:hAnsi="宋体" w:cs="宋体"/>
          <w:color w:val="auto"/>
          <w:kern w:val="2"/>
          <w:sz w:val="24"/>
          <w:szCs w:val="24"/>
          <w:highlight w:val="none"/>
          <w:lang w:bidi="zh-CN"/>
        </w:rPr>
        <w:t>0</w:t>
      </w:r>
      <w:r>
        <w:rPr>
          <w:rFonts w:hint="eastAsia" w:ascii="宋体" w:hAnsi="宋体" w:cs="宋体"/>
          <w:color w:val="auto"/>
          <w:kern w:val="2"/>
          <w:sz w:val="24"/>
          <w:szCs w:val="24"/>
          <w:highlight w:val="none"/>
          <w:lang w:val="zh-CN" w:bidi="zh-CN"/>
        </w:rPr>
        <w:t>分）的为</w:t>
      </w:r>
      <w:r>
        <w:rPr>
          <w:rFonts w:hint="eastAsia" w:ascii="宋体" w:hAnsi="宋体" w:cs="宋体"/>
          <w:color w:val="auto"/>
          <w:kern w:val="2"/>
          <w:sz w:val="24"/>
          <w:szCs w:val="24"/>
          <w:highlight w:val="none"/>
          <w:lang w:bidi="zh-CN"/>
        </w:rPr>
        <w:t>考核</w:t>
      </w:r>
      <w:r>
        <w:rPr>
          <w:rFonts w:hint="eastAsia" w:ascii="宋体" w:hAnsi="宋体" w:cs="宋体"/>
          <w:color w:val="auto"/>
          <w:kern w:val="2"/>
          <w:sz w:val="24"/>
          <w:szCs w:val="24"/>
          <w:highlight w:val="none"/>
          <w:lang w:val="zh-CN" w:bidi="zh-CN"/>
        </w:rPr>
        <w:t>“良”等级</w:t>
      </w:r>
      <w:r>
        <w:rPr>
          <w:rFonts w:hint="eastAsia" w:ascii="宋体" w:hAnsi="宋体" w:cs="宋体"/>
          <w:color w:val="auto"/>
          <w:kern w:val="2"/>
          <w:sz w:val="24"/>
          <w:szCs w:val="24"/>
          <w:highlight w:val="none"/>
          <w:lang w:bidi="zh-CN"/>
        </w:rPr>
        <w:t>,</w:t>
      </w:r>
      <w:r>
        <w:rPr>
          <w:rFonts w:hint="eastAsia" w:ascii="宋体" w:hAnsi="宋体" w:cs="宋体"/>
          <w:color w:val="auto"/>
          <w:kern w:val="2"/>
          <w:sz w:val="24"/>
          <w:szCs w:val="24"/>
          <w:highlight w:val="none"/>
          <w:lang w:val="zh-CN" w:bidi="zh-CN"/>
        </w:rPr>
        <w:t>支付服务质量考核奖的</w:t>
      </w:r>
      <w:r>
        <w:rPr>
          <w:rFonts w:hint="eastAsia" w:ascii="宋体" w:hAnsi="宋体" w:cs="宋体"/>
          <w:color w:val="auto"/>
          <w:kern w:val="2"/>
          <w:sz w:val="24"/>
          <w:szCs w:val="24"/>
          <w:highlight w:val="none"/>
          <w:lang w:bidi="zh-CN"/>
        </w:rPr>
        <w:t>50%。</w:t>
      </w:r>
    </w:p>
    <w:p>
      <w:pPr>
        <w:spacing w:line="480" w:lineRule="exact"/>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3）</w:t>
      </w:r>
      <w:r>
        <w:rPr>
          <w:rFonts w:hint="eastAsia" w:ascii="宋体" w:hAnsi="宋体" w:cs="宋体"/>
          <w:color w:val="auto"/>
          <w:kern w:val="2"/>
          <w:sz w:val="24"/>
          <w:szCs w:val="24"/>
          <w:highlight w:val="none"/>
          <w:lang w:val="zh-CN" w:bidi="zh-CN"/>
        </w:rPr>
        <w:t>服务质量考核结果8</w:t>
      </w:r>
      <w:r>
        <w:rPr>
          <w:rFonts w:hint="eastAsia" w:ascii="宋体" w:hAnsi="宋体" w:cs="宋体"/>
          <w:color w:val="auto"/>
          <w:kern w:val="2"/>
          <w:sz w:val="24"/>
          <w:szCs w:val="24"/>
          <w:highlight w:val="none"/>
          <w:lang w:bidi="zh-CN"/>
        </w:rPr>
        <w:t>0</w:t>
      </w:r>
      <w:r>
        <w:rPr>
          <w:rFonts w:hint="eastAsia" w:ascii="宋体" w:hAnsi="宋体" w:cs="宋体"/>
          <w:color w:val="auto"/>
          <w:kern w:val="2"/>
          <w:sz w:val="24"/>
          <w:szCs w:val="24"/>
          <w:highlight w:val="none"/>
          <w:lang w:val="zh-CN" w:bidi="zh-CN"/>
        </w:rPr>
        <w:t>分以下60分（含</w:t>
      </w:r>
      <w:r>
        <w:rPr>
          <w:rFonts w:hint="eastAsia" w:ascii="宋体" w:hAnsi="宋体" w:cs="宋体"/>
          <w:color w:val="auto"/>
          <w:kern w:val="2"/>
          <w:sz w:val="24"/>
          <w:szCs w:val="24"/>
          <w:highlight w:val="none"/>
          <w:lang w:bidi="zh-CN"/>
        </w:rPr>
        <w:t>60</w:t>
      </w:r>
      <w:r>
        <w:rPr>
          <w:rFonts w:hint="eastAsia" w:ascii="宋体" w:hAnsi="宋体" w:cs="宋体"/>
          <w:color w:val="auto"/>
          <w:kern w:val="2"/>
          <w:sz w:val="24"/>
          <w:szCs w:val="24"/>
          <w:highlight w:val="none"/>
          <w:lang w:val="zh-CN" w:bidi="zh-CN"/>
        </w:rPr>
        <w:t>分）以上的为考核“一般”等级，全额扣罚服务质量考核奖，</w:t>
      </w:r>
      <w:r>
        <w:rPr>
          <w:rFonts w:hint="eastAsia" w:ascii="宋体" w:hAnsi="宋体" w:cs="宋体"/>
          <w:color w:val="auto"/>
          <w:kern w:val="2"/>
          <w:sz w:val="24"/>
          <w:szCs w:val="24"/>
          <w:highlight w:val="none"/>
          <w:lang w:bidi="zh-CN"/>
        </w:rPr>
        <w:t>其中：</w:t>
      </w:r>
      <w:r>
        <w:rPr>
          <w:rFonts w:hint="eastAsia" w:ascii="宋体" w:hAnsi="宋体" w:cs="宋体"/>
          <w:color w:val="auto"/>
          <w:kern w:val="2"/>
          <w:sz w:val="24"/>
          <w:szCs w:val="24"/>
          <w:highlight w:val="none"/>
          <w:lang w:val="zh-CN" w:bidi="zh-CN"/>
        </w:rPr>
        <w:t>服务质量考核结果</w:t>
      </w:r>
      <w:r>
        <w:rPr>
          <w:rFonts w:hint="eastAsia" w:ascii="宋体" w:hAnsi="宋体" w:cs="宋体"/>
          <w:color w:val="auto"/>
          <w:kern w:val="2"/>
          <w:sz w:val="24"/>
          <w:szCs w:val="24"/>
          <w:highlight w:val="none"/>
          <w:lang w:bidi="zh-CN"/>
        </w:rPr>
        <w:t>70-79</w:t>
      </w:r>
      <w:r>
        <w:rPr>
          <w:rFonts w:hint="eastAsia" w:ascii="宋体" w:hAnsi="宋体" w:cs="宋体"/>
          <w:color w:val="auto"/>
          <w:kern w:val="2"/>
          <w:sz w:val="24"/>
          <w:szCs w:val="24"/>
          <w:highlight w:val="none"/>
          <w:lang w:val="zh-CN" w:bidi="zh-CN"/>
        </w:rPr>
        <w:t>分，全额扣罚服务质量考核奖；服务质量考核结果</w:t>
      </w:r>
      <w:r>
        <w:rPr>
          <w:rFonts w:hint="eastAsia" w:ascii="宋体" w:hAnsi="宋体" w:cs="宋体"/>
          <w:color w:val="auto"/>
          <w:kern w:val="2"/>
          <w:sz w:val="24"/>
          <w:szCs w:val="24"/>
          <w:highlight w:val="none"/>
          <w:lang w:bidi="zh-CN"/>
        </w:rPr>
        <w:t>60-69</w:t>
      </w:r>
      <w:r>
        <w:rPr>
          <w:rFonts w:hint="eastAsia" w:ascii="宋体" w:hAnsi="宋体" w:cs="宋体"/>
          <w:color w:val="auto"/>
          <w:kern w:val="2"/>
          <w:sz w:val="24"/>
          <w:szCs w:val="24"/>
          <w:highlight w:val="none"/>
          <w:lang w:val="zh-CN" w:bidi="zh-CN"/>
        </w:rPr>
        <w:t>分，全额扣罚服务质量考核奖，并从当月服务费中再扣罚</w:t>
      </w:r>
      <w:r>
        <w:rPr>
          <w:rFonts w:hint="eastAsia" w:ascii="宋体" w:hAnsi="宋体" w:cs="宋体"/>
          <w:color w:val="auto"/>
          <w:kern w:val="2"/>
          <w:sz w:val="24"/>
          <w:szCs w:val="24"/>
          <w:highlight w:val="none"/>
          <w:lang w:bidi="zh-CN"/>
        </w:rPr>
        <w:t>10000元。</w:t>
      </w:r>
    </w:p>
    <w:p>
      <w:pPr>
        <w:spacing w:line="480" w:lineRule="exact"/>
        <w:ind w:firstLine="480" w:firstLineChars="200"/>
        <w:jc w:val="left"/>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4）</w:t>
      </w:r>
      <w:r>
        <w:rPr>
          <w:rFonts w:hint="eastAsia" w:ascii="宋体" w:hAnsi="宋体" w:cs="宋体"/>
          <w:color w:val="auto"/>
          <w:kern w:val="2"/>
          <w:sz w:val="24"/>
          <w:szCs w:val="24"/>
          <w:highlight w:val="none"/>
          <w:lang w:val="zh-CN" w:bidi="zh-CN"/>
        </w:rPr>
        <w:t>服务质量考核结果60分以下为考核不合格，全额扣罚服务质量考核奖，并从当月服务费中再扣罚</w:t>
      </w:r>
      <w:r>
        <w:rPr>
          <w:rFonts w:hint="eastAsia" w:ascii="宋体" w:hAnsi="宋体" w:cs="宋体"/>
          <w:color w:val="auto"/>
          <w:kern w:val="2"/>
          <w:sz w:val="24"/>
          <w:szCs w:val="24"/>
          <w:highlight w:val="none"/>
          <w:lang w:bidi="zh-CN"/>
        </w:rPr>
        <w:t>20000元。</w:t>
      </w:r>
    </w:p>
    <w:p>
      <w:pPr>
        <w:tabs>
          <w:tab w:val="left" w:pos="1001"/>
        </w:tabs>
        <w:spacing w:line="48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val="zh-CN" w:bidi="zh-CN"/>
        </w:rPr>
        <w:t>（</w:t>
      </w:r>
      <w:r>
        <w:rPr>
          <w:rFonts w:hint="eastAsia" w:ascii="宋体" w:hAnsi="宋体" w:cs="宋体"/>
          <w:color w:val="auto"/>
          <w:kern w:val="2"/>
          <w:sz w:val="24"/>
          <w:szCs w:val="24"/>
          <w:highlight w:val="none"/>
          <w:lang w:bidi="zh-CN"/>
        </w:rPr>
        <w:t>3</w:t>
      </w:r>
      <w:r>
        <w:rPr>
          <w:rFonts w:hint="eastAsia" w:ascii="宋体" w:hAnsi="宋体" w:cs="宋体"/>
          <w:color w:val="auto"/>
          <w:kern w:val="2"/>
          <w:sz w:val="24"/>
          <w:szCs w:val="24"/>
          <w:highlight w:val="none"/>
          <w:lang w:val="zh-CN" w:bidi="zh-CN"/>
        </w:rPr>
        <w:t>）</w:t>
      </w:r>
      <w:r>
        <w:rPr>
          <w:rFonts w:hint="eastAsia" w:ascii="宋体" w:hAnsi="宋体" w:cs="宋体"/>
          <w:color w:val="auto"/>
          <w:kern w:val="2"/>
          <w:sz w:val="24"/>
          <w:szCs w:val="24"/>
          <w:highlight w:val="none"/>
          <w:lang w:val="zh-CN" w:bidi="zh-CN"/>
        </w:rPr>
        <w:tab/>
      </w:r>
      <w:r>
        <w:rPr>
          <w:rFonts w:hint="eastAsia" w:ascii="宋体" w:hAnsi="宋体" w:cs="宋体"/>
          <w:color w:val="auto"/>
          <w:kern w:val="2"/>
          <w:sz w:val="24"/>
          <w:szCs w:val="24"/>
          <w:highlight w:val="none"/>
          <w:lang w:val="zh-CN" w:bidi="zh-CN"/>
        </w:rPr>
        <w:t>考核细则</w:t>
      </w:r>
    </w:p>
    <w:p>
      <w:pPr>
        <w:spacing w:line="48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val="zh-CN" w:bidi="zh-CN"/>
        </w:rPr>
        <w:t>实行每月百分制考核，总分为100分。供应商在服务期间出现服务内容未按合同或约定落实的，按项目和次数对照以下标准进行扣分：</w:t>
      </w:r>
    </w:p>
    <w:p>
      <w:pPr>
        <w:tabs>
          <w:tab w:val="left" w:pos="700"/>
        </w:tabs>
        <w:spacing w:line="48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w:t>
      </w:r>
      <w:r>
        <w:rPr>
          <w:rFonts w:hint="eastAsia" w:ascii="宋体" w:hAnsi="宋体" w:cs="宋体"/>
          <w:color w:val="auto"/>
          <w:kern w:val="2"/>
          <w:sz w:val="24"/>
          <w:szCs w:val="24"/>
          <w:highlight w:val="none"/>
          <w:lang w:val="zh-CN" w:bidi="zh-CN"/>
        </w:rPr>
        <w:t>未按采购人认可菜谱提供膳食的每次扣2分。</w:t>
      </w:r>
    </w:p>
    <w:p>
      <w:pPr>
        <w:spacing w:line="480" w:lineRule="exact"/>
        <w:ind w:firstLine="480" w:firstLineChars="200"/>
        <w:rPr>
          <w:rFonts w:hint="eastAsia" w:ascii="宋体" w:hAnsi="宋体" w:cs="宋体"/>
          <w:color w:val="auto"/>
          <w:kern w:val="2"/>
          <w:sz w:val="24"/>
          <w:szCs w:val="24"/>
          <w:highlight w:val="none"/>
          <w:lang w:val="zh-CN" w:bidi="zh-CN"/>
        </w:rPr>
      </w:pPr>
      <w:r>
        <w:rPr>
          <w:rFonts w:hint="eastAsia" w:ascii="宋体" w:hAnsi="宋体" w:cs="宋体"/>
          <w:color w:val="auto"/>
          <w:kern w:val="2"/>
          <w:sz w:val="24"/>
          <w:szCs w:val="24"/>
          <w:highlight w:val="none"/>
          <w:lang w:bidi="zh-CN"/>
        </w:rPr>
        <w:t>2）</w:t>
      </w:r>
      <w:r>
        <w:rPr>
          <w:rFonts w:hint="eastAsia" w:ascii="宋体" w:hAnsi="宋体" w:cs="宋体"/>
          <w:color w:val="auto"/>
          <w:kern w:val="2"/>
          <w:sz w:val="24"/>
          <w:szCs w:val="24"/>
          <w:highlight w:val="none"/>
          <w:lang w:val="zh-CN" w:bidi="zh-CN"/>
        </w:rPr>
        <w:t>按时供应膳食，延期15分钟以上的每次扣1分，超过30分钟的每次扣2分。</w:t>
      </w:r>
    </w:p>
    <w:p>
      <w:pPr>
        <w:spacing w:line="48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3）</w:t>
      </w:r>
      <w:r>
        <w:rPr>
          <w:rFonts w:hint="eastAsia" w:ascii="宋体" w:hAnsi="宋体" w:cs="宋体"/>
          <w:color w:val="auto"/>
          <w:kern w:val="2"/>
          <w:sz w:val="24"/>
          <w:szCs w:val="24"/>
          <w:highlight w:val="none"/>
          <w:lang w:val="zh-CN" w:bidi="zh-CN"/>
        </w:rPr>
        <w:t>食品未清洗干净存有沙粒的每次扣1份，出现污泥、毛发、线条、塑料等不合理杂物的每次扣2分，出现蟑螂、苍蝇等每次扣5分。</w:t>
      </w:r>
    </w:p>
    <w:p>
      <w:pPr>
        <w:tabs>
          <w:tab w:val="left" w:pos="710"/>
        </w:tabs>
        <w:spacing w:line="48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4）</w:t>
      </w:r>
      <w:r>
        <w:rPr>
          <w:rFonts w:hint="eastAsia" w:ascii="宋体" w:hAnsi="宋体" w:cs="宋体"/>
          <w:color w:val="auto"/>
          <w:kern w:val="2"/>
          <w:sz w:val="24"/>
          <w:szCs w:val="24"/>
          <w:highlight w:val="none"/>
          <w:lang w:val="zh-CN" w:bidi="zh-CN"/>
        </w:rPr>
        <w:t>未按规定烹饪食物，出现烹饪食物未熟的每次扣2分。</w:t>
      </w:r>
    </w:p>
    <w:p>
      <w:pPr>
        <w:tabs>
          <w:tab w:val="left" w:pos="710"/>
        </w:tabs>
        <w:spacing w:line="48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5）</w:t>
      </w:r>
      <w:r>
        <w:rPr>
          <w:rFonts w:hint="eastAsia" w:ascii="宋体" w:hAnsi="宋体" w:cs="宋体"/>
          <w:color w:val="auto"/>
          <w:kern w:val="2"/>
          <w:sz w:val="24"/>
          <w:szCs w:val="24"/>
          <w:highlight w:val="none"/>
          <w:lang w:val="zh-CN" w:bidi="zh-CN"/>
        </w:rPr>
        <w:t>提供腐烂、变质、异味食物的每次扣5分。</w:t>
      </w:r>
    </w:p>
    <w:p>
      <w:pPr>
        <w:tabs>
          <w:tab w:val="left" w:pos="710"/>
        </w:tabs>
        <w:spacing w:line="48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6）</w:t>
      </w:r>
      <w:r>
        <w:rPr>
          <w:rFonts w:hint="eastAsia" w:ascii="宋体" w:hAnsi="宋体" w:cs="宋体"/>
          <w:color w:val="auto"/>
          <w:kern w:val="2"/>
          <w:sz w:val="24"/>
          <w:szCs w:val="24"/>
          <w:highlight w:val="none"/>
          <w:lang w:val="zh-CN" w:bidi="zh-CN"/>
        </w:rPr>
        <w:t>新鲜的蔬菜未按一洗二浸三烫四炒的顺序操作，未进行除农药残余处理的每次扣5分。</w:t>
      </w:r>
    </w:p>
    <w:p>
      <w:pPr>
        <w:tabs>
          <w:tab w:val="left" w:pos="710"/>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7）</w:t>
      </w:r>
      <w:r>
        <w:rPr>
          <w:rFonts w:hint="eastAsia" w:ascii="宋体" w:hAnsi="宋体" w:cs="宋体"/>
          <w:color w:val="auto"/>
          <w:kern w:val="2"/>
          <w:sz w:val="24"/>
          <w:szCs w:val="24"/>
          <w:highlight w:val="none"/>
          <w:lang w:val="zh-CN" w:bidi="zh-CN"/>
        </w:rPr>
        <w:t>未按动物性食品、植物性食品分池清洗要求的每次扣2分。</w:t>
      </w:r>
    </w:p>
    <w:p>
      <w:pPr>
        <w:tabs>
          <w:tab w:val="left" w:pos="710"/>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8）</w:t>
      </w:r>
      <w:r>
        <w:rPr>
          <w:rFonts w:hint="eastAsia" w:ascii="宋体" w:hAnsi="宋体" w:cs="宋体"/>
          <w:color w:val="auto"/>
          <w:kern w:val="2"/>
          <w:sz w:val="24"/>
          <w:szCs w:val="24"/>
          <w:highlight w:val="none"/>
          <w:lang w:val="zh-CN" w:bidi="zh-CN"/>
        </w:rPr>
        <w:t>未按规定进行食品留样或未按规定做好留样记录的每次扣2分。</w:t>
      </w:r>
    </w:p>
    <w:p>
      <w:pPr>
        <w:tabs>
          <w:tab w:val="left" w:pos="810"/>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9）</w:t>
      </w:r>
      <w:r>
        <w:rPr>
          <w:rFonts w:hint="eastAsia" w:ascii="宋体" w:hAnsi="宋体" w:cs="宋体"/>
          <w:color w:val="auto"/>
          <w:kern w:val="2"/>
          <w:sz w:val="24"/>
          <w:szCs w:val="24"/>
          <w:highlight w:val="none"/>
          <w:lang w:val="zh-CN" w:bidi="zh-CN"/>
        </w:rPr>
        <w:t>未按食品贮存要求分开存放生、熟食品的每次扣2分。</w:t>
      </w:r>
    </w:p>
    <w:p>
      <w:pPr>
        <w:tabs>
          <w:tab w:val="left" w:pos="776"/>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10）</w:t>
      </w:r>
      <w:r>
        <w:rPr>
          <w:rFonts w:hint="eastAsia" w:ascii="宋体" w:hAnsi="宋体" w:cs="宋体"/>
          <w:color w:val="auto"/>
          <w:kern w:val="2"/>
          <w:sz w:val="24"/>
          <w:szCs w:val="24"/>
          <w:highlight w:val="none"/>
          <w:lang w:val="zh-CN" w:bidi="zh-CN"/>
        </w:rPr>
        <w:t>未按要求对餐具进行定期去渍、定时消毒或未按消毒要求进行消毒操作的每次扣2分；提供给就餐人员使用的餐具中出现饭菜残羹、灰尘、毛发、油渍等垃圾物的每次扣1分，情况严重的每次扣2 分。</w:t>
      </w:r>
    </w:p>
    <w:p>
      <w:pPr>
        <w:tabs>
          <w:tab w:val="left" w:pos="781"/>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11）</w:t>
      </w:r>
      <w:r>
        <w:rPr>
          <w:rFonts w:hint="eastAsia" w:ascii="宋体" w:hAnsi="宋体" w:cs="宋体"/>
          <w:color w:val="auto"/>
          <w:kern w:val="2"/>
          <w:sz w:val="24"/>
          <w:szCs w:val="24"/>
          <w:highlight w:val="none"/>
          <w:lang w:val="zh-CN" w:bidi="zh-CN"/>
        </w:rPr>
        <w:t>未按要求对厨房室内外环境、用具以及厨房通风排烟设施进行清洁的每次扣2分；未对冰箱进行定期清理或未按要求在冰箱内分类存放 食物的每次扣1分。</w:t>
      </w:r>
    </w:p>
    <w:p>
      <w:pPr>
        <w:tabs>
          <w:tab w:val="left" w:pos="810"/>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12）</w:t>
      </w:r>
      <w:r>
        <w:rPr>
          <w:rFonts w:hint="eastAsia" w:ascii="宋体" w:hAnsi="宋体" w:cs="宋体"/>
          <w:color w:val="auto"/>
          <w:kern w:val="2"/>
          <w:sz w:val="24"/>
          <w:szCs w:val="24"/>
          <w:highlight w:val="none"/>
          <w:lang w:val="zh-CN" w:bidi="zh-CN"/>
        </w:rPr>
        <w:t>未及时清理就餐大厅餐桌卫生，超过20分钟的每次扣1分。</w:t>
      </w:r>
    </w:p>
    <w:p>
      <w:pPr>
        <w:tabs>
          <w:tab w:val="left" w:pos="810"/>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13）</w:t>
      </w:r>
      <w:r>
        <w:rPr>
          <w:rFonts w:hint="eastAsia" w:ascii="宋体" w:hAnsi="宋体" w:cs="宋体"/>
          <w:color w:val="auto"/>
          <w:kern w:val="2"/>
          <w:sz w:val="24"/>
          <w:szCs w:val="24"/>
          <w:highlight w:val="none"/>
          <w:lang w:val="zh-CN" w:bidi="zh-CN"/>
        </w:rPr>
        <w:t>未完成饭堂门前卫生“三包”要求，未按要求对厨房内外环境进行消毒或未按要求开展除蚊、蝇、蟑螂、老鼠的每次扣2分。</w:t>
      </w:r>
    </w:p>
    <w:p>
      <w:pPr>
        <w:tabs>
          <w:tab w:val="left" w:pos="810"/>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14）</w:t>
      </w:r>
      <w:r>
        <w:rPr>
          <w:rFonts w:hint="eastAsia" w:ascii="宋体" w:hAnsi="宋体" w:cs="宋体"/>
          <w:color w:val="auto"/>
          <w:kern w:val="2"/>
          <w:sz w:val="24"/>
          <w:szCs w:val="24"/>
          <w:highlight w:val="none"/>
          <w:lang w:val="zh-CN" w:bidi="zh-CN"/>
        </w:rPr>
        <w:t>服务人员出现着装、个人卫生问题或未按卫生要求进行服务的每次扣1分。</w:t>
      </w:r>
    </w:p>
    <w:p>
      <w:pPr>
        <w:tabs>
          <w:tab w:val="left" w:pos="810"/>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15）</w:t>
      </w:r>
      <w:r>
        <w:rPr>
          <w:rFonts w:hint="eastAsia" w:ascii="宋体" w:hAnsi="宋体" w:cs="宋体"/>
          <w:color w:val="auto"/>
          <w:kern w:val="2"/>
          <w:sz w:val="24"/>
          <w:szCs w:val="24"/>
          <w:highlight w:val="none"/>
          <w:lang w:val="zh-CN" w:bidi="zh-CN"/>
        </w:rPr>
        <w:t>服务人员在服务过程中从事与服务无关事项或不使用文明用语的每次扣1分，服务态度恶劣的每次扣2分。</w:t>
      </w:r>
    </w:p>
    <w:p>
      <w:pPr>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16）</w:t>
      </w:r>
      <w:r>
        <w:rPr>
          <w:rFonts w:hint="eastAsia" w:ascii="宋体" w:hAnsi="宋体" w:cs="宋体"/>
          <w:color w:val="auto"/>
          <w:kern w:val="2"/>
          <w:sz w:val="24"/>
          <w:szCs w:val="24"/>
          <w:highlight w:val="none"/>
          <w:lang w:val="zh-CN" w:bidi="zh-CN"/>
        </w:rPr>
        <w:t>服务人员未按要求进行卫生体检，无上岗证（健康证）或上岗证过期的、违反采购人防疫管理要求的，每人次扣10分。</w:t>
      </w:r>
    </w:p>
    <w:p>
      <w:pPr>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17）饭</w:t>
      </w:r>
      <w:r>
        <w:rPr>
          <w:rFonts w:hint="eastAsia" w:ascii="宋体" w:hAnsi="宋体" w:cs="宋体"/>
          <w:color w:val="auto"/>
          <w:kern w:val="2"/>
          <w:sz w:val="24"/>
          <w:szCs w:val="24"/>
          <w:highlight w:val="none"/>
          <w:lang w:val="zh-CN" w:bidi="zh-CN"/>
        </w:rPr>
        <w:t>堂意见收集本上每月负面意见达到5条（含5条）以上的扣1分；网络、媒体出现反映</w:t>
      </w:r>
      <w:r>
        <w:rPr>
          <w:rFonts w:hint="eastAsia" w:ascii="宋体" w:hAnsi="宋体" w:cs="宋体"/>
          <w:color w:val="auto"/>
          <w:kern w:val="2"/>
          <w:sz w:val="24"/>
          <w:szCs w:val="24"/>
          <w:highlight w:val="none"/>
          <w:lang w:bidi="zh-CN"/>
        </w:rPr>
        <w:t>饭</w:t>
      </w:r>
      <w:r>
        <w:rPr>
          <w:rFonts w:hint="eastAsia" w:ascii="宋体" w:hAnsi="宋体" w:cs="宋体"/>
          <w:color w:val="auto"/>
          <w:kern w:val="2"/>
          <w:sz w:val="24"/>
          <w:szCs w:val="24"/>
          <w:highlight w:val="none"/>
          <w:lang w:val="zh-CN" w:bidi="zh-CN"/>
        </w:rPr>
        <w:t>堂负面信息经査属实的每条扣3分，造成恶劣影响的扣5分，影响特别恶劣的，视同供应商违约，采购人有权终止合同，且无需支付供应商一切损失。</w:t>
      </w:r>
    </w:p>
    <w:p>
      <w:pPr>
        <w:tabs>
          <w:tab w:val="left" w:pos="757"/>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18）</w:t>
      </w:r>
      <w:r>
        <w:rPr>
          <w:rFonts w:hint="eastAsia" w:ascii="宋体" w:hAnsi="宋体" w:cs="宋体"/>
          <w:color w:val="auto"/>
          <w:kern w:val="2"/>
          <w:sz w:val="24"/>
          <w:szCs w:val="24"/>
          <w:highlight w:val="none"/>
          <w:lang w:val="zh-CN" w:bidi="zh-CN"/>
        </w:rPr>
        <w:t>未对服务人员进行教育培训，服务人员未按要求进行原材料领取査验、加工操作或未按食品烹饪的各个环节要求操作的每次扣1分，属采购人组织专项检査过程中发现的每次扣3分。</w:t>
      </w:r>
    </w:p>
    <w:p>
      <w:pPr>
        <w:tabs>
          <w:tab w:val="left" w:pos="815"/>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19）</w:t>
      </w:r>
      <w:r>
        <w:rPr>
          <w:rFonts w:hint="eastAsia" w:ascii="宋体" w:hAnsi="宋体" w:cs="宋体"/>
          <w:color w:val="auto"/>
          <w:kern w:val="2"/>
          <w:sz w:val="24"/>
          <w:szCs w:val="24"/>
          <w:highlight w:val="none"/>
          <w:lang w:val="zh-CN" w:bidi="zh-CN"/>
        </w:rPr>
        <w:t>未按要求进行台账登记或台账登记不规范的每次扣1分，台账登记造假的每次扣2分。</w:t>
      </w:r>
    </w:p>
    <w:p>
      <w:pPr>
        <w:tabs>
          <w:tab w:val="left" w:pos="815"/>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20）</w:t>
      </w:r>
      <w:r>
        <w:rPr>
          <w:rFonts w:hint="eastAsia" w:ascii="宋体" w:hAnsi="宋体" w:cs="宋体"/>
          <w:color w:val="auto"/>
          <w:kern w:val="2"/>
          <w:sz w:val="24"/>
          <w:szCs w:val="24"/>
          <w:highlight w:val="none"/>
          <w:lang w:val="zh-CN" w:bidi="zh-CN"/>
        </w:rPr>
        <w:t>未按要求对人员监督栏、从业人员健康证、就餐大厅检査表、餐具洗消记录、菜品等公示的每次扣1分。</w:t>
      </w:r>
    </w:p>
    <w:p>
      <w:pPr>
        <w:tabs>
          <w:tab w:val="left" w:pos="815"/>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21）</w:t>
      </w:r>
      <w:r>
        <w:rPr>
          <w:rFonts w:hint="eastAsia" w:ascii="宋体" w:hAnsi="宋体" w:cs="宋体"/>
          <w:color w:val="auto"/>
          <w:kern w:val="2"/>
          <w:sz w:val="24"/>
          <w:szCs w:val="24"/>
          <w:highlight w:val="none"/>
          <w:lang w:val="zh-CN" w:bidi="zh-CN"/>
        </w:rPr>
        <w:t>未按要求制定相应消防安全管理制度或未安排消防安全员的扣2分，消防安全员未落实消防安全要求的每次扣1分。</w:t>
      </w:r>
    </w:p>
    <w:p>
      <w:pPr>
        <w:tabs>
          <w:tab w:val="left" w:pos="815"/>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22）</w:t>
      </w:r>
      <w:r>
        <w:rPr>
          <w:rFonts w:hint="eastAsia" w:ascii="宋体" w:hAnsi="宋体" w:cs="宋体"/>
          <w:color w:val="auto"/>
          <w:kern w:val="2"/>
          <w:sz w:val="24"/>
          <w:szCs w:val="24"/>
          <w:highlight w:val="none"/>
          <w:lang w:val="zh-CN" w:bidi="zh-CN"/>
        </w:rPr>
        <w:t>出现供应商利用采购人场地及设备制作食物向外部销售的每次扣40分。</w:t>
      </w:r>
    </w:p>
    <w:p>
      <w:pPr>
        <w:tabs>
          <w:tab w:val="left" w:pos="815"/>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23）</w:t>
      </w:r>
      <w:r>
        <w:rPr>
          <w:rFonts w:hint="eastAsia" w:ascii="宋体" w:hAnsi="宋体" w:cs="宋体"/>
          <w:color w:val="auto"/>
          <w:kern w:val="2"/>
          <w:sz w:val="24"/>
          <w:szCs w:val="24"/>
          <w:highlight w:val="none"/>
          <w:lang w:val="zh-CN" w:bidi="zh-CN"/>
        </w:rPr>
        <w:t>出现供应商工作人员未经许可对外泄露采购人工作秘密的每次扣10分，造成恶劣影响的扣40分。</w:t>
      </w:r>
    </w:p>
    <w:p>
      <w:pPr>
        <w:tabs>
          <w:tab w:val="left" w:pos="815"/>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24）</w:t>
      </w:r>
      <w:r>
        <w:rPr>
          <w:rFonts w:hint="eastAsia" w:ascii="宋体" w:hAnsi="宋体" w:cs="宋体"/>
          <w:color w:val="auto"/>
          <w:kern w:val="2"/>
          <w:sz w:val="24"/>
          <w:szCs w:val="24"/>
          <w:highlight w:val="none"/>
          <w:lang w:val="zh-CN" w:bidi="zh-CN"/>
        </w:rPr>
        <w:t>发现服务人员私带食品或食品原材料离开</w:t>
      </w:r>
      <w:r>
        <w:rPr>
          <w:rFonts w:hint="eastAsia" w:ascii="宋体" w:hAnsi="宋体" w:cs="宋体"/>
          <w:color w:val="auto"/>
          <w:kern w:val="2"/>
          <w:sz w:val="24"/>
          <w:szCs w:val="24"/>
          <w:highlight w:val="none"/>
          <w:lang w:bidi="zh-CN"/>
        </w:rPr>
        <w:t>饭</w:t>
      </w:r>
      <w:r>
        <w:rPr>
          <w:rFonts w:hint="eastAsia" w:ascii="宋体" w:hAnsi="宋体" w:cs="宋体"/>
          <w:color w:val="auto"/>
          <w:kern w:val="2"/>
          <w:sz w:val="24"/>
          <w:szCs w:val="24"/>
          <w:highlight w:val="none"/>
          <w:lang w:val="zh-CN" w:bidi="zh-CN"/>
        </w:rPr>
        <w:t>堂范围的每次扣40分。</w:t>
      </w:r>
    </w:p>
    <w:p>
      <w:pPr>
        <w:tabs>
          <w:tab w:val="left" w:pos="815"/>
        </w:tabs>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25）</w:t>
      </w:r>
      <w:r>
        <w:rPr>
          <w:rFonts w:hint="eastAsia" w:ascii="宋体" w:hAnsi="宋体" w:cs="宋体"/>
          <w:color w:val="auto"/>
          <w:kern w:val="2"/>
          <w:sz w:val="24"/>
          <w:szCs w:val="24"/>
          <w:highlight w:val="none"/>
          <w:lang w:val="zh-CN" w:bidi="zh-CN"/>
        </w:rPr>
        <w:t>服务人员未按采购人和相关规则要求操作，不服从采购人和相关规则工作安排的每次扣2分，服务过程中出现徇私舞弊的每次扣5分。</w:t>
      </w:r>
    </w:p>
    <w:p>
      <w:pPr>
        <w:spacing w:line="480" w:lineRule="exact"/>
        <w:ind w:firstLine="480" w:firstLineChars="200"/>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bidi="zh-CN"/>
        </w:rPr>
        <w:t>26）</w:t>
      </w:r>
      <w:r>
        <w:rPr>
          <w:rFonts w:hint="eastAsia" w:ascii="宋体" w:hAnsi="宋体" w:cs="宋体"/>
          <w:color w:val="auto"/>
          <w:kern w:val="2"/>
          <w:sz w:val="24"/>
          <w:szCs w:val="24"/>
          <w:highlight w:val="none"/>
          <w:lang w:val="zh-CN" w:bidi="zh-CN"/>
        </w:rPr>
        <w:t>如因食品烹饪不当、食材存放不当、器具消毒保洁不到位等原因造成食品安全事故的，一次扣40分。取消供应商承包资格，供应商赔偿由于事故造成的一切损失。</w:t>
      </w:r>
    </w:p>
    <w:p>
      <w:pPr>
        <w:spacing w:line="480" w:lineRule="exact"/>
        <w:ind w:firstLine="480" w:firstLineChars="200"/>
        <w:jc w:val="left"/>
        <w:rPr>
          <w:rFonts w:hint="eastAsia" w:ascii="宋体" w:hAnsi="宋体" w:cs="宋体"/>
          <w:b/>
          <w:bCs/>
          <w:color w:val="auto"/>
          <w:kern w:val="2"/>
          <w:sz w:val="16"/>
          <w:szCs w:val="16"/>
          <w:highlight w:val="none"/>
        </w:rPr>
      </w:pPr>
      <w:r>
        <w:rPr>
          <w:rFonts w:hint="eastAsia" w:ascii="宋体" w:hAnsi="宋体" w:cs="宋体"/>
          <w:color w:val="auto"/>
          <w:kern w:val="2"/>
          <w:sz w:val="24"/>
          <w:szCs w:val="24"/>
          <w:highlight w:val="none"/>
          <w:lang w:bidi="zh-CN"/>
        </w:rPr>
        <w:t>2、</w:t>
      </w:r>
      <w:r>
        <w:rPr>
          <w:rFonts w:hint="eastAsia" w:ascii="宋体" w:hAnsi="宋体" w:cs="宋体"/>
          <w:color w:val="auto"/>
          <w:kern w:val="2"/>
          <w:sz w:val="24"/>
          <w:szCs w:val="24"/>
          <w:highlight w:val="none"/>
          <w:lang w:val="zh-CN" w:bidi="zh-CN"/>
        </w:rPr>
        <w:t>服务期内，累计两轮考核结果在60分以下的，采购人有权立即终止合同，取消供应商承包资格。</w:t>
      </w:r>
    </w:p>
    <w:p>
      <w:pPr>
        <w:spacing w:line="360" w:lineRule="auto"/>
        <w:ind w:firstLine="482" w:firstLineChars="200"/>
        <w:outlineLvl w:val="1"/>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三、采购项目商务要求</w:t>
      </w:r>
      <w:bookmarkEnd w:id="84"/>
      <w:bookmarkEnd w:id="85"/>
      <w:bookmarkEnd w:id="86"/>
      <w:bookmarkEnd w:id="87"/>
      <w:bookmarkEnd w:id="88"/>
      <w:bookmarkEnd w:id="89"/>
      <w:bookmarkEnd w:id="90"/>
      <w:bookmarkEnd w:id="91"/>
      <w:bookmarkEnd w:id="99"/>
      <w:bookmarkEnd w:id="100"/>
      <w:bookmarkEnd w:id="101"/>
      <w:bookmarkEnd w:id="102"/>
      <w:bookmarkEnd w:id="103"/>
      <w:bookmarkEnd w:id="107"/>
      <w:bookmarkStart w:id="108" w:name="_Toc24343"/>
    </w:p>
    <w:bookmarkEnd w:id="108"/>
    <w:p>
      <w:pPr>
        <w:keepNext/>
        <w:keepLines/>
        <w:spacing w:line="360" w:lineRule="auto"/>
        <w:ind w:firstLine="211" w:firstLineChars="100"/>
        <w:jc w:val="left"/>
        <w:outlineLvl w:val="2"/>
        <w:rPr>
          <w:rFonts w:ascii="宋体" w:hAnsi="宋体" w:cs="宋体"/>
          <w:b/>
          <w:bCs/>
          <w:color w:val="auto"/>
          <w:sz w:val="24"/>
          <w:szCs w:val="24"/>
          <w:highlight w:val="none"/>
          <w:lang w:val="zh-CN"/>
        </w:rPr>
      </w:pPr>
      <w:bookmarkStart w:id="109" w:name="_Toc5615"/>
      <w:bookmarkStart w:id="110" w:name="_Toc1195"/>
      <w:bookmarkStart w:id="111" w:name="_Toc5930"/>
      <w:bookmarkStart w:id="112" w:name="_Toc24191"/>
      <w:bookmarkStart w:id="113" w:name="_Toc15251"/>
      <w:bookmarkStart w:id="114" w:name="_Toc12428"/>
      <w:bookmarkStart w:id="115" w:name="_Toc19593"/>
      <w:bookmarkStart w:id="116" w:name="_Toc20895"/>
      <w:r>
        <w:rPr>
          <w:rFonts w:hint="eastAsia" w:ascii="宋体" w:hAnsi="宋体" w:cs="宋体"/>
          <w:b/>
          <w:bCs/>
          <w:color w:val="auto"/>
          <w:szCs w:val="21"/>
          <w:highlight w:val="none"/>
        </w:rPr>
        <w:t>★</w:t>
      </w:r>
      <w:r>
        <w:rPr>
          <w:rFonts w:hint="eastAsia" w:ascii="宋体" w:hAnsi="宋体" w:cs="宋体"/>
          <w:b/>
          <w:bCs/>
          <w:color w:val="auto"/>
          <w:sz w:val="24"/>
          <w:szCs w:val="24"/>
          <w:highlight w:val="none"/>
        </w:rPr>
        <w:t>1、报价要求</w:t>
      </w:r>
      <w:bookmarkEnd w:id="109"/>
      <w:bookmarkEnd w:id="110"/>
      <w:bookmarkEnd w:id="111"/>
      <w:bookmarkEnd w:id="112"/>
      <w:bookmarkEnd w:id="113"/>
      <w:bookmarkEnd w:id="114"/>
    </w:p>
    <w:p>
      <w:pPr>
        <w:adjustRightInd w:val="0"/>
        <w:snapToGrid w:val="0"/>
        <w:spacing w:line="360" w:lineRule="auto"/>
        <w:ind w:firstLine="480" w:firstLineChars="200"/>
        <w:rPr>
          <w:rFonts w:hint="eastAsia" w:ascii="宋体" w:hAnsi="宋体" w:cs="宋体"/>
          <w:color w:val="auto"/>
          <w:kern w:val="2"/>
          <w:sz w:val="24"/>
          <w:szCs w:val="24"/>
          <w:highlight w:val="none"/>
        </w:rPr>
      </w:pPr>
      <w:bookmarkStart w:id="117" w:name="_Toc10327"/>
      <w:bookmarkStart w:id="118" w:name="_Toc14577"/>
      <w:bookmarkStart w:id="119" w:name="_Toc13844"/>
      <w:bookmarkStart w:id="120" w:name="_Toc28424"/>
      <w:bookmarkStart w:id="121" w:name="_Toc29714"/>
      <w:r>
        <w:rPr>
          <w:rFonts w:hint="eastAsia" w:ascii="宋体" w:hAnsi="宋体" w:cs="宋体"/>
          <w:color w:val="auto"/>
          <w:kern w:val="2"/>
          <w:sz w:val="24"/>
          <w:szCs w:val="24"/>
          <w:highlight w:val="none"/>
        </w:rPr>
        <w:t>项目报价须为包干价，包括但不限于以下内容：洗涤费用、厨余垃圾清理费、服务人员的工资、各类津补贴、奖金、社会保险、意外保险、工作服、培训费、离职经济补偿等人员成本费用及管理费、相关税费等。采购人不再负担成交价以外的其他费用。供应商支付服务人员的薪酬须按国家相关政策上调而上调，以保证员工的最低工资不得低于当地最低工资标准；社会保险费用须按国家政策调整，因社保费政策调增部分由供应商承担,供应商应按调整后的金额对服务人员应交的社会保险金额进行调整，采购人不追加采购费用。</w:t>
      </w:r>
    </w:p>
    <w:p>
      <w:pPr>
        <w:keepNext/>
        <w:keepLines/>
        <w:spacing w:line="360" w:lineRule="auto"/>
        <w:ind w:firstLine="482" w:firstLineChars="200"/>
        <w:jc w:val="left"/>
        <w:outlineLvl w:val="2"/>
        <w:rPr>
          <w:rFonts w:hint="eastAsia" w:ascii="宋体" w:hAnsi="宋体" w:cs="宋体"/>
          <w:b/>
          <w:bCs/>
          <w:color w:val="auto"/>
          <w:sz w:val="24"/>
          <w:szCs w:val="24"/>
          <w:highlight w:val="none"/>
        </w:rPr>
      </w:pPr>
      <w:bookmarkStart w:id="122" w:name="_Toc20166"/>
      <w:r>
        <w:rPr>
          <w:rFonts w:hint="eastAsia" w:ascii="宋体" w:hAnsi="宋体" w:cs="宋体"/>
          <w:b/>
          <w:bCs/>
          <w:color w:val="auto"/>
          <w:sz w:val="24"/>
          <w:szCs w:val="24"/>
          <w:highlight w:val="none"/>
        </w:rPr>
        <w:t>2、服务期限</w:t>
      </w:r>
      <w:bookmarkEnd w:id="122"/>
    </w:p>
    <w:p>
      <w:pPr>
        <w:adjustRightInd w:val="0"/>
        <w:snapToGrid w:val="0"/>
        <w:spacing w:line="360" w:lineRule="auto"/>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服务期限两年（1+1模式），首年委托服务期间______年______月______日起至______年______月______日止。</w:t>
      </w:r>
    </w:p>
    <w:p>
      <w:pPr>
        <w:adjustRightInd w:val="0"/>
        <w:snapToGrid w:val="0"/>
        <w:spacing w:line="360" w:lineRule="auto"/>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采取1+1服务模式签订合同，即在第一年的合同期满前二个月内，根据甲方综合考评结果，确定是否继续执行合同。如确定继续执行合同，则与乙方再续签1年合同。</w:t>
      </w:r>
    </w:p>
    <w:bookmarkEnd w:id="115"/>
    <w:bookmarkEnd w:id="117"/>
    <w:bookmarkEnd w:id="118"/>
    <w:bookmarkEnd w:id="119"/>
    <w:bookmarkEnd w:id="120"/>
    <w:bookmarkEnd w:id="121"/>
    <w:p>
      <w:pPr>
        <w:adjustRightInd w:val="0"/>
        <w:spacing w:line="360" w:lineRule="auto"/>
        <w:ind w:firstLine="482" w:firstLineChars="200"/>
        <w:outlineLvl w:val="2"/>
        <w:rPr>
          <w:rFonts w:hint="eastAsia" w:ascii="宋体" w:hAnsi="宋体" w:cs="宋体"/>
          <w:b/>
          <w:color w:val="auto"/>
          <w:kern w:val="2"/>
          <w:sz w:val="24"/>
          <w:szCs w:val="24"/>
          <w:highlight w:val="none"/>
        </w:rPr>
      </w:pPr>
      <w:bookmarkStart w:id="123" w:name="_Toc2893"/>
      <w:r>
        <w:rPr>
          <w:rFonts w:hint="eastAsia" w:ascii="宋体" w:hAnsi="宋体" w:cs="宋体"/>
          <w:b/>
          <w:color w:val="auto"/>
          <w:kern w:val="2"/>
          <w:sz w:val="24"/>
          <w:szCs w:val="24"/>
          <w:highlight w:val="none"/>
        </w:rPr>
        <w:t>3、履约保证金</w:t>
      </w:r>
      <w:bookmarkEnd w:id="123"/>
    </w:p>
    <w:bookmarkEnd w:id="116"/>
    <w:p>
      <w:pPr>
        <w:adjustRightInd w:val="0"/>
        <w:snapToGrid w:val="0"/>
        <w:spacing w:line="360" w:lineRule="auto"/>
        <w:ind w:firstLine="480" w:firstLineChars="200"/>
        <w:rPr>
          <w:rFonts w:hint="eastAsia" w:ascii="宋体" w:hAnsi="宋体" w:cs="宋体"/>
          <w:color w:val="auto"/>
          <w:kern w:val="2"/>
          <w:sz w:val="24"/>
          <w:szCs w:val="24"/>
          <w:highlight w:val="none"/>
        </w:rPr>
      </w:pPr>
      <w:bookmarkStart w:id="124" w:name="_Toc5421"/>
      <w:bookmarkStart w:id="125" w:name="_Toc22598"/>
      <w:bookmarkStart w:id="126" w:name="_Toc24158"/>
      <w:bookmarkStart w:id="127" w:name="_Toc2545"/>
      <w:bookmarkStart w:id="128" w:name="_Toc7651"/>
      <w:bookmarkStart w:id="129" w:name="_Toc21564"/>
      <w:bookmarkStart w:id="130" w:name="_Toc4408"/>
      <w:r>
        <w:rPr>
          <w:rFonts w:ascii="宋体" w:hAnsi="宋体" w:cs="宋体"/>
          <w:color w:val="auto"/>
          <w:kern w:val="2"/>
          <w:sz w:val="24"/>
          <w:szCs w:val="24"/>
          <w:highlight w:val="none"/>
        </w:rPr>
        <w:t>项目要求提供履约保证金。履约保证金为</w:t>
      </w:r>
      <w:r>
        <w:rPr>
          <w:rFonts w:hint="eastAsia" w:ascii="宋体" w:hAnsi="宋体" w:cs="宋体"/>
          <w:color w:val="auto"/>
          <w:kern w:val="2"/>
          <w:sz w:val="24"/>
          <w:szCs w:val="24"/>
          <w:highlight w:val="none"/>
        </w:rPr>
        <w:t>6万元，供应商</w:t>
      </w:r>
      <w:r>
        <w:rPr>
          <w:rFonts w:ascii="宋体" w:hAnsi="宋体" w:cs="宋体"/>
          <w:color w:val="auto"/>
          <w:kern w:val="2"/>
          <w:sz w:val="24"/>
          <w:szCs w:val="24"/>
          <w:highlight w:val="none"/>
        </w:rPr>
        <w:t>应在合同签订之日起 30 日内提交</w:t>
      </w:r>
      <w:r>
        <w:rPr>
          <w:rFonts w:hint="eastAsia" w:ascii="宋体" w:hAnsi="宋体" w:cs="宋体"/>
          <w:color w:val="auto"/>
          <w:kern w:val="2"/>
          <w:sz w:val="24"/>
          <w:szCs w:val="24"/>
          <w:highlight w:val="none"/>
        </w:rPr>
        <w:t>采购人</w:t>
      </w:r>
      <w:r>
        <w:rPr>
          <w:rFonts w:ascii="宋体" w:hAnsi="宋体" w:cs="宋体"/>
          <w:color w:val="auto"/>
          <w:kern w:val="2"/>
          <w:sz w:val="24"/>
          <w:szCs w:val="24"/>
          <w:highlight w:val="none"/>
        </w:rPr>
        <w:t>。提交方式为银行电汇、金融机构或担保机构出具的保函。在合同履行期满，扣除应扣除的款项（如有）且双方无争议后，无息返还。</w:t>
      </w:r>
    </w:p>
    <w:p>
      <w:pPr>
        <w:adjustRightInd w:val="0"/>
        <w:snapToGrid w:val="0"/>
        <w:spacing w:line="360" w:lineRule="auto"/>
        <w:ind w:firstLine="480" w:firstLineChars="200"/>
        <w:rPr>
          <w:rFonts w:hint="eastAsia" w:ascii="宋体" w:hAnsi="宋体" w:cs="宋体"/>
          <w:color w:val="auto"/>
          <w:kern w:val="2"/>
          <w:sz w:val="24"/>
          <w:szCs w:val="24"/>
          <w:highlight w:val="none"/>
        </w:rPr>
      </w:pPr>
      <w:r>
        <w:rPr>
          <w:rFonts w:ascii="宋体" w:hAnsi="宋体" w:cs="宋体"/>
          <w:color w:val="auto"/>
          <w:kern w:val="2"/>
          <w:sz w:val="24"/>
          <w:szCs w:val="24"/>
          <w:highlight w:val="none"/>
        </w:rPr>
        <w:t>办理返还履约保证金时，</w:t>
      </w:r>
      <w:r>
        <w:rPr>
          <w:rFonts w:hint="eastAsia" w:ascii="宋体" w:hAnsi="宋体" w:cs="宋体"/>
          <w:color w:val="auto"/>
          <w:kern w:val="2"/>
          <w:sz w:val="24"/>
          <w:szCs w:val="24"/>
          <w:highlight w:val="none"/>
        </w:rPr>
        <w:t>供应商</w:t>
      </w:r>
      <w:r>
        <w:rPr>
          <w:rFonts w:ascii="宋体" w:hAnsi="宋体" w:cs="宋体"/>
          <w:color w:val="auto"/>
          <w:kern w:val="2"/>
          <w:sz w:val="24"/>
          <w:szCs w:val="24"/>
          <w:highlight w:val="none"/>
        </w:rPr>
        <w:t>应提供履约保证金返还申请</w:t>
      </w:r>
      <w:r>
        <w:rPr>
          <w:rFonts w:hint="eastAsia" w:ascii="宋体" w:hAnsi="宋体" w:cs="宋体"/>
          <w:color w:val="auto"/>
          <w:kern w:val="2"/>
          <w:sz w:val="24"/>
          <w:szCs w:val="24"/>
          <w:highlight w:val="none"/>
        </w:rPr>
        <w:t>。</w:t>
      </w:r>
      <w:r>
        <w:rPr>
          <w:rFonts w:ascii="宋体" w:hAnsi="宋体" w:cs="宋体"/>
          <w:color w:val="auto"/>
          <w:kern w:val="2"/>
          <w:sz w:val="24"/>
          <w:szCs w:val="24"/>
          <w:highlight w:val="none"/>
        </w:rPr>
        <w:t>满足履约保证金返还条件的，</w:t>
      </w:r>
      <w:r>
        <w:rPr>
          <w:rFonts w:hint="eastAsia" w:ascii="宋体" w:hAnsi="宋体" w:cs="宋体"/>
          <w:color w:val="auto"/>
          <w:kern w:val="2"/>
          <w:sz w:val="24"/>
          <w:szCs w:val="24"/>
          <w:highlight w:val="none"/>
        </w:rPr>
        <w:t>采购人</w:t>
      </w:r>
      <w:r>
        <w:rPr>
          <w:rFonts w:ascii="宋体" w:hAnsi="宋体" w:cs="宋体"/>
          <w:color w:val="auto"/>
          <w:kern w:val="2"/>
          <w:sz w:val="24"/>
          <w:szCs w:val="24"/>
          <w:highlight w:val="none"/>
        </w:rPr>
        <w:t>在收到返还相关资料后，进行核实。对核实结果无异议的，自完成核实之日起30日内，退回保函。</w:t>
      </w:r>
    </w:p>
    <w:bookmarkEnd w:id="92"/>
    <w:bookmarkEnd w:id="124"/>
    <w:bookmarkEnd w:id="125"/>
    <w:bookmarkEnd w:id="126"/>
    <w:bookmarkEnd w:id="127"/>
    <w:bookmarkEnd w:id="128"/>
    <w:bookmarkEnd w:id="129"/>
    <w:bookmarkEnd w:id="130"/>
    <w:p>
      <w:pPr>
        <w:adjustRightInd w:val="0"/>
        <w:spacing w:line="360" w:lineRule="auto"/>
        <w:ind w:firstLine="482" w:firstLineChars="200"/>
        <w:outlineLvl w:val="2"/>
        <w:rPr>
          <w:rFonts w:ascii="宋体" w:hAnsi="宋体" w:cs="宋体"/>
          <w:b/>
          <w:color w:val="auto"/>
          <w:kern w:val="2"/>
          <w:sz w:val="24"/>
          <w:szCs w:val="24"/>
          <w:highlight w:val="none"/>
        </w:rPr>
      </w:pPr>
      <w:bookmarkStart w:id="131" w:name="_Toc14934"/>
      <w:r>
        <w:rPr>
          <w:rFonts w:hint="eastAsia" w:ascii="宋体" w:hAnsi="宋体" w:cs="宋体"/>
          <w:b/>
          <w:color w:val="auto"/>
          <w:kern w:val="2"/>
          <w:sz w:val="24"/>
          <w:szCs w:val="24"/>
          <w:highlight w:val="none"/>
        </w:rPr>
        <w:t>4、</w:t>
      </w:r>
      <w:r>
        <w:rPr>
          <w:rFonts w:hint="eastAsia" w:ascii="宋体" w:hAnsi="宋体" w:cs="宋体"/>
          <w:b/>
          <w:bCs/>
          <w:color w:val="auto"/>
          <w:kern w:val="2"/>
          <w:sz w:val="24"/>
          <w:szCs w:val="24"/>
          <w:highlight w:val="none"/>
        </w:rPr>
        <w:t>总体</w:t>
      </w:r>
      <w:r>
        <w:rPr>
          <w:rFonts w:hint="eastAsia" w:ascii="宋体" w:hAnsi="宋体" w:cs="宋体"/>
          <w:b/>
          <w:color w:val="auto"/>
          <w:kern w:val="2"/>
          <w:sz w:val="24"/>
          <w:szCs w:val="24"/>
          <w:highlight w:val="none"/>
        </w:rPr>
        <w:t>要求</w:t>
      </w:r>
      <w:bookmarkEnd w:id="131"/>
    </w:p>
    <w:p>
      <w:pPr>
        <w:adjustRightInd w:val="0"/>
        <w:spacing w:line="360" w:lineRule="auto"/>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（1）供应商负责服务人员的岗前培训工作。</w:t>
      </w:r>
    </w:p>
    <w:p>
      <w:pPr>
        <w:adjustRightInd w:val="0"/>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（2）在服务过程中，采购人有权实施监督检查。</w:t>
      </w:r>
    </w:p>
    <w:p>
      <w:pPr>
        <w:spacing w:line="500" w:lineRule="exact"/>
        <w:ind w:firstLine="480" w:firstLineChars="200"/>
        <w:textAlignment w:val="center"/>
        <w:rPr>
          <w:rFonts w:hint="eastAsia" w:ascii="宋体" w:hAnsi="宋体" w:cs="宋体"/>
          <w:color w:val="auto"/>
          <w:kern w:val="2"/>
          <w:sz w:val="24"/>
          <w:szCs w:val="24"/>
          <w:highlight w:val="none"/>
        </w:rPr>
      </w:pPr>
      <w:r>
        <w:rPr>
          <w:rFonts w:hint="eastAsia" w:cs="宋体"/>
          <w:color w:val="auto"/>
          <w:kern w:val="2"/>
          <w:sz w:val="24"/>
          <w:highlight w:val="none"/>
        </w:rPr>
        <w:t>（3）</w:t>
      </w:r>
      <w:r>
        <w:rPr>
          <w:rFonts w:hint="eastAsia" w:ascii="宋体" w:hAnsi="宋体" w:cs="宋体"/>
          <w:color w:val="auto"/>
          <w:kern w:val="2"/>
          <w:sz w:val="24"/>
          <w:highlight w:val="none"/>
        </w:rPr>
        <w:t>服务人员工资、社保、相关福利及加班费等人员费用均由供应商负责</w:t>
      </w:r>
      <w:r>
        <w:rPr>
          <w:rFonts w:hint="eastAsia" w:ascii="宋体" w:hAnsi="宋体" w:cs="宋体"/>
          <w:color w:val="auto"/>
          <w:kern w:val="2"/>
          <w:sz w:val="24"/>
          <w:szCs w:val="24"/>
          <w:highlight w:val="none"/>
        </w:rPr>
        <w:t>。</w:t>
      </w:r>
    </w:p>
    <w:p>
      <w:pPr>
        <w:spacing w:line="500" w:lineRule="exact"/>
        <w:ind w:firstLine="480" w:firstLineChars="200"/>
        <w:textAlignment w:val="center"/>
        <w:rPr>
          <w:rFonts w:ascii="宋体" w:hAnsi="宋体" w:cs="宋体"/>
          <w:b/>
          <w:bCs/>
          <w:color w:val="auto"/>
          <w:kern w:val="2"/>
          <w:sz w:val="24"/>
          <w:highlight w:val="none"/>
        </w:rPr>
      </w:pPr>
      <w:r>
        <w:rPr>
          <w:rFonts w:hint="eastAsia" w:cs="宋体"/>
          <w:color w:val="auto"/>
          <w:kern w:val="2"/>
          <w:sz w:val="24"/>
          <w:highlight w:val="none"/>
        </w:rPr>
        <w:t>（4）供应商须按规定为</w:t>
      </w:r>
      <w:r>
        <w:rPr>
          <w:rFonts w:hint="eastAsia" w:ascii="宋体" w:hAnsi="宋体" w:cs="宋体"/>
          <w:color w:val="auto"/>
          <w:kern w:val="2"/>
          <w:sz w:val="24"/>
          <w:szCs w:val="24"/>
          <w:highlight w:val="none"/>
        </w:rPr>
        <w:t>服务人</w:t>
      </w:r>
      <w:r>
        <w:rPr>
          <w:rFonts w:hint="eastAsia" w:cs="宋体"/>
          <w:color w:val="auto"/>
          <w:kern w:val="2"/>
          <w:sz w:val="24"/>
          <w:highlight w:val="none"/>
        </w:rPr>
        <w:t>员缴纳社会保险等费用。在缴纳期间，若国家、省、市政府有新的政策规定，则按新规定相应进行调整。</w:t>
      </w:r>
      <w:r>
        <w:rPr>
          <w:rFonts w:hint="eastAsia" w:ascii="宋体" w:hAnsi="宋体" w:cs="宋体"/>
          <w:b/>
          <w:bCs/>
          <w:color w:val="auto"/>
          <w:kern w:val="2"/>
          <w:sz w:val="24"/>
          <w:highlight w:val="none"/>
        </w:rPr>
        <w:t>（投标时提交承诺函，格式自拟）</w:t>
      </w:r>
    </w:p>
    <w:p>
      <w:pPr>
        <w:adjustRightInd w:val="0"/>
        <w:spacing w:line="50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（5）供应商应及时处理和协调采购人与服务人员之间的工作纠纷。</w:t>
      </w:r>
    </w:p>
    <w:p>
      <w:pPr>
        <w:adjustRightInd w:val="0"/>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（6）因人员辞职而需新招聘员工的，招聘工作以及由此产生的相关费用由供应商负责。</w:t>
      </w:r>
    </w:p>
    <w:p>
      <w:pPr>
        <w:adjustRightInd w:val="0"/>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（7）供应商按国家法律法规相关规定承担用人单位应承担的所有经济和法律责任。</w:t>
      </w:r>
    </w:p>
    <w:p>
      <w:pPr>
        <w:adjustRightInd w:val="0"/>
        <w:spacing w:line="50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8）签订合同前必须按照国家相关保密规定，由供应商分别与采购人、服务人员签订相关保密协议，保守采购人的工作秘密。服务人员签订的保密协议，供应商需将复印件交给采购人备案；供应商确保服务人员保守采购人所有与业务工作相关的秘密，严禁泄露给无关的第三人。因供应商保密履责不到位，造成不良影响和损失的，采购人有权追究供应商法律责任。</w:t>
      </w:r>
    </w:p>
    <w:p>
      <w:pPr>
        <w:spacing w:line="440" w:lineRule="exact"/>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9）供应商在合同履行期间存在“围猎”采购人税务人员行为的（指以获取不正当利益为目的，采取馈赠礼品礼金、邀请娱乐旅游消费、提供便利条件等非正常交往手段“围猎”相关税务人员及其亲属），自采购人及采购人主管机关认定或通报之日起三年内，采购人可以拒绝供应商参与其政府采购活动。</w:t>
      </w:r>
    </w:p>
    <w:p>
      <w:pPr>
        <w:adjustRightInd w:val="0"/>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（10）罚则</w:t>
      </w:r>
    </w:p>
    <w:p>
      <w:pPr>
        <w:adjustRightInd w:val="0"/>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1）若供应商在签订合同并生效后15天内仍无法保证服务正常运作的，则视为供应商违约，采购人有权终止合同，且不为此承担任何责任。</w:t>
      </w:r>
    </w:p>
    <w:p>
      <w:pPr>
        <w:adjustRightInd w:val="0"/>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2）在服务期间，服务人员因为调走、辞职或被供应商辞退等原因导致服务人员缺岗的，供应商应在10天内及时补齐符合项目要求的服务人员，否则采购人有权按缺岗情况扣除供应商对应的服务费用，情况严重的，视为供应商主动违约，采购人有权终止合同，且不为此承担任何违约责任。</w:t>
      </w:r>
    </w:p>
    <w:p>
      <w:pPr>
        <w:adjustRightInd w:val="0"/>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3）因供应商安排的服务人员违反采购人内部管理制度、蓄意破坏设备设施、违反工作规程造成重大事故的，一经查实，则视为供应商严重违约，采购人有权终止合同，责令供应商赔偿损失，情节严重的依法追究供应商法律责任。</w:t>
      </w:r>
    </w:p>
    <w:p>
      <w:pPr>
        <w:adjustRightInd w:val="0"/>
        <w:spacing w:line="500" w:lineRule="exact"/>
        <w:ind w:firstLine="480" w:firstLineChars="2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4）因供应商安排的服务人员违反治安管理规定、公序良俗等影响采购人日常工作的，经采购人要求，供应商应及时更换相关服务人员。</w:t>
      </w:r>
    </w:p>
    <w:p>
      <w:pPr>
        <w:adjustRightInd w:val="0"/>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5）若供应商在服务期内违反其服务承诺，则视为供应商违约，采购人有权拒绝支付本期项目服务费。</w:t>
      </w:r>
    </w:p>
    <w:p>
      <w:pPr>
        <w:adjustRightInd w:val="0"/>
        <w:spacing w:line="500" w:lineRule="exact"/>
        <w:ind w:firstLine="482" w:firstLineChars="200"/>
        <w:outlineLvl w:val="2"/>
        <w:rPr>
          <w:rFonts w:ascii="宋体" w:hAnsi="宋体" w:cs="宋体"/>
          <w:b/>
          <w:bCs/>
          <w:color w:val="auto"/>
          <w:sz w:val="24"/>
          <w:szCs w:val="24"/>
          <w:highlight w:val="none"/>
        </w:rPr>
      </w:pPr>
      <w:bookmarkStart w:id="132" w:name="_Toc6480"/>
      <w:r>
        <w:rPr>
          <w:rFonts w:hint="eastAsia" w:ascii="宋体" w:hAnsi="宋体" w:cs="宋体"/>
          <w:b/>
          <w:bCs/>
          <w:color w:val="auto"/>
          <w:sz w:val="24"/>
          <w:szCs w:val="24"/>
          <w:highlight w:val="none"/>
        </w:rPr>
        <w:t>5、监督和管理要求</w:t>
      </w:r>
      <w:bookmarkEnd w:id="132"/>
    </w:p>
    <w:p>
      <w:pPr>
        <w:keepNext/>
        <w:keepLines/>
        <w:spacing w:line="500" w:lineRule="exact"/>
        <w:ind w:firstLine="240" w:firstLineChars="100"/>
        <w:rPr>
          <w:rFonts w:ascii="宋体" w:hAnsi="宋体" w:cs="宋体"/>
          <w:color w:val="auto"/>
          <w:kern w:val="2"/>
          <w:sz w:val="24"/>
          <w:szCs w:val="24"/>
          <w:highlight w:val="none"/>
        </w:rPr>
      </w:pPr>
      <w:r>
        <w:rPr>
          <w:rFonts w:hint="eastAsia" w:ascii="宋体" w:hAnsi="宋体" w:cs="宋体"/>
          <w:color w:val="auto"/>
          <w:kern w:val="2"/>
          <w:sz w:val="24"/>
          <w:szCs w:val="24"/>
          <w:highlight w:val="none"/>
        </w:rPr>
        <w:t>（1）各方职责：</w:t>
      </w:r>
    </w:p>
    <w:p>
      <w:pPr>
        <w:keepNext/>
        <w:keepLines/>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1）采购人对供应商的服务实施活动进行全过程监督、检查和管理。负责项目的决策和总体监督，对项目的宏观的把握和整体推进。</w:t>
      </w:r>
    </w:p>
    <w:p>
      <w:pPr>
        <w:keepNext/>
        <w:keepLines/>
        <w:spacing w:line="500" w:lineRule="exact"/>
        <w:ind w:firstLine="480" w:firstLineChars="200"/>
        <w:rPr>
          <w:rFonts w:ascii="宋体" w:hAnsi="宋体" w:cs="宋体"/>
          <w:color w:val="auto"/>
          <w:kern w:val="2"/>
          <w:sz w:val="24"/>
          <w:szCs w:val="24"/>
          <w:highlight w:val="none"/>
        </w:rPr>
      </w:pPr>
      <w:r>
        <w:rPr>
          <w:rFonts w:hint="eastAsia" w:ascii="宋体" w:hAnsi="宋体" w:cs="宋体"/>
          <w:color w:val="auto"/>
          <w:kern w:val="2"/>
          <w:sz w:val="24"/>
          <w:szCs w:val="24"/>
          <w:highlight w:val="none"/>
        </w:rPr>
        <w:t>2）供应商承担服务项目需求调研、具体的实施工作，受到采购人的监督和管理。</w:t>
      </w:r>
    </w:p>
    <w:p>
      <w:pPr>
        <w:spacing w:line="500" w:lineRule="exact"/>
        <w:ind w:firstLine="480" w:firstLineChars="200"/>
        <w:textAlignment w:val="center"/>
        <w:rPr>
          <w:rFonts w:ascii="宋体" w:hAnsi="宋体" w:cs="宋体"/>
          <w:color w:val="auto"/>
          <w:kern w:val="2"/>
          <w:sz w:val="24"/>
          <w:highlight w:val="none"/>
        </w:rPr>
      </w:pPr>
      <w:r>
        <w:rPr>
          <w:rFonts w:hint="eastAsia" w:ascii="宋体" w:hAnsi="宋体" w:cs="宋体"/>
          <w:color w:val="auto"/>
          <w:kern w:val="2"/>
          <w:sz w:val="24"/>
          <w:szCs w:val="24"/>
          <w:highlight w:val="none"/>
        </w:rPr>
        <w:t>3）</w:t>
      </w:r>
      <w:r>
        <w:rPr>
          <w:rFonts w:hint="eastAsia" w:ascii="宋体" w:hAnsi="宋体" w:cs="宋体"/>
          <w:color w:val="auto"/>
          <w:kern w:val="2"/>
          <w:sz w:val="24"/>
          <w:highlight w:val="none"/>
        </w:rPr>
        <w:t>供应商可以在响应文件中列明在项目实施过程中需要采购人提供的配合条件。</w:t>
      </w:r>
    </w:p>
    <w:p>
      <w:pPr>
        <w:keepNext/>
        <w:keepLines/>
        <w:spacing w:line="500" w:lineRule="exact"/>
        <w:ind w:firstLine="240" w:firstLineChars="100"/>
        <w:rPr>
          <w:rFonts w:ascii="宋体" w:hAnsi="宋体" w:cs="宋体"/>
          <w:color w:val="auto"/>
          <w:kern w:val="2"/>
          <w:sz w:val="24"/>
          <w:szCs w:val="24"/>
          <w:highlight w:val="none"/>
        </w:rPr>
      </w:pPr>
      <w:r>
        <w:rPr>
          <w:rFonts w:hint="eastAsia" w:ascii="宋体" w:hAnsi="宋体" w:cs="宋体"/>
          <w:color w:val="auto"/>
          <w:kern w:val="2"/>
          <w:sz w:val="24"/>
          <w:szCs w:val="24"/>
          <w:highlight w:val="none"/>
        </w:rPr>
        <w:t>（2）服务项目要求：供应商必须就采购人提供的全部内容和服务要求做出回应，提供切合该服务项目的整体解决方案，并在项目范围内完成指定的工作和负责解决全部的业务问题。供应商必须对采购人提出的有关问题和置疑作出实质性的回应。</w:t>
      </w:r>
    </w:p>
    <w:p>
      <w:pPr>
        <w:adjustRightInd w:val="0"/>
        <w:spacing w:line="500" w:lineRule="exact"/>
        <w:ind w:firstLine="482" w:firstLineChars="200"/>
        <w:rPr>
          <w:rFonts w:ascii="宋体" w:hAnsi="宋体" w:cs="宋体"/>
          <w:b/>
          <w:color w:val="auto"/>
          <w:kern w:val="2"/>
          <w:sz w:val="24"/>
          <w:szCs w:val="24"/>
          <w:highlight w:val="none"/>
        </w:rPr>
      </w:pPr>
      <w:r>
        <w:rPr>
          <w:rFonts w:hint="eastAsia" w:ascii="宋体" w:hAnsi="宋体" w:cs="宋体"/>
          <w:b/>
          <w:color w:val="auto"/>
          <w:kern w:val="2"/>
          <w:sz w:val="24"/>
          <w:szCs w:val="24"/>
          <w:highlight w:val="none"/>
        </w:rPr>
        <w:t>6、付款方式</w:t>
      </w:r>
    </w:p>
    <w:p>
      <w:pPr>
        <w:spacing w:line="500" w:lineRule="exact"/>
        <w:ind w:firstLine="468"/>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 xml:space="preserve">服务费按月支付，每月1-5日（节假日顺延），供应商凭发票与采购人结算上月的服务费，采购人在收到发票后10个工作日内（如遇放假或财务封账顺延）办理支付手续，以银行转账方式支付服务费给供应商。 </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MS Mincho">
    <w:altName w:val="MS UI Gothic"/>
    <w:panose1 w:val="02020609040205080304"/>
    <w:charset w:val="80"/>
    <w:family w:val="modern"/>
    <w:pitch w:val="default"/>
    <w:sig w:usb0="00000000" w:usb1="00000000"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MS UI 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pacing w:after="0" w:line="240" w:lineRule="auto"/>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t xml:space="preserve">— </w:t>
                          </w:r>
                          <w:r>
                            <w:fldChar w:fldCharType="begin"/>
                          </w:r>
                          <w:r>
                            <w:instrText xml:space="preserve"> PAGE  \* MERGEFORMAT </w:instrText>
                          </w:r>
                          <w:r>
                            <w:fldChar w:fldCharType="separate"/>
                          </w:r>
                          <w:r>
                            <w:t>4</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pacing w:after="0" w:line="240" w:lineRule="auto"/>
                      <w:jc w:val="center"/>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p/>
  <w:p/>
  <w:p/>
  <w:p/>
  <w:p/>
  <w:p/>
  <w:p/>
  <w:p/>
  <w:p/>
  <w:p/>
  <w:p/>
  <w:p/>
  <w:p/>
  <w:p/>
  <w:p/>
  <w:p/>
  <w:p/>
  <w:p/>
  <w:p/>
  <w:p/>
  <w:p/>
  <w:p/>
  <w:p/>
  <w:p/>
  <w:p/>
  <w:p/>
  <w:p/>
  <w:p/>
  <w:p/>
  <w:p/>
  <w:p/>
  <w:p/>
  <w:p/>
  <w:p/>
  <w:p/>
  <w:p/>
  <w:p/>
  <w:p/>
  <w:p/>
  <w:p/>
  <w:p/>
  <w:p/>
  <w:p/>
  <w:p/>
  <w:p/>
  <w:p/>
  <w:p/>
  <w:p/>
  <w:p/>
  <w:p/>
  <w:p/>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pacing w:after="0" w:line="240" w:lineRule="auto"/>
                      <w:jc w:val="center"/>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t xml:space="preserve">— </w:t>
                          </w:r>
                          <w:r>
                            <w:fldChar w:fldCharType="begin"/>
                          </w:r>
                          <w:r>
                            <w:instrText xml:space="preserve"> PAGE  \* MERGEFORMAT </w:instrText>
                          </w:r>
                          <w:r>
                            <w:fldChar w:fldCharType="separate"/>
                          </w:r>
                          <w:r>
                            <w:t>4</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pacing w:after="0" w:line="240" w:lineRule="auto"/>
                      <w:jc w:val="center"/>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宋体" w:hAnsi="宋体" w:eastAsia="宋体"/>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after="0" w:line="240" w:lineRule="auto"/>
                            <w:jc w:val="center"/>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spacing w:after="0" w:line="240" w:lineRule="auto"/>
                      <w:jc w:val="center"/>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p/>
  <w:p/>
  <w:p/>
  <w:p/>
  <w:p/>
  <w:p/>
  <w:p/>
  <w:p/>
  <w:p/>
  <w:p/>
  <w:p/>
  <w:p/>
  <w:p/>
  <w:p/>
  <w:p/>
  <w:p/>
  <w:p/>
  <w:p/>
  <w:p/>
  <w:p/>
  <w:p/>
  <w:p/>
  <w:p/>
  <w:p/>
  <w:p/>
  <w:p/>
  <w:p/>
  <w:p/>
  <w:p/>
  <w:p/>
  <w:p/>
  <w:p/>
  <w:p/>
  <w:p/>
  <w:p/>
  <w:p/>
  <w:p/>
  <w:p/>
  <w:p/>
  <w:p/>
  <w:p/>
  <w:p/>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2E661"/>
    <w:multiLevelType w:val="singleLevel"/>
    <w:tmpl w:val="8DA2E661"/>
    <w:lvl w:ilvl="0" w:tentative="0">
      <w:start w:val="1"/>
      <w:numFmt w:val="decimal"/>
      <w:pStyle w:val="5"/>
      <w:lvlText w:val="%1."/>
      <w:lvlJc w:val="left"/>
      <w:pPr>
        <w:tabs>
          <w:tab w:val="left" w:pos="780"/>
        </w:tabs>
        <w:ind w:left="780" w:hanging="360"/>
      </w:pPr>
    </w:lvl>
  </w:abstractNum>
  <w:abstractNum w:abstractNumId="1">
    <w:nsid w:val="1AB3868A"/>
    <w:multiLevelType w:val="singleLevel"/>
    <w:tmpl w:val="1AB3868A"/>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ZTlkYTVjNGRkMmQzMDE1YjQxNWVjZTBmYzJlNjgifQ=="/>
  </w:docVars>
  <w:rsids>
    <w:rsidRoot w:val="3607325B"/>
    <w:rsid w:val="003F2EF8"/>
    <w:rsid w:val="02A14531"/>
    <w:rsid w:val="03FA6AF4"/>
    <w:rsid w:val="0455536E"/>
    <w:rsid w:val="04693AE8"/>
    <w:rsid w:val="048743F4"/>
    <w:rsid w:val="08AF2A3B"/>
    <w:rsid w:val="08B767DF"/>
    <w:rsid w:val="090F0936"/>
    <w:rsid w:val="0A1B3F65"/>
    <w:rsid w:val="12055A0D"/>
    <w:rsid w:val="14162C01"/>
    <w:rsid w:val="167F30CD"/>
    <w:rsid w:val="176E33BD"/>
    <w:rsid w:val="1A5B7013"/>
    <w:rsid w:val="1E0F11DA"/>
    <w:rsid w:val="246A2282"/>
    <w:rsid w:val="27F450C1"/>
    <w:rsid w:val="29E10A47"/>
    <w:rsid w:val="2B86406E"/>
    <w:rsid w:val="2E750BE6"/>
    <w:rsid w:val="330D0503"/>
    <w:rsid w:val="34991FA6"/>
    <w:rsid w:val="357F29AC"/>
    <w:rsid w:val="3607325B"/>
    <w:rsid w:val="41D55A9A"/>
    <w:rsid w:val="42122D4C"/>
    <w:rsid w:val="467D2822"/>
    <w:rsid w:val="47905A78"/>
    <w:rsid w:val="482C0320"/>
    <w:rsid w:val="484C27CC"/>
    <w:rsid w:val="49DD63FF"/>
    <w:rsid w:val="4B1D71A2"/>
    <w:rsid w:val="4CA715AF"/>
    <w:rsid w:val="52A76969"/>
    <w:rsid w:val="58692CBA"/>
    <w:rsid w:val="5D7F696D"/>
    <w:rsid w:val="62675173"/>
    <w:rsid w:val="6C5E4DB6"/>
    <w:rsid w:val="6EB8594E"/>
    <w:rsid w:val="76943CDE"/>
    <w:rsid w:val="7BDC717B"/>
    <w:rsid w:val="7EE0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tabs>
        <w:tab w:val="left" w:pos="1140"/>
      </w:tabs>
      <w:spacing w:before="340" w:after="330" w:line="576" w:lineRule="auto"/>
      <w:ind w:left="420" w:hanging="420"/>
      <w:outlineLvl w:val="0"/>
    </w:pPr>
    <w:rPr>
      <w:b/>
      <w:color w:val="auto"/>
      <w:sz w:val="44"/>
      <w:szCs w:val="44"/>
    </w:rPr>
  </w:style>
  <w:style w:type="paragraph" w:styleId="3">
    <w:name w:val="heading 2"/>
    <w:basedOn w:val="1"/>
    <w:next w:val="1"/>
    <w:qFormat/>
    <w:uiPriority w:val="0"/>
    <w:pPr>
      <w:keepNext/>
      <w:keepLines/>
      <w:tabs>
        <w:tab w:val="left" w:pos="996"/>
      </w:tabs>
      <w:spacing w:before="260" w:after="260" w:line="413" w:lineRule="auto"/>
      <w:ind w:left="996" w:hanging="576"/>
      <w:outlineLvl w:val="1"/>
    </w:pPr>
    <w:rPr>
      <w:rFonts w:ascii="Arial" w:hAnsi="Arial" w:eastAsia="黑体" w:cs="Arial"/>
      <w:b/>
      <w:sz w:val="32"/>
      <w:szCs w:val="32"/>
    </w:rPr>
  </w:style>
  <w:style w:type="paragraph" w:styleId="4">
    <w:name w:val="heading 5"/>
    <w:basedOn w:val="5"/>
    <w:next w:val="6"/>
    <w:qFormat/>
    <w:uiPriority w:val="9"/>
    <w:pPr>
      <w:keepNext/>
      <w:keepLines/>
      <w:tabs>
        <w:tab w:val="left" w:pos="780"/>
      </w:tabs>
      <w:spacing w:before="280" w:after="290" w:line="377" w:lineRule="auto"/>
      <w:ind w:firstLine="200" w:firstLineChars="200"/>
      <w:outlineLvl w:val="4"/>
    </w:pPr>
    <w:rPr>
      <w:rFonts w:ascii="Times New Roman" w:hAnsi="Times New Roman" w:eastAsia="仿宋_GB2312" w:cs="Times New Roman"/>
      <w:bCs/>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List Number 2"/>
    <w:basedOn w:val="1"/>
    <w:qFormat/>
    <w:uiPriority w:val="0"/>
    <w:pPr>
      <w:numPr>
        <w:ilvl w:val="0"/>
        <w:numId w:val="1"/>
      </w:numPr>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w:basedOn w:val="1"/>
    <w:next w:val="1"/>
    <w:qFormat/>
    <w:uiPriority w:val="1"/>
    <w:rPr>
      <w:b/>
      <w:szCs w:val="24"/>
    </w:rPr>
  </w:style>
  <w:style w:type="paragraph" w:styleId="8">
    <w:name w:val="Plain Text"/>
    <w:basedOn w:val="1"/>
    <w:unhideWhenUsed/>
    <w:qFormat/>
    <w:uiPriority w:val="99"/>
    <w:rPr>
      <w:rFonts w:ascii="宋体" w:hAnsi="Courier New" w:eastAsia="宋体" w:cs="Courier New"/>
      <w:szCs w:val="21"/>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table" w:styleId="14">
    <w:name w:val="Table Grid"/>
    <w:basedOn w:val="1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style>
  <w:style w:type="character" w:styleId="17">
    <w:name w:val="Hyperlink"/>
    <w:unhideWhenUsed/>
    <w:qFormat/>
    <w:uiPriority w:val="99"/>
    <w:rPr>
      <w:color w:val="0000FF"/>
      <w:u w:val="single"/>
    </w:rPr>
  </w:style>
  <w:style w:type="paragraph" w:customStyle="1" w:styleId="18">
    <w:name w:val="正式样式 宋体 小四 行距: 1.5 倍行距"/>
    <w:basedOn w:val="1"/>
    <w:link w:val="19"/>
    <w:qFormat/>
    <w:uiPriority w:val="0"/>
    <w:pPr>
      <w:spacing w:after="0" w:line="240" w:lineRule="auto"/>
      <w:ind w:firstLine="480" w:firstLineChars="200"/>
    </w:pPr>
    <w:rPr>
      <w:rFonts w:ascii="宋体" w:hAnsi="宋体"/>
      <w:spacing w:val="0"/>
      <w:kern w:val="2"/>
    </w:rPr>
  </w:style>
  <w:style w:type="character" w:customStyle="1" w:styleId="19">
    <w:name w:val="正式样式 宋体 小四 行距: 1.5 倍行距 Char"/>
    <w:link w:val="18"/>
    <w:qFormat/>
    <w:uiPriority w:val="0"/>
    <w:rPr>
      <w:rFonts w:ascii="宋体" w:hAnsi="宋体" w:eastAsia="宋体" w:cs="Times New Roman"/>
      <w:kern w:val="2"/>
      <w:sz w:val="24"/>
    </w:rPr>
  </w:style>
  <w:style w:type="paragraph" w:customStyle="1" w:styleId="20">
    <w:name w:val="样式1"/>
    <w:basedOn w:val="1"/>
    <w:qFormat/>
    <w:uiPriority w:val="0"/>
    <w:pPr>
      <w:spacing w:line="360" w:lineRule="auto"/>
      <w:ind w:firstLine="200" w:firstLineChars="200"/>
      <w:jc w:val="both"/>
      <w:textAlignment w:val="center"/>
    </w:pPr>
    <w:rPr>
      <w:rFonts w:hint="eastAsia" w:ascii="宋体" w:hAnsi="宋体" w:eastAsia="宋体" w:cs="宋体"/>
      <w:kern w:val="2"/>
      <w:sz w:val="22"/>
      <w:szCs w:val="22"/>
      <w:lang w:bidi="ar"/>
    </w:rPr>
  </w:style>
  <w:style w:type="paragraph" w:customStyle="1" w:styleId="21">
    <w:name w:val="null3"/>
    <w:qFormat/>
    <w:uiPriority w:val="0"/>
    <w:rPr>
      <w:rFonts w:hint="eastAsia" w:ascii="Calibri" w:hAnsi="Calibri" w:eastAsia="宋体" w:cs="Times New Roman"/>
      <w:lang w:val="en-US" w:eastAsia="zh-CN" w:bidi="ar-SA"/>
    </w:rPr>
  </w:style>
  <w:style w:type="paragraph" w:customStyle="1" w:styleId="22">
    <w:name w:val="Normal Indent1"/>
    <w:qFormat/>
    <w:uiPriority w:val="0"/>
    <w:pPr>
      <w:spacing w:afterLines="50" w:line="360" w:lineRule="auto"/>
      <w:ind w:firstLine="420" w:firstLineChars="200"/>
    </w:pPr>
    <w:rPr>
      <w:rFonts w:ascii="Times New Roman" w:hAnsi="Times New Roman" w:eastAsia="宋体" w:cs="Times New Roman"/>
      <w:lang w:val="en-US" w:eastAsia="zh-CN" w:bidi="ar-SA"/>
    </w:rPr>
  </w:style>
  <w:style w:type="paragraph" w:customStyle="1" w:styleId="23">
    <w:name w:val="Default"/>
    <w:qFormat/>
    <w:uiPriority w:val="0"/>
    <w:pPr>
      <w:widowControl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40003</Words>
  <Characters>42394</Characters>
  <Lines>0</Lines>
  <Paragraphs>0</Paragraphs>
  <TotalTime>0</TotalTime>
  <ScaleCrop>false</ScaleCrop>
  <LinksUpToDate>false</LinksUpToDate>
  <CharactersWithSpaces>44838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2024-07-05T09:10:00Z</dcterms:created>
  <dc:creator>57</dc:creator>
  <cp:lastModifiedBy>57</cp:lastModifiedBy>
  <dcterms:modified xsi:type="dcterms:W3CDTF">2024-07-05T10:45:25Z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A243A506B43B480DB5602BEDCBE02B42_11</vt:lpwstr>
  </property>
</Properties>
</file>