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eastAsia="zh-CN"/>
        </w:rPr>
        <w:t>以案释法——</w:t>
      </w:r>
      <w:r>
        <w:rPr>
          <w:rFonts w:hint="eastAsia" w:ascii="方正小标宋简体" w:hAnsi="宋体" w:eastAsia="方正小标宋简体"/>
          <w:sz w:val="44"/>
          <w:szCs w:val="44"/>
        </w:rPr>
        <w:t xml:space="preserve"> 合肥市蜀山区检察院诉合肥市国家税务局怠于履行职责行政公益诉讼案</w:t>
      </w:r>
    </w:p>
    <w:p>
      <w:pPr>
        <w:spacing w:line="60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基本案情</w:t>
      </w:r>
    </w:p>
    <w:p>
      <w:pPr>
        <w:spacing w:line="600" w:lineRule="exact"/>
        <w:ind w:firstLine="640" w:firstLineChars="200"/>
        <w:rPr>
          <w:rFonts w:ascii="仿宋_GB2312" w:eastAsia="仿宋_GB2312"/>
          <w:sz w:val="32"/>
          <w:szCs w:val="32"/>
        </w:rPr>
      </w:pPr>
      <w:r>
        <w:rPr>
          <w:rFonts w:ascii="仿宋_GB2312" w:eastAsia="仿宋_GB2312"/>
          <w:sz w:val="32"/>
          <w:szCs w:val="32"/>
        </w:rPr>
        <w:t>2016</w:t>
      </w:r>
      <w:r>
        <w:rPr>
          <w:rFonts w:hint="eastAsia" w:ascii="仿宋_GB2312" w:eastAsia="仿宋_GB2312"/>
          <w:sz w:val="32"/>
          <w:szCs w:val="32"/>
        </w:rPr>
        <w:t>年，安徽省合肥市包河区检察院（以下简称“包河区检察院”）在履行职责中发现，合肥铭励家具有限公司、合肥拓格会展有限公司等六家单位和个人在</w:t>
      </w:r>
      <w:r>
        <w:rPr>
          <w:rFonts w:ascii="仿宋_GB2312" w:eastAsia="仿宋_GB2312"/>
          <w:sz w:val="32"/>
          <w:szCs w:val="32"/>
        </w:rPr>
        <w:t>2014</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月至</w:t>
      </w:r>
      <w:r>
        <w:rPr>
          <w:rFonts w:ascii="仿宋_GB2312" w:eastAsia="仿宋_GB2312"/>
          <w:sz w:val="32"/>
          <w:szCs w:val="32"/>
        </w:rPr>
        <w:t>2015</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月，让他人为自己开具与实际经营业务情况不符的增值税发票，合计虚开增值税专用发票</w:t>
      </w:r>
      <w:r>
        <w:rPr>
          <w:rFonts w:ascii="仿宋_GB2312" w:eastAsia="仿宋_GB2312"/>
          <w:sz w:val="32"/>
          <w:szCs w:val="32"/>
        </w:rPr>
        <w:t>110065.54</w:t>
      </w:r>
      <w:r>
        <w:rPr>
          <w:rFonts w:hint="eastAsia" w:ascii="仿宋_GB2312" w:eastAsia="仿宋_GB2312"/>
          <w:sz w:val="32"/>
          <w:szCs w:val="32"/>
        </w:rPr>
        <w:t>元，作为进项税票抵扣税款。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案发后，合肥铭励家具有限公司等涉案单位和个人按《税收征收管理法》的规定补交了税款，但其税收违法行为却一直未得到查处。</w:t>
      </w:r>
    </w:p>
    <w:p>
      <w:pPr>
        <w:spacing w:line="600" w:lineRule="exact"/>
        <w:ind w:firstLine="640" w:firstLineChars="200"/>
        <w:rPr>
          <w:rFonts w:ascii="仿宋_GB2312" w:eastAsia="仿宋_GB2312"/>
          <w:sz w:val="32"/>
          <w:szCs w:val="32"/>
        </w:rPr>
      </w:pPr>
      <w:r>
        <w:rPr>
          <w:rFonts w:ascii="仿宋_GB2312" w:eastAsia="仿宋_GB2312"/>
          <w:sz w:val="32"/>
          <w:szCs w:val="32"/>
        </w:rPr>
        <w:t>2016</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包河区检察院向安徽省合肥市国家税务局（以下简称“合肥市国税局”）。发出检察建议书，建议税务机关对合肥铭励家具有限公司等涉案单位和个人的税收违法行为进行查处。合肥市国税局收到检察建议后一直未回复检察机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根据行政诉讼管辖的相关规定，包河区检察院将案件移送合肥市蜀山区人民检察院（以下简称“蜀山区检察院”），蜀山区检察院于</w:t>
      </w:r>
      <w:r>
        <w:rPr>
          <w:rFonts w:ascii="仿宋_GB2312" w:eastAsia="仿宋_GB2312"/>
          <w:sz w:val="32"/>
          <w:szCs w:val="32"/>
        </w:rPr>
        <w:t>2016</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23</w:t>
      </w:r>
      <w:r>
        <w:rPr>
          <w:rFonts w:hint="eastAsia" w:ascii="仿宋_GB2312" w:eastAsia="仿宋_GB2312"/>
          <w:sz w:val="32"/>
          <w:szCs w:val="32"/>
        </w:rPr>
        <w:t>日向蜀山区人民法院提起行政公益诉讼。本案起诉后，合肥市国税局迅速采取整改措施，依法对合肥铭励家具有限公司等六家公司作出税务行政处罚决定，分别对六家公司处以</w:t>
      </w:r>
      <w:r>
        <w:rPr>
          <w:rFonts w:ascii="仿宋_GB2312" w:eastAsia="仿宋_GB2312"/>
          <w:sz w:val="32"/>
          <w:szCs w:val="32"/>
        </w:rPr>
        <w:t>5</w:t>
      </w:r>
      <w:r>
        <w:rPr>
          <w:rFonts w:hint="eastAsia" w:ascii="仿宋_GB2312" w:eastAsia="仿宋_GB2312"/>
          <w:sz w:val="32"/>
          <w:szCs w:val="32"/>
        </w:rPr>
        <w:t>万元的罚款。截止至</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9</w:t>
      </w:r>
      <w:r>
        <w:rPr>
          <w:rFonts w:hint="eastAsia" w:ascii="仿宋_GB2312" w:eastAsia="仿宋_GB2312"/>
          <w:sz w:val="32"/>
          <w:szCs w:val="32"/>
        </w:rPr>
        <w:t>日，合肥市国税局已追缴回六家公司的罚没收入共计</w:t>
      </w:r>
      <w:r>
        <w:rPr>
          <w:rFonts w:ascii="仿宋_GB2312" w:eastAsia="仿宋_GB2312"/>
          <w:sz w:val="32"/>
          <w:szCs w:val="32"/>
        </w:rPr>
        <w:t>30</w:t>
      </w:r>
      <w:r>
        <w:rPr>
          <w:rFonts w:hint="eastAsia" w:ascii="仿宋_GB2312" w:eastAsia="仿宋_GB2312"/>
          <w:sz w:val="32"/>
          <w:szCs w:val="32"/>
        </w:rPr>
        <w:t>万元，全部收归国库。</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合肥市国税局将其对案涉企业的处罚及执行情况向检察机关进行了报告。鉴于公益诉讼人的诉讼请求全部实现，国家和社会公共利益得到有效保护，经层报最高检察院批准，检察机关撤回起诉。</w:t>
      </w:r>
    </w:p>
    <w:p>
      <w:pPr>
        <w:spacing w:line="600" w:lineRule="exact"/>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二、处理结果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一审法院裁定准许公益诉讼人合肥市蜀山区人民检察院撤回起诉。</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、案件启示</w:t>
      </w:r>
    </w:p>
    <w:p>
      <w:pPr>
        <w:spacing w:line="600" w:lineRule="exact"/>
        <w:ind w:firstLine="640" w:firstLineChars="200"/>
        <w:rPr>
          <w:rFonts w:ascii="仿宋_GB2312" w:eastAsia="仿宋_GB2312"/>
          <w:sz w:val="32"/>
          <w:szCs w:val="32"/>
        </w:rPr>
      </w:pPr>
      <w:r>
        <w:rPr>
          <w:rFonts w:ascii="仿宋_GB2312" w:eastAsia="仿宋_GB2312"/>
          <w:sz w:val="32"/>
          <w:szCs w:val="32"/>
        </w:rPr>
        <w:t>2017</w:t>
      </w:r>
      <w:r>
        <w:rPr>
          <w:rFonts w:hint="eastAsia" w:ascii="仿宋_GB2312" w:eastAsia="仿宋_GB2312"/>
          <w:sz w:val="32"/>
          <w:szCs w:val="32"/>
        </w:rPr>
        <w:t>年《行政诉讼法》修改，在第二十五条第四款增加了公益诉讼的内容，同时，根据最高人民法院、最高人</w:t>
      </w:r>
      <w:r>
        <w:rPr>
          <w:rFonts w:hint="eastAsia" w:ascii="仿宋_GB2312" w:eastAsia="仿宋_GB2312"/>
          <w:sz w:val="32"/>
          <w:szCs w:val="32"/>
          <w:lang w:eastAsia="zh-CN"/>
        </w:rPr>
        <w:t>民</w:t>
      </w:r>
      <w:bookmarkStart w:id="0" w:name="_GoBack"/>
      <w:bookmarkEnd w:id="0"/>
      <w:r>
        <w:rPr>
          <w:rFonts w:hint="eastAsia" w:ascii="仿宋_GB2312" w:eastAsia="仿宋_GB2312"/>
          <w:sz w:val="32"/>
          <w:szCs w:val="32"/>
        </w:rPr>
        <w:t>检察院于</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2</w:t>
      </w:r>
      <w:r>
        <w:rPr>
          <w:rFonts w:hint="eastAsia" w:ascii="仿宋_GB2312" w:eastAsia="仿宋_GB2312"/>
          <w:sz w:val="32"/>
          <w:szCs w:val="32"/>
        </w:rPr>
        <w:t>月制定发布的《关于检察公益诉讼案件适用法律若干问题的解释》（以下简称“两高解释”）第四条规定，明确了人民检察院以公益诉讼起诉人身份提起公益诉讼的法律地位，可见检察机关在税务机关不履行职责时，作为公益诉讼起诉人提起诉讼，于法有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行政机关应当在收到检察建议书之日起两个月内依法履行职责</w:t>
      </w:r>
      <w:r>
        <w:rPr>
          <w:rFonts w:ascii="仿宋_GB2312" w:eastAsia="仿宋_GB2312"/>
          <w:sz w:val="32"/>
          <w:szCs w:val="32"/>
        </w:rPr>
        <w:t>,</w:t>
      </w:r>
      <w:r>
        <w:rPr>
          <w:rFonts w:hint="eastAsia" w:ascii="仿宋_GB2312" w:eastAsia="仿宋_GB2312"/>
          <w:sz w:val="32"/>
          <w:szCs w:val="32"/>
        </w:rPr>
        <w:t>并书面回复人民检察院。如果出现国家利益或者社会公共利益损害继续扩大等紧急情形的</w:t>
      </w:r>
      <w:r>
        <w:rPr>
          <w:rFonts w:ascii="仿宋_GB2312" w:eastAsia="仿宋_GB2312"/>
          <w:sz w:val="32"/>
          <w:szCs w:val="32"/>
        </w:rPr>
        <w:t>,</w:t>
      </w:r>
      <w:r>
        <w:rPr>
          <w:rFonts w:hint="eastAsia" w:ascii="仿宋_GB2312" w:eastAsia="仿宋_GB2312"/>
          <w:sz w:val="32"/>
          <w:szCs w:val="32"/>
        </w:rPr>
        <w:t>行政机关应当在十五日内书面回复。行政机关在收到检察建议后，仍不依法履行职责的，人民检察院依法向人民法院提起诉讼。在本案中，检察院发现税务机关怠于行使税务违法行为处理权，先后提出检察建议和提起行政公益诉讼，也是符合程序的。</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相关法条</w:t>
      </w:r>
    </w:p>
    <w:p>
      <w:pPr>
        <w:spacing w:line="600" w:lineRule="exact"/>
        <w:ind w:firstLine="640" w:firstLineChars="200"/>
        <w:rPr>
          <w:rFonts w:ascii="楷体_GB2312" w:eastAsia="楷体_GB2312"/>
          <w:bCs/>
          <w:sz w:val="32"/>
          <w:szCs w:val="32"/>
        </w:rPr>
      </w:pPr>
      <w:r>
        <w:rPr>
          <w:rFonts w:hint="eastAsia" w:ascii="楷体_GB2312" w:eastAsia="楷体_GB2312"/>
          <w:bCs/>
          <w:sz w:val="32"/>
          <w:szCs w:val="32"/>
        </w:rPr>
        <w:t>1.《行政诉讼法》第二十五条</w:t>
      </w:r>
    </w:p>
    <w:p>
      <w:pPr>
        <w:spacing w:line="600" w:lineRule="exact"/>
        <w:ind w:firstLine="640" w:firstLineChars="200"/>
        <w:rPr>
          <w:rFonts w:ascii="楷体_GB2312" w:eastAsia="楷体_GB2312"/>
          <w:bCs/>
          <w:sz w:val="32"/>
          <w:szCs w:val="32"/>
        </w:rPr>
      </w:pPr>
      <w:r>
        <w:rPr>
          <w:rFonts w:ascii="楷体_GB2312" w:eastAsia="楷体_GB2312"/>
          <w:bCs/>
          <w:sz w:val="32"/>
          <w:szCs w:val="32"/>
        </w:rPr>
        <w:t>2.</w:t>
      </w:r>
      <w:r>
        <w:rPr>
          <w:rFonts w:hint="eastAsia" w:ascii="楷体_GB2312" w:eastAsia="楷体_GB2312"/>
          <w:bCs/>
          <w:sz w:val="32"/>
          <w:szCs w:val="32"/>
        </w:rPr>
        <w:t>《行政诉讼法》第六十二条</w:t>
      </w:r>
    </w:p>
    <w:p>
      <w:pPr>
        <w:spacing w:line="600" w:lineRule="exact"/>
        <w:ind w:firstLine="640" w:firstLineChars="200"/>
        <w:rPr>
          <w:rFonts w:ascii="楷体_GB2312" w:eastAsia="楷体_GB2312"/>
          <w:bCs/>
          <w:sz w:val="32"/>
          <w:szCs w:val="32"/>
        </w:rPr>
      </w:pPr>
      <w:r>
        <w:rPr>
          <w:rFonts w:ascii="楷体_GB2312" w:eastAsia="楷体_GB2312"/>
          <w:bCs/>
          <w:sz w:val="32"/>
          <w:szCs w:val="32"/>
        </w:rPr>
        <w:t>3.</w:t>
      </w:r>
      <w:r>
        <w:rPr>
          <w:rFonts w:hint="eastAsia" w:ascii="楷体_GB2312" w:eastAsia="楷体_GB2312"/>
          <w:bCs/>
          <w:sz w:val="32"/>
          <w:szCs w:val="32"/>
        </w:rPr>
        <w:t>《人民法院审理人民检察院提起公益诉讼案件试点工作实施办法》第十八条</w:t>
      </w:r>
    </w:p>
    <w:p>
      <w:pPr>
        <w:spacing w:line="600" w:lineRule="exact"/>
        <w:ind w:firstLine="640" w:firstLineChars="200"/>
        <w:rPr>
          <w:rFonts w:hint="eastAsia" w:ascii="仿宋_GB2312" w:eastAsia="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9</w:t>
    </w:r>
    <w:r>
      <w:rPr>
        <w:rStyle w:val="10"/>
      </w:rPr>
      <w:fldChar w:fldCharType="end"/>
    </w:r>
  </w:p>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7C98"/>
    <w:rsid w:val="00010F96"/>
    <w:rsid w:val="00041FBF"/>
    <w:rsid w:val="00085051"/>
    <w:rsid w:val="000A1E9D"/>
    <w:rsid w:val="000B2668"/>
    <w:rsid w:val="000D5785"/>
    <w:rsid w:val="000F245F"/>
    <w:rsid w:val="001077DA"/>
    <w:rsid w:val="0011006A"/>
    <w:rsid w:val="001148EC"/>
    <w:rsid w:val="00132EFC"/>
    <w:rsid w:val="001A2584"/>
    <w:rsid w:val="001D6E3F"/>
    <w:rsid w:val="00203C04"/>
    <w:rsid w:val="002063E8"/>
    <w:rsid w:val="00215A12"/>
    <w:rsid w:val="002178FC"/>
    <w:rsid w:val="00223AE9"/>
    <w:rsid w:val="00241EBE"/>
    <w:rsid w:val="00261876"/>
    <w:rsid w:val="0027157A"/>
    <w:rsid w:val="0029269C"/>
    <w:rsid w:val="00296B86"/>
    <w:rsid w:val="002B41E0"/>
    <w:rsid w:val="003013BC"/>
    <w:rsid w:val="00320BBC"/>
    <w:rsid w:val="00330F47"/>
    <w:rsid w:val="00335ADB"/>
    <w:rsid w:val="00357782"/>
    <w:rsid w:val="00361661"/>
    <w:rsid w:val="003702E8"/>
    <w:rsid w:val="003C2371"/>
    <w:rsid w:val="003D11EA"/>
    <w:rsid w:val="003E1706"/>
    <w:rsid w:val="003E19D6"/>
    <w:rsid w:val="00407BA3"/>
    <w:rsid w:val="00434CD4"/>
    <w:rsid w:val="004A7C98"/>
    <w:rsid w:val="004B4D7A"/>
    <w:rsid w:val="004F6C2F"/>
    <w:rsid w:val="00535AB5"/>
    <w:rsid w:val="00541121"/>
    <w:rsid w:val="00556EF8"/>
    <w:rsid w:val="005649B9"/>
    <w:rsid w:val="00567580"/>
    <w:rsid w:val="00597B33"/>
    <w:rsid w:val="005A657C"/>
    <w:rsid w:val="005C0331"/>
    <w:rsid w:val="005D549F"/>
    <w:rsid w:val="005F536E"/>
    <w:rsid w:val="0060248E"/>
    <w:rsid w:val="006469AF"/>
    <w:rsid w:val="0065004A"/>
    <w:rsid w:val="00681C55"/>
    <w:rsid w:val="006E7631"/>
    <w:rsid w:val="006F1700"/>
    <w:rsid w:val="006F5978"/>
    <w:rsid w:val="00736124"/>
    <w:rsid w:val="00797021"/>
    <w:rsid w:val="007B2178"/>
    <w:rsid w:val="007D436F"/>
    <w:rsid w:val="007D480C"/>
    <w:rsid w:val="00825558"/>
    <w:rsid w:val="008462FA"/>
    <w:rsid w:val="00850DB0"/>
    <w:rsid w:val="00851AD6"/>
    <w:rsid w:val="008800F6"/>
    <w:rsid w:val="00886A43"/>
    <w:rsid w:val="0089516B"/>
    <w:rsid w:val="008E1DB4"/>
    <w:rsid w:val="008E65A4"/>
    <w:rsid w:val="008F16B3"/>
    <w:rsid w:val="008F2859"/>
    <w:rsid w:val="00990B6B"/>
    <w:rsid w:val="009A730C"/>
    <w:rsid w:val="009B5C8A"/>
    <w:rsid w:val="009D007D"/>
    <w:rsid w:val="00A015C5"/>
    <w:rsid w:val="00A050F9"/>
    <w:rsid w:val="00A17467"/>
    <w:rsid w:val="00A3170E"/>
    <w:rsid w:val="00A6249B"/>
    <w:rsid w:val="00A660DD"/>
    <w:rsid w:val="00A86905"/>
    <w:rsid w:val="00AB2775"/>
    <w:rsid w:val="00AE2FB8"/>
    <w:rsid w:val="00BA1B22"/>
    <w:rsid w:val="00BD1552"/>
    <w:rsid w:val="00BE08FA"/>
    <w:rsid w:val="00BE1541"/>
    <w:rsid w:val="00C67194"/>
    <w:rsid w:val="00C85CE3"/>
    <w:rsid w:val="00C8657D"/>
    <w:rsid w:val="00C96511"/>
    <w:rsid w:val="00CC750B"/>
    <w:rsid w:val="00CE1034"/>
    <w:rsid w:val="00D201D4"/>
    <w:rsid w:val="00D40D07"/>
    <w:rsid w:val="00D62720"/>
    <w:rsid w:val="00D71840"/>
    <w:rsid w:val="00D91E57"/>
    <w:rsid w:val="00D96E05"/>
    <w:rsid w:val="00DC29B1"/>
    <w:rsid w:val="00E14280"/>
    <w:rsid w:val="00E5546D"/>
    <w:rsid w:val="00E949E7"/>
    <w:rsid w:val="00EC67CE"/>
    <w:rsid w:val="00ED4E00"/>
    <w:rsid w:val="00F46740"/>
    <w:rsid w:val="01357BC1"/>
    <w:rsid w:val="02C30DA5"/>
    <w:rsid w:val="420B2D02"/>
    <w:rsid w:val="4BD13B73"/>
    <w:rsid w:val="6B9F3697"/>
    <w:rsid w:val="786D1A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jc w:val="left"/>
    </w:pPr>
    <w:rPr>
      <w:sz w:val="18"/>
      <w:szCs w:val="18"/>
    </w:rPr>
  </w:style>
  <w:style w:type="paragraph" w:styleId="4">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21"/>
    <w:semiHidden/>
    <w:uiPriority w:val="99"/>
    <w:pPr>
      <w:snapToGrid w:val="0"/>
      <w:jc w:val="left"/>
    </w:pPr>
    <w:rPr>
      <w:sz w:val="18"/>
      <w:szCs w:val="18"/>
    </w:rPr>
  </w:style>
  <w:style w:type="paragraph" w:styleId="6">
    <w:name w:val="Normal (Web)"/>
    <w:basedOn w:val="1"/>
    <w:semiHidden/>
    <w:unhideWhenUsed/>
    <w:uiPriority w:val="99"/>
    <w:pPr>
      <w:jc w:val="left"/>
    </w:pPr>
    <w:rPr>
      <w:kern w:val="0"/>
      <w:sz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styleId="11">
    <w:name w:val="FollowedHyperlink"/>
    <w:basedOn w:val="8"/>
    <w:semiHidden/>
    <w:unhideWhenUsed/>
    <w:qFormat/>
    <w:uiPriority w:val="99"/>
    <w:rPr>
      <w:color w:val="333333"/>
      <w:u w:val="none"/>
    </w:rPr>
  </w:style>
  <w:style w:type="character" w:styleId="12">
    <w:name w:val="Hyperlink"/>
    <w:basedOn w:val="8"/>
    <w:semiHidden/>
    <w:unhideWhenUsed/>
    <w:qFormat/>
    <w:uiPriority w:val="99"/>
    <w:rPr>
      <w:color w:val="333333"/>
      <w:u w:val="none"/>
    </w:rPr>
  </w:style>
  <w:style w:type="character" w:styleId="13">
    <w:name w:val="footnote reference"/>
    <w:basedOn w:val="8"/>
    <w:semiHidden/>
    <w:qFormat/>
    <w:uiPriority w:val="99"/>
    <w:rPr>
      <w:rFonts w:cs="Times New Roman"/>
      <w:vertAlign w:val="superscript"/>
    </w:rPr>
  </w:style>
  <w:style w:type="character" w:customStyle="1" w:styleId="14">
    <w:name w:val="标题 1 Char"/>
    <w:basedOn w:val="8"/>
    <w:link w:val="2"/>
    <w:qFormat/>
    <w:locked/>
    <w:uiPriority w:val="99"/>
    <w:rPr>
      <w:rFonts w:ascii="宋体" w:hAnsi="宋体" w:eastAsia="宋体" w:cs="宋体"/>
      <w:b/>
      <w:bCs/>
      <w:kern w:val="36"/>
      <w:sz w:val="48"/>
      <w:szCs w:val="48"/>
    </w:rPr>
  </w:style>
  <w:style w:type="character" w:customStyle="1" w:styleId="15">
    <w:name w:val="页眉 Char"/>
    <w:basedOn w:val="8"/>
    <w:link w:val="4"/>
    <w:qFormat/>
    <w:locked/>
    <w:uiPriority w:val="99"/>
    <w:rPr>
      <w:rFonts w:cs="Times New Roman"/>
      <w:sz w:val="18"/>
      <w:szCs w:val="18"/>
    </w:rPr>
  </w:style>
  <w:style w:type="character" w:customStyle="1" w:styleId="16">
    <w:name w:val="页脚 Char"/>
    <w:basedOn w:val="8"/>
    <w:link w:val="3"/>
    <w:qFormat/>
    <w:locked/>
    <w:uiPriority w:val="99"/>
    <w:rPr>
      <w:rFonts w:cs="Times New Roman"/>
      <w:sz w:val="18"/>
      <w:szCs w:val="18"/>
    </w:rPr>
  </w:style>
  <w:style w:type="paragraph" w:customStyle="1" w:styleId="17">
    <w:name w:val="one-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
    <w:name w:val="默认段落字体 Para Char Char Char1 Char"/>
    <w:basedOn w:val="1"/>
    <w:qFormat/>
    <w:uiPriority w:val="99"/>
    <w:pPr>
      <w:spacing w:line="240" w:lineRule="atLeast"/>
      <w:ind w:left="420" w:firstLine="420"/>
    </w:pPr>
    <w:rPr>
      <w:rFonts w:ascii="Times New Roman" w:hAnsi="Times New Roman"/>
      <w:kern w:val="0"/>
      <w:szCs w:val="21"/>
    </w:rPr>
  </w:style>
  <w:style w:type="paragraph" w:customStyle="1" w:styleId="19">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0">
    <w:name w:val="apple-converted-space"/>
    <w:basedOn w:val="8"/>
    <w:uiPriority w:val="99"/>
    <w:rPr>
      <w:rFonts w:cs="Times New Roman"/>
    </w:rPr>
  </w:style>
  <w:style w:type="character" w:customStyle="1" w:styleId="21">
    <w:name w:val="脚注文本 Char"/>
    <w:basedOn w:val="8"/>
    <w:link w:val="5"/>
    <w:semiHidden/>
    <w:qFormat/>
    <w:locked/>
    <w:uiPriority w:val="99"/>
    <w:rPr>
      <w:rFonts w:cs="Times New Roman"/>
      <w:sz w:val="18"/>
      <w:szCs w:val="18"/>
    </w:rPr>
  </w:style>
  <w:style w:type="character" w:customStyle="1" w:styleId="22">
    <w:name w:val="fs19"/>
    <w:basedOn w:val="8"/>
    <w:qFormat/>
    <w:uiPriority w:val="0"/>
    <w:rPr>
      <w:sz w:val="28"/>
      <w:szCs w:val="28"/>
    </w:rPr>
  </w:style>
  <w:style w:type="character" w:customStyle="1" w:styleId="23">
    <w:name w:val="fs18"/>
    <w:basedOn w:val="8"/>
    <w:qFormat/>
    <w:uiPriority w:val="0"/>
    <w:rPr>
      <w:sz w:val="27"/>
      <w:szCs w:val="27"/>
    </w:rPr>
  </w:style>
  <w:style w:type="character" w:customStyle="1" w:styleId="24">
    <w:name w:val="data"/>
    <w:basedOn w:val="8"/>
    <w:qFormat/>
    <w:uiPriority w:val="0"/>
    <w:rPr>
      <w:rFonts w:ascii="Segoe UI" w:hAnsi="Segoe UI" w:eastAsia="Segoe UI" w:cs="Segoe UI"/>
      <w:color w:val="999999"/>
      <w:sz w:val="21"/>
      <w:szCs w:val="21"/>
    </w:rPr>
  </w:style>
  <w:style w:type="character" w:customStyle="1" w:styleId="25">
    <w:name w:val="fs14"/>
    <w:basedOn w:val="8"/>
    <w:qFormat/>
    <w:uiPriority w:val="0"/>
    <w:rPr>
      <w:sz w:val="21"/>
      <w:szCs w:val="21"/>
    </w:rPr>
  </w:style>
  <w:style w:type="character" w:customStyle="1" w:styleId="26">
    <w:name w:val="fs20"/>
    <w:basedOn w:val="8"/>
    <w:qFormat/>
    <w:uiPriority w:val="0"/>
    <w:rPr>
      <w:sz w:val="30"/>
      <w:szCs w:val="30"/>
    </w:rPr>
  </w:style>
  <w:style w:type="character" w:customStyle="1" w:styleId="27">
    <w:name w:val="fs15"/>
    <w:basedOn w:val="8"/>
    <w:qFormat/>
    <w:uiPriority w:val="0"/>
    <w:rPr>
      <w:sz w:val="22"/>
      <w:szCs w:val="22"/>
    </w:rPr>
  </w:style>
  <w:style w:type="character" w:customStyle="1" w:styleId="28">
    <w:name w:val="fs17"/>
    <w:basedOn w:val="8"/>
    <w:qFormat/>
    <w:uiPriority w:val="0"/>
    <w:rPr>
      <w:sz w:val="25"/>
      <w:szCs w:val="25"/>
    </w:rPr>
  </w:style>
  <w:style w:type="character" w:customStyle="1" w:styleId="29">
    <w:name w:val="fs16"/>
    <w:basedOn w:val="8"/>
    <w:qFormat/>
    <w:uiPriority w:val="0"/>
    <w:rPr>
      <w:sz w:val="24"/>
      <w:szCs w:val="24"/>
    </w:rPr>
  </w:style>
  <w:style w:type="character" w:customStyle="1" w:styleId="30">
    <w:name w:val="fs21"/>
    <w:basedOn w:val="8"/>
    <w:qFormat/>
    <w:uiPriority w:val="0"/>
    <w:rPr>
      <w:sz w:val="31"/>
      <w:szCs w:val="31"/>
    </w:rPr>
  </w:style>
  <w:style w:type="character" w:customStyle="1" w:styleId="31">
    <w:name w:val="fs22"/>
    <w:basedOn w:val="8"/>
    <w:qFormat/>
    <w:uiPriority w:val="0"/>
    <w:rPr>
      <w:sz w:val="33"/>
      <w:szCs w:val="33"/>
    </w:rPr>
  </w:style>
  <w:style w:type="character" w:customStyle="1" w:styleId="32">
    <w:name w:val="fs23"/>
    <w:basedOn w:val="8"/>
    <w:qFormat/>
    <w:uiPriority w:val="0"/>
    <w:rPr>
      <w:sz w:val="34"/>
      <w:szCs w:val="34"/>
    </w:rPr>
  </w:style>
  <w:style w:type="character" w:customStyle="1" w:styleId="33">
    <w:name w:val="fs24"/>
    <w:basedOn w:val="8"/>
    <w:qFormat/>
    <w:uiPriority w:val="0"/>
    <w:rPr>
      <w:sz w:val="36"/>
      <w:szCs w:val="36"/>
    </w:rPr>
  </w:style>
  <w:style w:type="character" w:customStyle="1" w:styleId="34">
    <w:name w:val="fs25"/>
    <w:basedOn w:val="8"/>
    <w:qFormat/>
    <w:uiPriority w:val="0"/>
    <w:rPr>
      <w:sz w:val="37"/>
      <w:szCs w:val="37"/>
    </w:rPr>
  </w:style>
  <w:style w:type="character" w:customStyle="1" w:styleId="35">
    <w:name w:val="fs26"/>
    <w:basedOn w:val="8"/>
    <w:qFormat/>
    <w:uiPriority w:val="0"/>
    <w:rPr>
      <w:sz w:val="39"/>
      <w:szCs w:val="39"/>
    </w:rPr>
  </w:style>
  <w:style w:type="character" w:customStyle="1" w:styleId="36">
    <w:name w:val="fs27"/>
    <w:basedOn w:val="8"/>
    <w:qFormat/>
    <w:uiPriority w:val="0"/>
    <w:rPr>
      <w:sz w:val="40"/>
      <w:szCs w:val="40"/>
    </w:rPr>
  </w:style>
  <w:style w:type="character" w:customStyle="1" w:styleId="37">
    <w:name w:val="fs28"/>
    <w:basedOn w:val="8"/>
    <w:qFormat/>
    <w:uiPriority w:val="0"/>
    <w:rPr>
      <w:sz w:val="42"/>
      <w:szCs w:val="42"/>
    </w:rPr>
  </w:style>
  <w:style w:type="character" w:customStyle="1" w:styleId="38">
    <w:name w:val="fs29"/>
    <w:basedOn w:val="8"/>
    <w:qFormat/>
    <w:uiPriority w:val="0"/>
    <w:rPr>
      <w:sz w:val="43"/>
      <w:szCs w:val="43"/>
    </w:rPr>
  </w:style>
  <w:style w:type="character" w:customStyle="1" w:styleId="39">
    <w:name w:val="fs30"/>
    <w:basedOn w:val="8"/>
    <w:qFormat/>
    <w:uiPriority w:val="0"/>
    <w:rPr>
      <w:sz w:val="45"/>
      <w:szCs w:val="4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A2A8AB-4F38-498A-A572-2EE18BF70C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677</Words>
  <Characters>3863</Characters>
  <Lines>32</Lines>
  <Paragraphs>9</Paragraphs>
  <TotalTime>3</TotalTime>
  <ScaleCrop>false</ScaleCrop>
  <LinksUpToDate>false</LinksUpToDate>
  <CharactersWithSpaces>4531</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2019-02-27T09:22:00Z</dcterms:created>
  <dc:creator>黄梦妮</dc:creator>
  <cp:lastModifiedBy>陈俊威</cp:lastModifiedBy>
  <dcterms:modified xsi:type="dcterms:W3CDTF">2022-07-08T08:07:45Z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