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48" w:beforeLines="400" w:after="780" w:afterLines="250" w:line="480" w:lineRule="auto"/>
        <w:ind w:left="315" w:leftChars="150"/>
        <w:jc w:val="center"/>
        <w:rPr>
          <w:rFonts w:ascii="宋体" w:hAnsi="宋体"/>
          <w:sz w:val="120"/>
          <w:szCs w:val="120"/>
        </w:rPr>
      </w:pPr>
      <w:r>
        <w:rPr>
          <w:rFonts w:hint="eastAsia" w:ascii="宋体" w:hAnsi="宋体"/>
          <w:b/>
          <w:sz w:val="120"/>
          <w:szCs w:val="120"/>
        </w:rPr>
        <w:t>竞争性磋商文件</w:t>
      </w:r>
    </w:p>
    <w:p>
      <w:pPr>
        <w:jc w:val="center"/>
        <w:rPr>
          <w:rFonts w:asciiTheme="minorEastAsia" w:hAnsiTheme="minorEastAsia" w:eastAsiaTheme="minorEastAsia"/>
          <w:b/>
          <w:sz w:val="32"/>
          <w:szCs w:val="32"/>
        </w:rPr>
      </w:pPr>
      <w:r>
        <w:rPr>
          <w:rFonts w:asciiTheme="minorEastAsia" w:hAnsiTheme="minorEastAsia" w:eastAsiaTheme="minorEastAsia"/>
          <w:b/>
          <w:sz w:val="32"/>
        </w:rPr>
        <w:drawing>
          <wp:inline distT="0" distB="0" distL="0" distR="0">
            <wp:extent cx="3836670" cy="3919855"/>
            <wp:effectExtent l="0" t="0" r="0" b="4445"/>
            <wp:docPr id="1" name="图片 1" descr="智汇城市logo_曲_CDR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智汇城市logo_曲_CDRX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865035" cy="3948281"/>
                    </a:xfrm>
                    <a:prstGeom prst="rect">
                      <a:avLst/>
                    </a:prstGeom>
                    <a:noFill/>
                    <a:ln>
                      <a:noFill/>
                    </a:ln>
                  </pic:spPr>
                </pic:pic>
              </a:graphicData>
            </a:graphic>
          </wp:inline>
        </w:drawing>
      </w:r>
    </w:p>
    <w:p>
      <w:pPr>
        <w:pStyle w:val="74"/>
        <w:tabs>
          <w:tab w:val="left" w:pos="9072"/>
        </w:tabs>
        <w:spacing w:before="624" w:beforeLines="200" w:line="640" w:lineRule="exact"/>
        <w:ind w:firstLine="991" w:firstLineChars="282"/>
        <w:outlineLvl w:val="3"/>
        <w:rPr>
          <w:rFonts w:hint="default" w:ascii="宋体" w:hAnsi="宋体" w:eastAsia="宋体"/>
          <w:sz w:val="35"/>
          <w:szCs w:val="35"/>
          <w:lang w:eastAsia="zh-CN"/>
        </w:rPr>
      </w:pPr>
      <w:r>
        <w:rPr>
          <w:rFonts w:ascii="宋体" w:hAnsi="宋体" w:eastAsia="宋体"/>
          <w:b/>
          <w:sz w:val="35"/>
          <w:szCs w:val="35"/>
        </w:rPr>
        <w:t>项目编号：ZHMZCZ2024001</w:t>
      </w:r>
    </w:p>
    <w:p>
      <w:pPr>
        <w:pStyle w:val="74"/>
        <w:spacing w:line="640" w:lineRule="exact"/>
        <w:ind w:left="2769" w:leftChars="482" w:hanging="1757" w:hangingChars="500"/>
        <w:outlineLvl w:val="3"/>
        <w:rPr>
          <w:rFonts w:hint="default" w:ascii="宋体" w:hAnsi="宋体" w:eastAsia="宋体"/>
          <w:sz w:val="35"/>
          <w:szCs w:val="35"/>
        </w:rPr>
      </w:pPr>
      <w:r>
        <w:rPr>
          <w:rFonts w:ascii="宋体" w:hAnsi="宋体" w:eastAsia="宋体"/>
          <w:b/>
          <w:sz w:val="35"/>
          <w:szCs w:val="35"/>
        </w:rPr>
        <w:t>项目名称：国家税务总局兴宁市税务局综合业务办公用房维修改造项目</w:t>
      </w:r>
    </w:p>
    <w:p>
      <w:pPr>
        <w:pStyle w:val="74"/>
        <w:spacing w:line="640" w:lineRule="exact"/>
        <w:ind w:firstLine="991" w:firstLineChars="282"/>
        <w:outlineLvl w:val="3"/>
        <w:rPr>
          <w:rFonts w:hint="default" w:ascii="宋体" w:hAnsi="宋体" w:eastAsia="宋体"/>
          <w:sz w:val="35"/>
          <w:szCs w:val="35"/>
        </w:rPr>
      </w:pPr>
      <w:r>
        <w:rPr>
          <w:rFonts w:ascii="宋体" w:hAnsi="宋体" w:eastAsia="宋体"/>
          <w:b/>
          <w:sz w:val="35"/>
          <w:szCs w:val="35"/>
        </w:rPr>
        <w:t>采</w:t>
      </w:r>
      <w:r>
        <w:rPr>
          <w:rFonts w:ascii="宋体" w:hAnsi="宋体" w:eastAsia="宋体"/>
          <w:b/>
          <w:sz w:val="35"/>
          <w:szCs w:val="35"/>
          <w:lang w:eastAsia="zh-CN"/>
        </w:rPr>
        <w:t xml:space="preserve"> </w:t>
      </w:r>
      <w:r>
        <w:rPr>
          <w:rFonts w:ascii="宋体" w:hAnsi="宋体" w:eastAsia="宋体"/>
          <w:b/>
          <w:sz w:val="35"/>
          <w:szCs w:val="35"/>
        </w:rPr>
        <w:t>购</w:t>
      </w:r>
      <w:r>
        <w:rPr>
          <w:rFonts w:ascii="宋体" w:hAnsi="宋体" w:eastAsia="宋体"/>
          <w:b/>
          <w:sz w:val="35"/>
          <w:szCs w:val="35"/>
          <w:lang w:eastAsia="zh-CN"/>
        </w:rPr>
        <w:t xml:space="preserve"> </w:t>
      </w:r>
      <w:r>
        <w:rPr>
          <w:rFonts w:ascii="宋体" w:hAnsi="宋体" w:eastAsia="宋体"/>
          <w:b/>
          <w:sz w:val="35"/>
          <w:szCs w:val="35"/>
        </w:rPr>
        <w:t>人：国家税务总局兴宁市税务局</w:t>
      </w:r>
    </w:p>
    <w:p>
      <w:pPr>
        <w:pStyle w:val="74"/>
        <w:spacing w:line="640" w:lineRule="exact"/>
        <w:ind w:firstLine="991" w:firstLineChars="282"/>
        <w:outlineLvl w:val="3"/>
        <w:rPr>
          <w:rFonts w:hint="default" w:ascii="宋体" w:hAnsi="宋体" w:eastAsia="宋体"/>
          <w:b/>
          <w:sz w:val="36"/>
          <w:szCs w:val="24"/>
          <w:lang w:eastAsia="zh-CN"/>
        </w:rPr>
      </w:pPr>
      <w:r>
        <w:rPr>
          <w:rFonts w:ascii="宋体" w:hAnsi="宋体" w:eastAsia="宋体"/>
          <w:b/>
          <w:sz w:val="35"/>
          <w:szCs w:val="35"/>
        </w:rPr>
        <w:t>采购代理机构：广东智汇城市招标采购有限公司</w:t>
      </w:r>
    </w:p>
    <w:sdt>
      <w:sdtPr>
        <w:rPr>
          <w:rFonts w:asciiTheme="minorEastAsia" w:hAnsiTheme="minorEastAsia" w:eastAsiaTheme="minorEastAsia" w:cstheme="minorBidi"/>
          <w:b w:val="0"/>
          <w:bCs w:val="0"/>
          <w:color w:val="auto"/>
          <w:kern w:val="2"/>
          <w:sz w:val="21"/>
          <w:szCs w:val="22"/>
          <w:lang w:val="zh-CN"/>
        </w:rPr>
        <w:id w:val="1573932282"/>
      </w:sdtPr>
      <w:sdtEndPr>
        <w:rPr>
          <w:rFonts w:asciiTheme="minorEastAsia" w:hAnsiTheme="minorEastAsia" w:eastAsiaTheme="minorEastAsia" w:cstheme="minorBidi"/>
          <w:b w:val="0"/>
          <w:bCs w:val="0"/>
          <w:color w:val="auto"/>
          <w:kern w:val="0"/>
          <w:sz w:val="22"/>
          <w:szCs w:val="22"/>
          <w:lang w:val="zh-CN"/>
        </w:rPr>
      </w:sdtEndPr>
      <w:sdtContent>
        <w:p>
          <w:pPr>
            <w:pStyle w:val="48"/>
            <w:keepNext w:val="0"/>
            <w:keepLines w:val="0"/>
            <w:pageBreakBefore/>
            <w:widowControl w:val="0"/>
            <w:spacing w:before="156" w:beforeLines="50" w:after="156" w:afterLines="50"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sz w:val="32"/>
              <w:szCs w:val="32"/>
              <w:lang w:val="zh-CN"/>
            </w:rPr>
            <w:t>目 录</w:t>
          </w:r>
        </w:p>
        <w:p>
          <w:pPr>
            <w:pStyle w:val="15"/>
            <w:tabs>
              <w:tab w:val="right" w:leader="dot" w:pos="9070"/>
              <w:tab w:val="clear" w:pos="8273"/>
            </w:tabs>
            <w:rPr>
              <w:rStyle w:val="28"/>
              <w:rFonts w:ascii="宋体" w:hAnsi="宋体" w:eastAsia="宋体"/>
              <w:spacing w:val="20"/>
              <w:sz w:val="24"/>
              <w:szCs w:val="24"/>
            </w:rPr>
          </w:pPr>
          <w:r>
            <w:rPr>
              <w:rStyle w:val="28"/>
              <w:rFonts w:ascii="宋体" w:hAnsi="宋体" w:eastAsia="宋体"/>
              <w:spacing w:val="20"/>
              <w:sz w:val="24"/>
              <w:szCs w:val="24"/>
            </w:rPr>
            <w:fldChar w:fldCharType="begin"/>
          </w:r>
          <w:r>
            <w:rPr>
              <w:rStyle w:val="28"/>
              <w:rFonts w:ascii="宋体" w:hAnsi="宋体" w:eastAsia="宋体"/>
              <w:spacing w:val="20"/>
              <w:sz w:val="24"/>
              <w:szCs w:val="24"/>
            </w:rPr>
            <w:instrText xml:space="preserve"> TOC \o "1-3" \h \z \u </w:instrText>
          </w:r>
          <w:r>
            <w:rPr>
              <w:rStyle w:val="28"/>
              <w:rFonts w:ascii="宋体" w:hAnsi="宋体" w:eastAsia="宋体"/>
              <w:spacing w:val="20"/>
              <w:sz w:val="24"/>
              <w:szCs w:val="24"/>
            </w:rPr>
            <w:fldChar w:fldCharType="separate"/>
          </w:r>
          <w:r>
            <w:fldChar w:fldCharType="begin"/>
          </w:r>
          <w:r>
            <w:instrText xml:space="preserve"> HYPERLINK \l "_Toc170228128" </w:instrText>
          </w:r>
          <w:r>
            <w:fldChar w:fldCharType="separate"/>
          </w:r>
          <w:r>
            <w:rPr>
              <w:rStyle w:val="28"/>
              <w:rFonts w:ascii="宋体" w:hAnsi="宋体" w:eastAsia="宋体"/>
              <w:spacing w:val="20"/>
              <w:sz w:val="24"/>
              <w:szCs w:val="24"/>
            </w:rPr>
            <w:t>第一章 磋商邀请</w:t>
          </w:r>
          <w:r>
            <w:rPr>
              <w:rStyle w:val="28"/>
              <w:rFonts w:ascii="宋体" w:hAnsi="宋体" w:eastAsia="宋体"/>
              <w:spacing w:val="20"/>
              <w:sz w:val="24"/>
              <w:szCs w:val="24"/>
            </w:rPr>
            <w:tab/>
          </w:r>
          <w:r>
            <w:rPr>
              <w:rStyle w:val="28"/>
              <w:rFonts w:ascii="宋体" w:hAnsi="宋体" w:eastAsia="宋体"/>
              <w:spacing w:val="20"/>
              <w:sz w:val="24"/>
              <w:szCs w:val="24"/>
            </w:rPr>
            <w:fldChar w:fldCharType="begin"/>
          </w:r>
          <w:r>
            <w:rPr>
              <w:rStyle w:val="28"/>
              <w:rFonts w:ascii="宋体" w:hAnsi="宋体" w:eastAsia="宋体"/>
              <w:spacing w:val="20"/>
              <w:sz w:val="24"/>
              <w:szCs w:val="24"/>
            </w:rPr>
            <w:instrText xml:space="preserve"> PAGEREF _Toc170228128 \h </w:instrText>
          </w:r>
          <w:r>
            <w:rPr>
              <w:rStyle w:val="28"/>
              <w:rFonts w:ascii="宋体" w:hAnsi="宋体" w:eastAsia="宋体"/>
              <w:spacing w:val="20"/>
              <w:sz w:val="24"/>
              <w:szCs w:val="24"/>
            </w:rPr>
            <w:fldChar w:fldCharType="separate"/>
          </w:r>
          <w:r>
            <w:rPr>
              <w:rStyle w:val="28"/>
              <w:rFonts w:ascii="宋体" w:hAnsi="宋体" w:eastAsia="宋体"/>
              <w:spacing w:val="20"/>
              <w:sz w:val="24"/>
              <w:szCs w:val="24"/>
            </w:rPr>
            <w:t>2</w:t>
          </w:r>
          <w:r>
            <w:rPr>
              <w:rStyle w:val="28"/>
              <w:rFonts w:ascii="宋体" w:hAnsi="宋体" w:eastAsia="宋体"/>
              <w:spacing w:val="20"/>
              <w:sz w:val="24"/>
              <w:szCs w:val="24"/>
            </w:rPr>
            <w:fldChar w:fldCharType="end"/>
          </w:r>
          <w:r>
            <w:rPr>
              <w:rStyle w:val="28"/>
              <w:rFonts w:ascii="宋体" w:hAnsi="宋体" w:eastAsia="宋体"/>
              <w:spacing w:val="20"/>
              <w:sz w:val="24"/>
              <w:szCs w:val="24"/>
            </w:rPr>
            <w:fldChar w:fldCharType="end"/>
          </w:r>
        </w:p>
        <w:p>
          <w:pPr>
            <w:pStyle w:val="15"/>
            <w:tabs>
              <w:tab w:val="right" w:leader="dot" w:pos="9070"/>
              <w:tab w:val="clear" w:pos="8273"/>
            </w:tabs>
            <w:rPr>
              <w:rStyle w:val="28"/>
              <w:rFonts w:ascii="宋体" w:hAnsi="宋体" w:eastAsia="宋体"/>
              <w:spacing w:val="20"/>
              <w:sz w:val="24"/>
              <w:szCs w:val="24"/>
            </w:rPr>
          </w:pPr>
          <w:r>
            <w:fldChar w:fldCharType="begin"/>
          </w:r>
          <w:r>
            <w:instrText xml:space="preserve"> HYPERLINK \l "_Toc170228129" </w:instrText>
          </w:r>
          <w:r>
            <w:fldChar w:fldCharType="separate"/>
          </w:r>
          <w:r>
            <w:rPr>
              <w:rStyle w:val="28"/>
              <w:rFonts w:ascii="宋体" w:hAnsi="宋体" w:eastAsia="宋体"/>
              <w:spacing w:val="20"/>
              <w:sz w:val="24"/>
              <w:szCs w:val="24"/>
            </w:rPr>
            <w:t>第二章 采购需求</w:t>
          </w:r>
          <w:r>
            <w:rPr>
              <w:rStyle w:val="28"/>
              <w:rFonts w:ascii="宋体" w:hAnsi="宋体" w:eastAsia="宋体"/>
              <w:spacing w:val="20"/>
              <w:sz w:val="24"/>
              <w:szCs w:val="24"/>
            </w:rPr>
            <w:tab/>
          </w:r>
          <w:r>
            <w:rPr>
              <w:rStyle w:val="28"/>
              <w:rFonts w:ascii="宋体" w:hAnsi="宋体" w:eastAsia="宋体"/>
              <w:spacing w:val="20"/>
              <w:sz w:val="24"/>
              <w:szCs w:val="24"/>
            </w:rPr>
            <w:fldChar w:fldCharType="begin"/>
          </w:r>
          <w:r>
            <w:rPr>
              <w:rStyle w:val="28"/>
              <w:rFonts w:ascii="宋体" w:hAnsi="宋体" w:eastAsia="宋体"/>
              <w:spacing w:val="20"/>
              <w:sz w:val="24"/>
              <w:szCs w:val="24"/>
            </w:rPr>
            <w:instrText xml:space="preserve"> PAGEREF _Toc170228129 \h </w:instrText>
          </w:r>
          <w:r>
            <w:rPr>
              <w:rStyle w:val="28"/>
              <w:rFonts w:ascii="宋体" w:hAnsi="宋体" w:eastAsia="宋体"/>
              <w:spacing w:val="20"/>
              <w:sz w:val="24"/>
              <w:szCs w:val="24"/>
            </w:rPr>
            <w:fldChar w:fldCharType="separate"/>
          </w:r>
          <w:r>
            <w:rPr>
              <w:rStyle w:val="28"/>
              <w:rFonts w:ascii="宋体" w:hAnsi="宋体" w:eastAsia="宋体"/>
              <w:spacing w:val="20"/>
              <w:sz w:val="24"/>
              <w:szCs w:val="24"/>
            </w:rPr>
            <w:t>6</w:t>
          </w:r>
          <w:r>
            <w:rPr>
              <w:rStyle w:val="28"/>
              <w:rFonts w:ascii="宋体" w:hAnsi="宋体" w:eastAsia="宋体"/>
              <w:spacing w:val="20"/>
              <w:sz w:val="24"/>
              <w:szCs w:val="24"/>
            </w:rPr>
            <w:fldChar w:fldCharType="end"/>
          </w:r>
          <w:r>
            <w:rPr>
              <w:rStyle w:val="28"/>
              <w:rFonts w:ascii="宋体" w:hAnsi="宋体" w:eastAsia="宋体"/>
              <w:spacing w:val="20"/>
              <w:sz w:val="24"/>
              <w:szCs w:val="24"/>
            </w:rPr>
            <w:fldChar w:fldCharType="end"/>
          </w:r>
        </w:p>
        <w:p>
          <w:pPr>
            <w:pStyle w:val="15"/>
            <w:tabs>
              <w:tab w:val="right" w:leader="dot" w:pos="9070"/>
              <w:tab w:val="clear" w:pos="8273"/>
            </w:tabs>
            <w:rPr>
              <w:rStyle w:val="28"/>
              <w:rFonts w:ascii="宋体" w:hAnsi="宋体" w:eastAsia="宋体"/>
              <w:spacing w:val="20"/>
              <w:sz w:val="24"/>
              <w:szCs w:val="24"/>
            </w:rPr>
          </w:pPr>
          <w:r>
            <w:fldChar w:fldCharType="begin"/>
          </w:r>
          <w:r>
            <w:instrText xml:space="preserve"> HYPERLINK \l "_Toc170228130" </w:instrText>
          </w:r>
          <w:r>
            <w:fldChar w:fldCharType="separate"/>
          </w:r>
          <w:r>
            <w:rPr>
              <w:rStyle w:val="28"/>
              <w:rFonts w:ascii="宋体" w:hAnsi="宋体" w:eastAsia="宋体"/>
              <w:spacing w:val="20"/>
              <w:sz w:val="24"/>
              <w:szCs w:val="24"/>
            </w:rPr>
            <w:t>第三章 磋商须知</w:t>
          </w:r>
          <w:r>
            <w:rPr>
              <w:rStyle w:val="28"/>
              <w:rFonts w:ascii="宋体" w:hAnsi="宋体" w:eastAsia="宋体"/>
              <w:spacing w:val="20"/>
              <w:sz w:val="24"/>
              <w:szCs w:val="24"/>
            </w:rPr>
            <w:tab/>
          </w:r>
          <w:r>
            <w:rPr>
              <w:rStyle w:val="28"/>
              <w:rFonts w:ascii="宋体" w:hAnsi="宋体" w:eastAsia="宋体"/>
              <w:spacing w:val="20"/>
              <w:sz w:val="24"/>
              <w:szCs w:val="24"/>
            </w:rPr>
            <w:fldChar w:fldCharType="begin"/>
          </w:r>
          <w:r>
            <w:rPr>
              <w:rStyle w:val="28"/>
              <w:rFonts w:ascii="宋体" w:hAnsi="宋体" w:eastAsia="宋体"/>
              <w:spacing w:val="20"/>
              <w:sz w:val="24"/>
              <w:szCs w:val="24"/>
            </w:rPr>
            <w:instrText xml:space="preserve"> PAGEREF _Toc170228130 \h </w:instrText>
          </w:r>
          <w:r>
            <w:rPr>
              <w:rStyle w:val="28"/>
              <w:rFonts w:ascii="宋体" w:hAnsi="宋体" w:eastAsia="宋体"/>
              <w:spacing w:val="20"/>
              <w:sz w:val="24"/>
              <w:szCs w:val="24"/>
            </w:rPr>
            <w:fldChar w:fldCharType="separate"/>
          </w:r>
          <w:r>
            <w:rPr>
              <w:rStyle w:val="28"/>
              <w:rFonts w:ascii="宋体" w:hAnsi="宋体" w:eastAsia="宋体"/>
              <w:spacing w:val="20"/>
              <w:sz w:val="24"/>
              <w:szCs w:val="24"/>
            </w:rPr>
            <w:t>9</w:t>
          </w:r>
          <w:r>
            <w:rPr>
              <w:rStyle w:val="28"/>
              <w:rFonts w:ascii="宋体" w:hAnsi="宋体" w:eastAsia="宋体"/>
              <w:spacing w:val="20"/>
              <w:sz w:val="24"/>
              <w:szCs w:val="24"/>
            </w:rPr>
            <w:fldChar w:fldCharType="end"/>
          </w:r>
          <w:r>
            <w:rPr>
              <w:rStyle w:val="28"/>
              <w:rFonts w:ascii="宋体" w:hAnsi="宋体" w:eastAsia="宋体"/>
              <w:spacing w:val="20"/>
              <w:sz w:val="24"/>
              <w:szCs w:val="24"/>
            </w:rPr>
            <w:fldChar w:fldCharType="end"/>
          </w:r>
        </w:p>
        <w:p>
          <w:pPr>
            <w:pStyle w:val="15"/>
            <w:tabs>
              <w:tab w:val="right" w:leader="dot" w:pos="9070"/>
              <w:tab w:val="clear" w:pos="8273"/>
            </w:tabs>
            <w:rPr>
              <w:rStyle w:val="28"/>
              <w:rFonts w:ascii="宋体" w:hAnsi="宋体" w:eastAsia="宋体"/>
              <w:spacing w:val="20"/>
              <w:sz w:val="24"/>
              <w:szCs w:val="24"/>
            </w:rPr>
          </w:pPr>
          <w:r>
            <w:fldChar w:fldCharType="begin"/>
          </w:r>
          <w:r>
            <w:instrText xml:space="preserve"> HYPERLINK \l "_Toc170228131" </w:instrText>
          </w:r>
          <w:r>
            <w:fldChar w:fldCharType="separate"/>
          </w:r>
          <w:r>
            <w:rPr>
              <w:rStyle w:val="28"/>
              <w:rFonts w:ascii="宋体" w:hAnsi="宋体" w:eastAsia="宋体"/>
              <w:spacing w:val="20"/>
              <w:sz w:val="24"/>
              <w:szCs w:val="24"/>
            </w:rPr>
            <w:t>第四章 评审</w:t>
          </w:r>
          <w:r>
            <w:rPr>
              <w:rStyle w:val="28"/>
              <w:rFonts w:ascii="宋体" w:hAnsi="宋体" w:eastAsia="宋体"/>
              <w:spacing w:val="20"/>
              <w:sz w:val="24"/>
              <w:szCs w:val="24"/>
            </w:rPr>
            <w:tab/>
          </w:r>
          <w:r>
            <w:rPr>
              <w:rStyle w:val="28"/>
              <w:rFonts w:ascii="宋体" w:hAnsi="宋体" w:eastAsia="宋体"/>
              <w:spacing w:val="20"/>
              <w:sz w:val="24"/>
              <w:szCs w:val="24"/>
            </w:rPr>
            <w:fldChar w:fldCharType="begin"/>
          </w:r>
          <w:r>
            <w:rPr>
              <w:rStyle w:val="28"/>
              <w:rFonts w:ascii="宋体" w:hAnsi="宋体" w:eastAsia="宋体"/>
              <w:spacing w:val="20"/>
              <w:sz w:val="24"/>
              <w:szCs w:val="24"/>
            </w:rPr>
            <w:instrText xml:space="preserve"> PAGEREF _Toc170228131 \h </w:instrText>
          </w:r>
          <w:r>
            <w:rPr>
              <w:rStyle w:val="28"/>
              <w:rFonts w:ascii="宋体" w:hAnsi="宋体" w:eastAsia="宋体"/>
              <w:spacing w:val="20"/>
              <w:sz w:val="24"/>
              <w:szCs w:val="24"/>
            </w:rPr>
            <w:fldChar w:fldCharType="separate"/>
          </w:r>
          <w:r>
            <w:rPr>
              <w:rStyle w:val="28"/>
              <w:rFonts w:ascii="宋体" w:hAnsi="宋体" w:eastAsia="宋体"/>
              <w:spacing w:val="20"/>
              <w:sz w:val="24"/>
              <w:szCs w:val="24"/>
            </w:rPr>
            <w:t>18</w:t>
          </w:r>
          <w:r>
            <w:rPr>
              <w:rStyle w:val="28"/>
              <w:rFonts w:ascii="宋体" w:hAnsi="宋体" w:eastAsia="宋体"/>
              <w:spacing w:val="20"/>
              <w:sz w:val="24"/>
              <w:szCs w:val="24"/>
            </w:rPr>
            <w:fldChar w:fldCharType="end"/>
          </w:r>
          <w:r>
            <w:rPr>
              <w:rStyle w:val="28"/>
              <w:rFonts w:ascii="宋体" w:hAnsi="宋体" w:eastAsia="宋体"/>
              <w:spacing w:val="20"/>
              <w:sz w:val="24"/>
              <w:szCs w:val="24"/>
            </w:rPr>
            <w:fldChar w:fldCharType="end"/>
          </w:r>
        </w:p>
        <w:p>
          <w:pPr>
            <w:pStyle w:val="15"/>
            <w:tabs>
              <w:tab w:val="right" w:leader="dot" w:pos="9070"/>
              <w:tab w:val="clear" w:pos="8273"/>
            </w:tabs>
            <w:rPr>
              <w:rStyle w:val="28"/>
              <w:rFonts w:ascii="宋体" w:hAnsi="宋体" w:eastAsia="宋体"/>
              <w:spacing w:val="20"/>
              <w:sz w:val="24"/>
              <w:szCs w:val="24"/>
            </w:rPr>
          </w:pPr>
          <w:r>
            <w:fldChar w:fldCharType="begin"/>
          </w:r>
          <w:r>
            <w:instrText xml:space="preserve"> HYPERLINK \l "_Toc170228132" </w:instrText>
          </w:r>
          <w:r>
            <w:fldChar w:fldCharType="separate"/>
          </w:r>
          <w:r>
            <w:rPr>
              <w:rStyle w:val="28"/>
              <w:rFonts w:ascii="宋体" w:hAnsi="宋体" w:eastAsia="宋体"/>
              <w:spacing w:val="20"/>
              <w:sz w:val="24"/>
              <w:szCs w:val="24"/>
            </w:rPr>
            <w:t>第五章 合同文本</w:t>
          </w:r>
          <w:r>
            <w:rPr>
              <w:rStyle w:val="28"/>
              <w:rFonts w:ascii="宋体" w:hAnsi="宋体" w:eastAsia="宋体"/>
              <w:spacing w:val="20"/>
              <w:sz w:val="24"/>
              <w:szCs w:val="24"/>
            </w:rPr>
            <w:tab/>
          </w:r>
          <w:r>
            <w:rPr>
              <w:rStyle w:val="28"/>
              <w:rFonts w:ascii="宋体" w:hAnsi="宋体" w:eastAsia="宋体"/>
              <w:spacing w:val="20"/>
              <w:sz w:val="24"/>
              <w:szCs w:val="24"/>
            </w:rPr>
            <w:fldChar w:fldCharType="begin"/>
          </w:r>
          <w:r>
            <w:rPr>
              <w:rStyle w:val="28"/>
              <w:rFonts w:ascii="宋体" w:hAnsi="宋体" w:eastAsia="宋体"/>
              <w:spacing w:val="20"/>
              <w:sz w:val="24"/>
              <w:szCs w:val="24"/>
            </w:rPr>
            <w:instrText xml:space="preserve"> PAGEREF _Toc170228132 \h </w:instrText>
          </w:r>
          <w:r>
            <w:rPr>
              <w:rStyle w:val="28"/>
              <w:rFonts w:ascii="宋体" w:hAnsi="宋体" w:eastAsia="宋体"/>
              <w:spacing w:val="20"/>
              <w:sz w:val="24"/>
              <w:szCs w:val="24"/>
            </w:rPr>
            <w:fldChar w:fldCharType="separate"/>
          </w:r>
          <w:r>
            <w:rPr>
              <w:rStyle w:val="28"/>
              <w:rFonts w:ascii="宋体" w:hAnsi="宋体" w:eastAsia="宋体"/>
              <w:spacing w:val="20"/>
              <w:sz w:val="24"/>
              <w:szCs w:val="24"/>
            </w:rPr>
            <w:t>28</w:t>
          </w:r>
          <w:r>
            <w:rPr>
              <w:rStyle w:val="28"/>
              <w:rFonts w:ascii="宋体" w:hAnsi="宋体" w:eastAsia="宋体"/>
              <w:spacing w:val="20"/>
              <w:sz w:val="24"/>
              <w:szCs w:val="24"/>
            </w:rPr>
            <w:fldChar w:fldCharType="end"/>
          </w:r>
          <w:r>
            <w:rPr>
              <w:rStyle w:val="28"/>
              <w:rFonts w:ascii="宋体" w:hAnsi="宋体" w:eastAsia="宋体"/>
              <w:spacing w:val="20"/>
              <w:sz w:val="24"/>
              <w:szCs w:val="24"/>
            </w:rPr>
            <w:fldChar w:fldCharType="end"/>
          </w:r>
        </w:p>
        <w:p>
          <w:pPr>
            <w:pStyle w:val="15"/>
            <w:tabs>
              <w:tab w:val="right" w:leader="dot" w:pos="9070"/>
              <w:tab w:val="clear" w:pos="8273"/>
            </w:tabs>
            <w:rPr>
              <w:rStyle w:val="28"/>
              <w:rFonts w:ascii="宋体" w:hAnsi="宋体" w:eastAsia="宋体"/>
              <w:spacing w:val="20"/>
              <w:sz w:val="24"/>
              <w:szCs w:val="24"/>
            </w:rPr>
          </w:pPr>
          <w:r>
            <w:fldChar w:fldCharType="begin"/>
          </w:r>
          <w:r>
            <w:instrText xml:space="preserve"> HYPERLINK \l "_Toc170228133" </w:instrText>
          </w:r>
          <w:r>
            <w:fldChar w:fldCharType="separate"/>
          </w:r>
          <w:r>
            <w:rPr>
              <w:rStyle w:val="28"/>
              <w:rFonts w:ascii="宋体" w:hAnsi="宋体" w:eastAsia="宋体"/>
              <w:spacing w:val="20"/>
              <w:sz w:val="24"/>
              <w:szCs w:val="24"/>
            </w:rPr>
            <w:t>第六章 响应文件格式</w:t>
          </w:r>
          <w:r>
            <w:rPr>
              <w:rStyle w:val="28"/>
              <w:rFonts w:ascii="宋体" w:hAnsi="宋体" w:eastAsia="宋体"/>
              <w:spacing w:val="20"/>
              <w:sz w:val="24"/>
              <w:szCs w:val="24"/>
            </w:rPr>
            <w:tab/>
          </w:r>
          <w:r>
            <w:rPr>
              <w:rStyle w:val="28"/>
              <w:rFonts w:ascii="宋体" w:hAnsi="宋体" w:eastAsia="宋体"/>
              <w:spacing w:val="20"/>
              <w:sz w:val="24"/>
              <w:szCs w:val="24"/>
            </w:rPr>
            <w:fldChar w:fldCharType="begin"/>
          </w:r>
          <w:r>
            <w:rPr>
              <w:rStyle w:val="28"/>
              <w:rFonts w:ascii="宋体" w:hAnsi="宋体" w:eastAsia="宋体"/>
              <w:spacing w:val="20"/>
              <w:sz w:val="24"/>
              <w:szCs w:val="24"/>
            </w:rPr>
            <w:instrText xml:space="preserve"> PAGEREF _Toc170228133 \h </w:instrText>
          </w:r>
          <w:r>
            <w:rPr>
              <w:rStyle w:val="28"/>
              <w:rFonts w:ascii="宋体" w:hAnsi="宋体" w:eastAsia="宋体"/>
              <w:spacing w:val="20"/>
              <w:sz w:val="24"/>
              <w:szCs w:val="24"/>
            </w:rPr>
            <w:fldChar w:fldCharType="separate"/>
          </w:r>
          <w:r>
            <w:rPr>
              <w:rStyle w:val="28"/>
              <w:rFonts w:ascii="宋体" w:hAnsi="宋体" w:eastAsia="宋体"/>
              <w:spacing w:val="20"/>
              <w:sz w:val="24"/>
              <w:szCs w:val="24"/>
            </w:rPr>
            <w:t>38</w:t>
          </w:r>
          <w:r>
            <w:rPr>
              <w:rStyle w:val="28"/>
              <w:rFonts w:ascii="宋体" w:hAnsi="宋体" w:eastAsia="宋体"/>
              <w:spacing w:val="20"/>
              <w:sz w:val="24"/>
              <w:szCs w:val="24"/>
            </w:rPr>
            <w:fldChar w:fldCharType="end"/>
          </w:r>
          <w:r>
            <w:rPr>
              <w:rStyle w:val="28"/>
              <w:rFonts w:ascii="宋体" w:hAnsi="宋体" w:eastAsia="宋体"/>
              <w:spacing w:val="20"/>
              <w:sz w:val="24"/>
              <w:szCs w:val="24"/>
            </w:rPr>
            <w:fldChar w:fldCharType="end"/>
          </w:r>
        </w:p>
        <w:p>
          <w:pPr>
            <w:pStyle w:val="15"/>
            <w:tabs>
              <w:tab w:val="right" w:leader="dot" w:pos="9070"/>
              <w:tab w:val="clear" w:pos="8273"/>
            </w:tabs>
            <w:rPr>
              <w:rFonts w:asciiTheme="minorEastAsia" w:hAnsiTheme="minorEastAsia" w:eastAsiaTheme="minorEastAsia"/>
              <w:lang w:val="zh-CN"/>
            </w:rPr>
          </w:pPr>
          <w:r>
            <w:rPr>
              <w:rStyle w:val="28"/>
              <w:rFonts w:ascii="宋体" w:hAnsi="宋体" w:eastAsia="宋体"/>
              <w:spacing w:val="20"/>
              <w:sz w:val="24"/>
              <w:szCs w:val="24"/>
            </w:rPr>
            <w:fldChar w:fldCharType="end"/>
          </w:r>
        </w:p>
      </w:sdtContent>
    </w:sdt>
    <w:p>
      <w:pPr>
        <w:rPr>
          <w:rFonts w:asciiTheme="minorEastAsia" w:hAnsiTheme="minorEastAsia" w:eastAsiaTheme="minorEastAsia"/>
          <w:lang w:val="zh-CN"/>
        </w:rPr>
      </w:pPr>
    </w:p>
    <w:p>
      <w:pPr>
        <w:rPr>
          <w:rFonts w:asciiTheme="minorEastAsia" w:hAnsiTheme="minorEastAsia" w:eastAsiaTheme="minorEastAsia"/>
          <w:lang w:val="zh-CN"/>
        </w:rPr>
      </w:pPr>
    </w:p>
    <w:p>
      <w:pPr>
        <w:rPr>
          <w:rFonts w:asciiTheme="minorEastAsia" w:hAnsiTheme="minorEastAsia" w:eastAsiaTheme="minorEastAsia"/>
          <w:lang w:val="zh-CN"/>
        </w:rPr>
      </w:pPr>
    </w:p>
    <w:p>
      <w:pPr>
        <w:rPr>
          <w:rFonts w:asciiTheme="minorEastAsia" w:hAnsiTheme="minorEastAsia" w:eastAsiaTheme="minorEastAsia"/>
          <w:lang w:val="zh-CN"/>
        </w:rPr>
      </w:pPr>
    </w:p>
    <w:p>
      <w:pPr>
        <w:rPr>
          <w:rFonts w:asciiTheme="minorEastAsia" w:hAnsiTheme="minorEastAsia" w:eastAsiaTheme="minorEastAsia"/>
          <w:lang w:val="zh-CN"/>
        </w:rPr>
      </w:pPr>
    </w:p>
    <w:p>
      <w:pPr>
        <w:rPr>
          <w:rFonts w:asciiTheme="minorEastAsia" w:hAnsiTheme="minorEastAsia" w:eastAsiaTheme="minorEastAsia"/>
          <w:lang w:val="zh-CN"/>
        </w:rPr>
      </w:pPr>
    </w:p>
    <w:p>
      <w:pPr>
        <w:rPr>
          <w:rFonts w:asciiTheme="minorEastAsia" w:hAnsiTheme="minorEastAsia" w:eastAsiaTheme="minorEastAsia"/>
          <w:lang w:val="zh-CN"/>
        </w:rPr>
      </w:pPr>
    </w:p>
    <w:p>
      <w:pPr>
        <w:rPr>
          <w:rFonts w:asciiTheme="minorEastAsia" w:hAnsiTheme="minorEastAsia" w:eastAsiaTheme="minorEastAsia"/>
          <w:lang w:val="zh-CN"/>
        </w:rPr>
      </w:pPr>
    </w:p>
    <w:p>
      <w:pPr>
        <w:rPr>
          <w:rFonts w:asciiTheme="minorEastAsia" w:hAnsiTheme="minorEastAsia" w:eastAsiaTheme="minorEastAsia"/>
          <w:lang w:val="zh-CN"/>
        </w:rPr>
      </w:pPr>
    </w:p>
    <w:p>
      <w:pPr>
        <w:rPr>
          <w:rFonts w:asciiTheme="minorEastAsia" w:hAnsiTheme="minorEastAsia" w:eastAsiaTheme="minorEastAsia"/>
          <w:lang w:val="zh-CN"/>
        </w:rPr>
      </w:pPr>
    </w:p>
    <w:p>
      <w:pPr>
        <w:rPr>
          <w:rFonts w:asciiTheme="minorEastAsia" w:hAnsiTheme="minorEastAsia" w:eastAsiaTheme="minorEastAsia"/>
          <w:lang w:val="zh-CN"/>
        </w:rPr>
      </w:pPr>
    </w:p>
    <w:p>
      <w:pPr>
        <w:tabs>
          <w:tab w:val="left" w:pos="6433"/>
        </w:tabs>
        <w:rPr>
          <w:rFonts w:asciiTheme="minorEastAsia" w:hAnsiTheme="minorEastAsia" w:eastAsiaTheme="minorEastAsia"/>
          <w:lang w:val="zh-CN"/>
        </w:rPr>
      </w:pPr>
      <w:r>
        <w:rPr>
          <w:rFonts w:asciiTheme="minorEastAsia" w:hAnsiTheme="minorEastAsia" w:eastAsiaTheme="minorEastAsia"/>
          <w:lang w:val="zh-CN"/>
        </w:rPr>
        <w:tab/>
      </w:r>
    </w:p>
    <w:p>
      <w:pPr>
        <w:pStyle w:val="2"/>
        <w:keepNext w:val="0"/>
        <w:keepLines w:val="0"/>
        <w:pageBreakBefore/>
        <w:spacing w:after="240" w:line="360" w:lineRule="auto"/>
        <w:jc w:val="center"/>
        <w:rPr>
          <w:rFonts w:asciiTheme="minorEastAsia" w:hAnsiTheme="minorEastAsia" w:eastAsiaTheme="minorEastAsia"/>
          <w:color w:val="auto"/>
          <w:spacing w:val="20"/>
          <w:sz w:val="32"/>
          <w:szCs w:val="32"/>
          <w:highlight w:val="none"/>
        </w:rPr>
      </w:pPr>
      <w:bookmarkStart w:id="0" w:name="_Toc516661492"/>
      <w:bookmarkStart w:id="1" w:name="_Toc170228128"/>
      <w:bookmarkStart w:id="2" w:name="_Toc405313952"/>
      <w:bookmarkStart w:id="3" w:name="_Toc503257147"/>
      <w:r>
        <w:rPr>
          <w:rFonts w:hint="eastAsia" w:asciiTheme="minorEastAsia" w:hAnsiTheme="minorEastAsia" w:eastAsiaTheme="minorEastAsia"/>
          <w:color w:val="auto"/>
          <w:spacing w:val="20"/>
          <w:sz w:val="32"/>
          <w:szCs w:val="32"/>
          <w:highlight w:val="none"/>
        </w:rPr>
        <w:t>第一章 磋商邀请</w:t>
      </w:r>
      <w:bookmarkEnd w:id="0"/>
      <w:bookmarkEnd w:id="1"/>
    </w:p>
    <w:p>
      <w:pPr>
        <w:widowControl/>
        <w:spacing w:before="156" w:beforeLines="50" w:after="156" w:afterLines="50" w:line="360" w:lineRule="atLeast"/>
        <w:jc w:val="left"/>
        <w:rPr>
          <w:rFonts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项目概况</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（国家税务总局兴宁市税务局综合业务办公用房维修改造项目）</w:t>
      </w:r>
      <w:r>
        <w:rPr>
          <w:rFonts w:hint="eastAsia" w:asciiTheme="minorEastAsia" w:hAnsiTheme="minorEastAsia" w:eastAsiaTheme="minorEastAsia"/>
          <w:color w:val="auto"/>
          <w:szCs w:val="21"/>
          <w:highlight w:val="none"/>
        </w:rPr>
        <w:t>采购项目的潜在供应商应在梅州市梅县区新县城剑英大道1号（研发楼B栋）323室进行获取或微信搜索公众号“广东智汇城市招标采购有限公司”获取采购文件，并于</w:t>
      </w:r>
      <w:r>
        <w:rPr>
          <w:rFonts w:hint="eastAsia" w:asciiTheme="minorEastAsia" w:hAnsiTheme="minorEastAsia" w:eastAsiaTheme="minorEastAsia"/>
          <w:color w:val="auto"/>
          <w:szCs w:val="21"/>
          <w:highlight w:val="none"/>
          <w:lang w:val="en-US" w:eastAsia="zh-CN"/>
        </w:rPr>
        <w:t>2024</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09</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20</w:t>
      </w:r>
      <w:r>
        <w:rPr>
          <w:rFonts w:hint="eastAsia"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lang w:val="en-US" w:eastAsia="zh-CN"/>
        </w:rPr>
        <w:t>14</w:t>
      </w:r>
      <w:r>
        <w:rPr>
          <w:rFonts w:hint="eastAsia" w:asciiTheme="minorEastAsia" w:hAnsiTheme="minorEastAsia" w:eastAsiaTheme="minorEastAsia"/>
          <w:color w:val="auto"/>
          <w:szCs w:val="21"/>
          <w:highlight w:val="none"/>
        </w:rPr>
        <w:t>点</w:t>
      </w:r>
      <w:r>
        <w:rPr>
          <w:rFonts w:hint="eastAsia" w:asciiTheme="minorEastAsia" w:hAnsiTheme="minorEastAsia" w:eastAsiaTheme="minorEastAsia"/>
          <w:color w:val="auto"/>
          <w:szCs w:val="21"/>
          <w:highlight w:val="none"/>
          <w:lang w:val="en-US" w:eastAsia="zh-CN"/>
        </w:rPr>
        <w:t>30</w:t>
      </w:r>
      <w:r>
        <w:rPr>
          <w:rFonts w:hint="eastAsia" w:asciiTheme="minorEastAsia" w:hAnsiTheme="minorEastAsia" w:eastAsiaTheme="minorEastAsia"/>
          <w:color w:val="auto"/>
          <w:szCs w:val="21"/>
          <w:highlight w:val="none"/>
        </w:rPr>
        <w:t>分（北京时间）前递交响应文件。</w:t>
      </w:r>
    </w:p>
    <w:p>
      <w:pPr>
        <w:pStyle w:val="70"/>
        <w:numPr>
          <w:ilvl w:val="0"/>
          <w:numId w:val="1"/>
        </w:numPr>
        <w:tabs>
          <w:tab w:val="left" w:pos="426"/>
        </w:tabs>
        <w:spacing w:before="312" w:beforeLines="100" w:line="360" w:lineRule="auto"/>
        <w:ind w:left="5675" w:hanging="5675" w:firstLineChars="0"/>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项目基本情况：</w:t>
      </w:r>
    </w:p>
    <w:p>
      <w:pPr>
        <w:tabs>
          <w:tab w:val="left" w:pos="426"/>
        </w:tabs>
        <w:spacing w:line="360" w:lineRule="auto"/>
        <w:ind w:left="420" w:hanging="420" w:hanging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项目编号：</w:t>
      </w:r>
      <w:r>
        <w:rPr>
          <w:rFonts w:asciiTheme="minorEastAsia" w:hAnsiTheme="minorEastAsia" w:eastAsiaTheme="minorEastAsia"/>
          <w:color w:val="auto"/>
          <w:szCs w:val="21"/>
          <w:highlight w:val="none"/>
        </w:rPr>
        <w:t>ZHMZCZ2024001</w:t>
      </w:r>
    </w:p>
    <w:p>
      <w:pPr>
        <w:tabs>
          <w:tab w:val="left" w:pos="426"/>
        </w:tabs>
        <w:spacing w:line="360" w:lineRule="auto"/>
        <w:ind w:left="420" w:hanging="420" w:hanging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项目名称：国家税务总局兴宁市税务局综合业务办公用房维修改造项目</w:t>
      </w:r>
    </w:p>
    <w:p>
      <w:pPr>
        <w:tabs>
          <w:tab w:val="left" w:pos="426"/>
        </w:tabs>
        <w:spacing w:line="360" w:lineRule="auto"/>
        <w:ind w:left="420" w:hanging="420" w:hanging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采购方式：竞争性磋商</w:t>
      </w:r>
    </w:p>
    <w:p>
      <w:pPr>
        <w:tabs>
          <w:tab w:val="left" w:pos="426"/>
        </w:tabs>
        <w:spacing w:line="360" w:lineRule="auto"/>
        <w:ind w:left="420" w:hanging="420" w:hanging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w:t>
      </w:r>
      <w:r>
        <w:rPr>
          <w:rFonts w:asciiTheme="minorEastAsia" w:hAnsiTheme="minorEastAsia" w:eastAsiaTheme="minorEastAsia"/>
          <w:color w:val="auto"/>
          <w:szCs w:val="21"/>
          <w:highlight w:val="none"/>
        </w:rPr>
        <w:t>4,043,439.46</w:t>
      </w:r>
      <w:r>
        <w:rPr>
          <w:rFonts w:hint="eastAsia" w:asciiTheme="minorEastAsia" w:hAnsiTheme="minorEastAsia" w:eastAsiaTheme="minorEastAsia"/>
          <w:color w:val="auto"/>
          <w:szCs w:val="21"/>
          <w:highlight w:val="none"/>
        </w:rPr>
        <w:t>元（其中绿色施工安全防护措施费¥135,975.4元）</w:t>
      </w:r>
    </w:p>
    <w:p>
      <w:pPr>
        <w:tabs>
          <w:tab w:val="left" w:pos="426"/>
        </w:tabs>
        <w:spacing w:line="360" w:lineRule="auto"/>
        <w:ind w:left="420" w:hanging="420" w:hanging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采购需求：</w:t>
      </w:r>
    </w:p>
    <w:p>
      <w:pPr>
        <w:tabs>
          <w:tab w:val="left" w:pos="284"/>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标的内容： </w:t>
      </w:r>
    </w:p>
    <w:tbl>
      <w:tblPr>
        <w:tblStyle w:val="22"/>
        <w:tblW w:w="4972"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340"/>
        <w:gridCol w:w="2471"/>
        <w:gridCol w:w="1018"/>
        <w:gridCol w:w="270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序</w:t>
            </w:r>
            <w:r>
              <w:rPr>
                <w:rFonts w:asciiTheme="minorEastAsia" w:hAnsiTheme="minorEastAsia" w:eastAsiaTheme="minorEastAsia"/>
                <w:bCs/>
                <w:color w:val="auto"/>
                <w:szCs w:val="21"/>
                <w:highlight w:val="none"/>
              </w:rPr>
              <w:t>号</w:t>
            </w:r>
          </w:p>
        </w:tc>
        <w:tc>
          <w:tcPr>
            <w:tcW w:w="1267" w:type="pct"/>
            <w:vAlign w:val="center"/>
          </w:tcPr>
          <w:p>
            <w:pPr>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标的名称</w:t>
            </w:r>
          </w:p>
        </w:tc>
        <w:tc>
          <w:tcPr>
            <w:tcW w:w="1338" w:type="pct"/>
            <w:vAlign w:val="center"/>
          </w:tcPr>
          <w:p>
            <w:pPr>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采购包预算金额（元）</w:t>
            </w:r>
          </w:p>
        </w:tc>
        <w:tc>
          <w:tcPr>
            <w:tcW w:w="551" w:type="pct"/>
            <w:vAlign w:val="center"/>
          </w:tcPr>
          <w:p>
            <w:pPr>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数量</w:t>
            </w:r>
          </w:p>
        </w:tc>
        <w:tc>
          <w:tcPr>
            <w:tcW w:w="1462" w:type="pct"/>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简要技术需求或服务要求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p>
        </w:tc>
        <w:tc>
          <w:tcPr>
            <w:tcW w:w="1267" w:type="pct"/>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综合业务办公用房维修改造</w:t>
            </w:r>
          </w:p>
        </w:tc>
        <w:tc>
          <w:tcPr>
            <w:tcW w:w="1338" w:type="pct"/>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r>
              <w:rPr>
                <w:rFonts w:asciiTheme="minorEastAsia" w:hAnsiTheme="minorEastAsia" w:eastAsiaTheme="minorEastAsia"/>
                <w:bCs/>
                <w:color w:val="auto"/>
                <w:szCs w:val="21"/>
                <w:highlight w:val="none"/>
              </w:rPr>
              <w:t>4,043,439.46</w:t>
            </w:r>
          </w:p>
        </w:tc>
        <w:tc>
          <w:tcPr>
            <w:tcW w:w="551" w:type="pct"/>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1(项)</w:t>
            </w:r>
          </w:p>
        </w:tc>
        <w:tc>
          <w:tcPr>
            <w:tcW w:w="1462" w:type="pct"/>
            <w:vAlign w:val="center"/>
          </w:tcPr>
          <w:p>
            <w:pPr>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详见磋商文件采购需求</w:t>
            </w:r>
          </w:p>
        </w:tc>
      </w:tr>
    </w:tbl>
    <w:p>
      <w:pPr>
        <w:tabs>
          <w:tab w:val="left" w:pos="284"/>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合同履行期限：自合同签订之日起180天内竣工并通过采购人验收。</w:t>
      </w:r>
    </w:p>
    <w:p>
      <w:pPr>
        <w:tabs>
          <w:tab w:val="left" w:pos="284"/>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本项目不接受联合体投标。</w:t>
      </w:r>
    </w:p>
    <w:p>
      <w:pPr>
        <w:pStyle w:val="70"/>
        <w:numPr>
          <w:ilvl w:val="0"/>
          <w:numId w:val="1"/>
        </w:numPr>
        <w:tabs>
          <w:tab w:val="left" w:pos="426"/>
        </w:tabs>
        <w:spacing w:line="360" w:lineRule="auto"/>
        <w:ind w:left="426" w:hanging="426" w:firstLineChars="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申请人的资格要求</w:t>
      </w:r>
    </w:p>
    <w:p>
      <w:pPr>
        <w:pStyle w:val="70"/>
        <w:numPr>
          <w:ilvl w:val="0"/>
          <w:numId w:val="2"/>
        </w:numPr>
        <w:ind w:firstLineChars="0"/>
        <w:rPr>
          <w:rFonts w:asciiTheme="minorEastAsia" w:hAnsiTheme="minorEastAsia" w:eastAsiaTheme="minorEastAsia"/>
          <w:color w:val="auto"/>
          <w:szCs w:val="21"/>
          <w:highlight w:val="none"/>
        </w:rPr>
      </w:pPr>
      <w:r>
        <w:rPr>
          <w:b/>
          <w:color w:val="auto"/>
          <w:kern w:val="0"/>
          <w:szCs w:val="21"/>
          <w:highlight w:val="none"/>
          <w:lang w:eastAsia="zh-Hans"/>
        </w:rPr>
        <w:t>满足《中华人民共和国政府采购法》第二十二条规定</w:t>
      </w:r>
      <w:r>
        <w:rPr>
          <w:rFonts w:hint="eastAsia"/>
          <w:b/>
          <w:color w:val="auto"/>
          <w:kern w:val="0"/>
          <w:szCs w:val="21"/>
          <w:highlight w:val="none"/>
          <w:lang w:eastAsia="zh-Hans"/>
        </w:rPr>
        <w:t>：</w:t>
      </w:r>
    </w:p>
    <w:p>
      <w:pPr>
        <w:pStyle w:val="70"/>
        <w:widowControl/>
        <w:numPr>
          <w:ilvl w:val="0"/>
          <w:numId w:val="3"/>
        </w:numPr>
        <w:shd w:val="clear" w:color="auto" w:fill="FFFFFF"/>
        <w:spacing w:line="360" w:lineRule="auto"/>
        <w:ind w:hangingChars="200"/>
        <w:textAlignment w:val="baseline"/>
        <w:outlineLvl w:val="3"/>
        <w:rPr>
          <w:rFonts w:ascii="宋体" w:hAnsi="宋体" w:cs="宋体"/>
          <w:color w:val="auto"/>
          <w:kern w:val="0"/>
          <w:szCs w:val="21"/>
          <w:highlight w:val="none"/>
        </w:rPr>
      </w:pPr>
      <w:r>
        <w:rPr>
          <w:rFonts w:hint="eastAsia" w:ascii="宋体" w:hAnsi="宋体" w:cs="宋体"/>
          <w:color w:val="auto"/>
          <w:kern w:val="0"/>
          <w:szCs w:val="21"/>
          <w:highlight w:val="none"/>
        </w:rPr>
        <w:t>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规定。（分支机构响应，须取得具有法人资格的总公司（总所）出具给分支机构的授权书，并提供总公司（总所）和分支机构的营业执照（执业许可证）复印件。已由总公司（总所）授权的 ，总公司（总所）取得的相关资质证书对分支机构有效，法律法规或者行业另有规定的除外。）</w:t>
      </w:r>
    </w:p>
    <w:p>
      <w:pPr>
        <w:pStyle w:val="70"/>
        <w:widowControl/>
        <w:numPr>
          <w:ilvl w:val="0"/>
          <w:numId w:val="3"/>
        </w:numPr>
        <w:shd w:val="clear" w:color="auto" w:fill="FFFFFF"/>
        <w:spacing w:line="360" w:lineRule="auto"/>
        <w:ind w:hangingChars="200"/>
        <w:textAlignment w:val="baseline"/>
        <w:outlineLvl w:val="3"/>
        <w:rPr>
          <w:rFonts w:ascii="宋体" w:hAnsi="宋体" w:cs="宋体"/>
          <w:color w:val="auto"/>
          <w:kern w:val="0"/>
          <w:szCs w:val="21"/>
          <w:highlight w:val="none"/>
        </w:rPr>
      </w:pPr>
      <w:r>
        <w:rPr>
          <w:rFonts w:hint="eastAsia" w:ascii="宋体" w:hAnsi="宋体" w:cs="宋体"/>
          <w:color w:val="auto"/>
          <w:kern w:val="0"/>
          <w:szCs w:val="21"/>
          <w:highlight w:val="none"/>
        </w:rPr>
        <w:t>有</w:t>
      </w:r>
      <w:r>
        <w:rPr>
          <w:rFonts w:ascii="宋体" w:hAnsi="宋体"/>
          <w:bCs/>
          <w:color w:val="auto"/>
          <w:kern w:val="0"/>
          <w:szCs w:val="21"/>
          <w:highlight w:val="none"/>
        </w:rPr>
        <w:t>具有良好的商业信誉和健全的财务会计制度，</w:t>
      </w:r>
      <w:r>
        <w:rPr>
          <w:rFonts w:hint="eastAsia" w:ascii="宋体" w:hAnsi="宋体"/>
          <w:bCs/>
          <w:color w:val="auto"/>
          <w:kern w:val="0"/>
          <w:szCs w:val="21"/>
          <w:highlight w:val="none"/>
        </w:rPr>
        <w:t>提供</w:t>
      </w:r>
      <w:r>
        <w:rPr>
          <w:rFonts w:ascii="宋体" w:hAnsi="宋体"/>
          <w:bCs/>
          <w:color w:val="auto"/>
          <w:kern w:val="0"/>
          <w:szCs w:val="21"/>
          <w:highlight w:val="none"/>
        </w:rPr>
        <w:t>2022年或2023年财务状况报告或者基本户开户银行出具的资信证明或提供资格条件承诺函（详见</w:t>
      </w:r>
      <w:r>
        <w:rPr>
          <w:rFonts w:hint="eastAsia" w:ascii="宋体" w:hAnsi="宋体"/>
          <w:bCs/>
          <w:color w:val="auto"/>
          <w:kern w:val="0"/>
          <w:szCs w:val="21"/>
          <w:highlight w:val="none"/>
        </w:rPr>
        <w:t>响应</w:t>
      </w:r>
      <w:r>
        <w:rPr>
          <w:rFonts w:ascii="宋体" w:hAnsi="宋体"/>
          <w:bCs/>
          <w:color w:val="auto"/>
          <w:kern w:val="0"/>
          <w:szCs w:val="21"/>
          <w:highlight w:val="none"/>
        </w:rPr>
        <w:t>文件格式）。</w:t>
      </w:r>
    </w:p>
    <w:p>
      <w:pPr>
        <w:pStyle w:val="70"/>
        <w:widowControl/>
        <w:numPr>
          <w:ilvl w:val="0"/>
          <w:numId w:val="3"/>
        </w:numPr>
        <w:shd w:val="clear" w:color="auto" w:fill="FFFFFF"/>
        <w:spacing w:line="360" w:lineRule="auto"/>
        <w:ind w:hangingChars="200"/>
        <w:textAlignment w:val="baseline"/>
        <w:outlineLvl w:val="3"/>
        <w:rPr>
          <w:rFonts w:ascii="宋体" w:hAnsi="宋体" w:cs="宋体"/>
          <w:color w:val="auto"/>
          <w:kern w:val="0"/>
          <w:szCs w:val="21"/>
          <w:highlight w:val="none"/>
        </w:rPr>
      </w:pPr>
      <w:r>
        <w:rPr>
          <w:rFonts w:ascii="宋体" w:hAnsi="宋体"/>
          <w:bCs/>
          <w:color w:val="auto"/>
          <w:kern w:val="0"/>
          <w:szCs w:val="21"/>
          <w:highlight w:val="none"/>
        </w:rPr>
        <w:t>履行合同所必需的设备和专业技术能力</w:t>
      </w:r>
      <w:r>
        <w:rPr>
          <w:rFonts w:hint="eastAsia" w:ascii="宋体" w:hAnsi="宋体"/>
          <w:bCs/>
          <w:color w:val="auto"/>
          <w:kern w:val="0"/>
          <w:szCs w:val="21"/>
          <w:highlight w:val="none"/>
        </w:rPr>
        <w:t>，提供资格条件承诺函（</w:t>
      </w:r>
      <w:r>
        <w:rPr>
          <w:rFonts w:ascii="宋体" w:hAnsi="宋体"/>
          <w:bCs/>
          <w:color w:val="auto"/>
          <w:kern w:val="0"/>
          <w:szCs w:val="21"/>
          <w:highlight w:val="none"/>
        </w:rPr>
        <w:t>详见</w:t>
      </w:r>
      <w:r>
        <w:rPr>
          <w:rFonts w:hint="eastAsia" w:ascii="宋体" w:hAnsi="宋体"/>
          <w:bCs/>
          <w:color w:val="auto"/>
          <w:kern w:val="0"/>
          <w:szCs w:val="21"/>
          <w:highlight w:val="none"/>
        </w:rPr>
        <w:t>响应</w:t>
      </w:r>
      <w:r>
        <w:rPr>
          <w:rFonts w:ascii="宋体" w:hAnsi="宋体"/>
          <w:bCs/>
          <w:color w:val="auto"/>
          <w:kern w:val="0"/>
          <w:szCs w:val="21"/>
          <w:highlight w:val="none"/>
        </w:rPr>
        <w:t>文件格式</w:t>
      </w:r>
      <w:r>
        <w:rPr>
          <w:rFonts w:hint="eastAsia" w:ascii="宋体" w:hAnsi="宋体"/>
          <w:bCs/>
          <w:color w:val="auto"/>
          <w:kern w:val="0"/>
          <w:szCs w:val="21"/>
          <w:highlight w:val="none"/>
        </w:rPr>
        <w:t>）</w:t>
      </w:r>
      <w:r>
        <w:rPr>
          <w:rFonts w:ascii="宋体" w:hAnsi="宋体"/>
          <w:bCs/>
          <w:color w:val="auto"/>
          <w:kern w:val="0"/>
          <w:szCs w:val="21"/>
          <w:highlight w:val="none"/>
        </w:rPr>
        <w:t>。</w:t>
      </w:r>
    </w:p>
    <w:p>
      <w:pPr>
        <w:pStyle w:val="70"/>
        <w:widowControl/>
        <w:numPr>
          <w:ilvl w:val="0"/>
          <w:numId w:val="3"/>
        </w:numPr>
        <w:shd w:val="clear" w:color="auto" w:fill="FFFFFF"/>
        <w:spacing w:line="360" w:lineRule="auto"/>
        <w:ind w:hangingChars="200"/>
        <w:textAlignment w:val="baseline"/>
        <w:outlineLvl w:val="3"/>
        <w:rPr>
          <w:rFonts w:ascii="宋体" w:hAnsi="宋体" w:cs="宋体"/>
          <w:color w:val="auto"/>
          <w:kern w:val="0"/>
          <w:szCs w:val="21"/>
          <w:highlight w:val="none"/>
        </w:rPr>
      </w:pPr>
      <w:r>
        <w:rPr>
          <w:rFonts w:hint="eastAsia" w:ascii="宋体" w:hAnsi="宋体"/>
          <w:bCs/>
          <w:color w:val="auto"/>
          <w:kern w:val="0"/>
          <w:szCs w:val="21"/>
          <w:highlight w:val="none"/>
        </w:rPr>
        <w:t>有依法缴纳税收和社会保障资金的良好记录，提供响应截止日前</w:t>
      </w:r>
      <w:r>
        <w:rPr>
          <w:rFonts w:ascii="宋体" w:hAnsi="宋体"/>
          <w:bCs/>
          <w:color w:val="auto"/>
          <w:kern w:val="0"/>
          <w:szCs w:val="21"/>
          <w:highlight w:val="none"/>
        </w:rPr>
        <w:t>6个月内任意1个月依法缴纳税收和社会保障资金的相关材料；如依法免税或不需要缴纳社会保障资金的，提供相应证明材料。或提供资格条件承诺函（详见</w:t>
      </w:r>
      <w:r>
        <w:rPr>
          <w:rFonts w:hint="eastAsia" w:ascii="宋体" w:hAnsi="宋体"/>
          <w:bCs/>
          <w:color w:val="auto"/>
          <w:kern w:val="0"/>
          <w:szCs w:val="21"/>
          <w:highlight w:val="none"/>
        </w:rPr>
        <w:t>响应</w:t>
      </w:r>
      <w:r>
        <w:rPr>
          <w:rFonts w:ascii="宋体" w:hAnsi="宋体"/>
          <w:bCs/>
          <w:color w:val="auto"/>
          <w:kern w:val="0"/>
          <w:szCs w:val="21"/>
          <w:highlight w:val="none"/>
        </w:rPr>
        <w:t>文件格式）。</w:t>
      </w:r>
    </w:p>
    <w:p>
      <w:pPr>
        <w:pStyle w:val="70"/>
        <w:widowControl/>
        <w:numPr>
          <w:ilvl w:val="0"/>
          <w:numId w:val="3"/>
        </w:numPr>
        <w:shd w:val="clear" w:color="auto" w:fill="FFFFFF"/>
        <w:spacing w:line="360" w:lineRule="auto"/>
        <w:ind w:hangingChars="200"/>
        <w:textAlignment w:val="baseline"/>
        <w:outlineLvl w:val="3"/>
        <w:rPr>
          <w:rFonts w:ascii="宋体" w:hAnsi="宋体" w:cs="宋体"/>
          <w:bCs/>
          <w:color w:val="auto"/>
          <w:kern w:val="0"/>
          <w:szCs w:val="21"/>
          <w:highlight w:val="none"/>
        </w:rPr>
      </w:pPr>
      <w:r>
        <w:rPr>
          <w:rFonts w:ascii="宋体" w:hAnsi="宋体" w:cs="宋体"/>
          <w:bCs/>
          <w:color w:val="auto"/>
          <w:kern w:val="0"/>
          <w:szCs w:val="21"/>
          <w:highlight w:val="none"/>
        </w:rPr>
        <w:t>参加采购活动前3年内，在经营活动中没有重大违法记录：</w:t>
      </w:r>
      <w:r>
        <w:rPr>
          <w:rFonts w:hint="eastAsia" w:ascii="宋体" w:hAnsi="宋体" w:cs="宋体"/>
          <w:bCs/>
          <w:color w:val="auto"/>
          <w:kern w:val="0"/>
          <w:szCs w:val="21"/>
          <w:highlight w:val="none"/>
        </w:rPr>
        <w:t>提供资格条件承诺函（</w:t>
      </w:r>
      <w:r>
        <w:rPr>
          <w:rFonts w:ascii="宋体" w:hAnsi="宋体" w:cs="宋体"/>
          <w:bCs/>
          <w:color w:val="auto"/>
          <w:kern w:val="0"/>
          <w:szCs w:val="21"/>
          <w:highlight w:val="none"/>
        </w:rPr>
        <w:t>详见</w:t>
      </w:r>
      <w:r>
        <w:rPr>
          <w:rFonts w:hint="eastAsia" w:ascii="宋体" w:hAnsi="宋体" w:cs="宋体"/>
          <w:bCs/>
          <w:color w:val="auto"/>
          <w:kern w:val="0"/>
          <w:szCs w:val="21"/>
          <w:highlight w:val="none"/>
        </w:rPr>
        <w:t>响应</w:t>
      </w:r>
      <w:r>
        <w:rPr>
          <w:rFonts w:ascii="宋体" w:hAnsi="宋体" w:cs="宋体"/>
          <w:bCs/>
          <w:color w:val="auto"/>
          <w:kern w:val="0"/>
          <w:szCs w:val="21"/>
          <w:highlight w:val="none"/>
        </w:rPr>
        <w:t>文件格式</w:t>
      </w:r>
      <w:r>
        <w:rPr>
          <w:rFonts w:hint="eastAsia" w:ascii="宋体" w:hAnsi="宋体" w:cs="宋体"/>
          <w:bCs/>
          <w:color w:val="auto"/>
          <w:kern w:val="0"/>
          <w:szCs w:val="21"/>
          <w:highlight w:val="none"/>
        </w:rPr>
        <w:t>）</w:t>
      </w:r>
      <w:r>
        <w:rPr>
          <w:rFonts w:ascii="宋体" w:hAnsi="宋体" w:cs="宋体"/>
          <w:bCs/>
          <w:color w:val="auto"/>
          <w:kern w:val="0"/>
          <w:szCs w:val="21"/>
          <w:highlight w:val="none"/>
        </w:rPr>
        <w:t>。</w:t>
      </w:r>
      <w:r>
        <w:rPr>
          <w:rFonts w:hint="eastAsia" w:ascii="宋体" w:hAnsi="宋体" w:cs="宋体"/>
          <w:bCs/>
          <w:color w:val="auto"/>
          <w:kern w:val="0"/>
          <w:szCs w:val="21"/>
          <w:highlight w:val="none"/>
        </w:rPr>
        <w:t>重大违法记录，是指供应商因违法经营受到刑事处罚或者责令停产停业、吊销许可证或者执照、较大数额罚款等行政处罚。（根据财库〔</w:t>
      </w:r>
      <w:r>
        <w:rPr>
          <w:rFonts w:ascii="宋体" w:hAnsi="宋体" w:cs="宋体"/>
          <w:bCs/>
          <w:color w:val="auto"/>
          <w:kern w:val="0"/>
          <w:szCs w:val="21"/>
          <w:highlight w:val="none"/>
        </w:rPr>
        <w:t>2022〕3号文，“较大数额罚款”认定为200万元以上的罚款，法律、行政法规以及国务院有关部门明确规定相关领域“较大数额罚款”标准高于200万元的，从其规定。）</w:t>
      </w:r>
    </w:p>
    <w:p>
      <w:pPr>
        <w:pStyle w:val="70"/>
        <w:numPr>
          <w:ilvl w:val="0"/>
          <w:numId w:val="2"/>
        </w:numPr>
        <w:spacing w:line="360" w:lineRule="auto"/>
        <w:ind w:firstLineChars="0"/>
        <w:outlineLvl w:val="3"/>
        <w:rPr>
          <w:rFonts w:ascii="宋体" w:hAnsi="宋体"/>
          <w:b/>
          <w:color w:val="auto"/>
          <w:kern w:val="0"/>
          <w:szCs w:val="21"/>
          <w:highlight w:val="none"/>
        </w:rPr>
      </w:pPr>
      <w:bookmarkStart w:id="4" w:name="_Hlk169874618"/>
      <w:r>
        <w:rPr>
          <w:rFonts w:ascii="宋体" w:hAnsi="宋体"/>
          <w:b/>
          <w:color w:val="auto"/>
          <w:kern w:val="0"/>
          <w:szCs w:val="21"/>
          <w:highlight w:val="none"/>
          <w:lang w:eastAsia="zh-Hans"/>
        </w:rPr>
        <w:t>落实政府采购政策需满足的资格要求：</w:t>
      </w:r>
      <w:r>
        <w:rPr>
          <w:rFonts w:hint="eastAsia" w:ascii="宋体" w:hAnsi="宋体"/>
          <w:b/>
          <w:color w:val="auto"/>
          <w:kern w:val="0"/>
          <w:szCs w:val="21"/>
          <w:highlight w:val="none"/>
          <w:lang w:eastAsia="zh-Hans"/>
        </w:rPr>
        <w:t>本项目专门面向中小企业采购，供应商应为中小微企业、监狱企业、残疾人福利性单位。（提供《中小企业声明函》或属于监狱企业的证明材料或《残疾人福利性单位声明函》）详见投标文件格式。</w:t>
      </w:r>
    </w:p>
    <w:p>
      <w:pPr>
        <w:pStyle w:val="70"/>
        <w:widowControl/>
        <w:numPr>
          <w:ilvl w:val="0"/>
          <w:numId w:val="2"/>
        </w:numPr>
        <w:spacing w:line="360" w:lineRule="auto"/>
        <w:ind w:left="422" w:hanging="422" w:hangingChars="200"/>
        <w:jc w:val="left"/>
        <w:outlineLvl w:val="3"/>
        <w:rPr>
          <w:rFonts w:ascii="宋体" w:hAnsi="宋体"/>
          <w:b/>
          <w:color w:val="auto"/>
          <w:kern w:val="0"/>
          <w:sz w:val="24"/>
          <w:szCs w:val="20"/>
          <w:highlight w:val="none"/>
          <w:lang w:eastAsia="zh-Hans"/>
        </w:rPr>
      </w:pPr>
      <w:r>
        <w:rPr>
          <w:rFonts w:ascii="宋体" w:hAnsi="宋体"/>
          <w:b/>
          <w:color w:val="auto"/>
          <w:kern w:val="0"/>
          <w:szCs w:val="21"/>
          <w:highlight w:val="none"/>
          <w:lang w:eastAsia="zh-Hans"/>
        </w:rPr>
        <w:t>本项目的特定资格要求：</w:t>
      </w:r>
    </w:p>
    <w:p>
      <w:pPr>
        <w:widowControl/>
        <w:numPr>
          <w:ilvl w:val="0"/>
          <w:numId w:val="4"/>
        </w:numPr>
        <w:spacing w:line="360" w:lineRule="auto"/>
        <w:ind w:left="420" w:hanging="420" w:hangingChars="200"/>
        <w:jc w:val="left"/>
        <w:outlineLvl w:val="3"/>
        <w:rPr>
          <w:rFonts w:ascii="宋体" w:hAnsi="宋体"/>
          <w:color w:val="auto"/>
          <w:kern w:val="0"/>
          <w:szCs w:val="21"/>
          <w:highlight w:val="none"/>
          <w:lang w:eastAsia="zh-Hans"/>
        </w:rPr>
      </w:pPr>
      <w:r>
        <w:rPr>
          <w:rFonts w:ascii="宋体" w:hAnsi="宋体"/>
          <w:color w:val="auto"/>
          <w:kern w:val="0"/>
          <w:szCs w:val="21"/>
          <w:highlight w:val="none"/>
          <w:lang w:eastAsia="zh-Hans"/>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widowControl/>
        <w:numPr>
          <w:ilvl w:val="0"/>
          <w:numId w:val="4"/>
        </w:numPr>
        <w:spacing w:line="360" w:lineRule="auto"/>
        <w:ind w:left="420" w:hanging="420" w:hangingChars="200"/>
        <w:jc w:val="left"/>
        <w:outlineLvl w:val="3"/>
        <w:rPr>
          <w:rFonts w:ascii="宋体" w:hAnsi="宋体"/>
          <w:color w:val="auto"/>
          <w:kern w:val="0"/>
          <w:szCs w:val="21"/>
          <w:highlight w:val="none"/>
          <w:lang w:eastAsia="zh-Hans"/>
        </w:rPr>
      </w:pPr>
      <w:r>
        <w:rPr>
          <w:rFonts w:ascii="宋体" w:hAnsi="宋体"/>
          <w:color w:val="auto"/>
          <w:kern w:val="0"/>
          <w:szCs w:val="21"/>
          <w:highlight w:val="none"/>
          <w:lang w:eastAsia="zh-Hans"/>
        </w:rPr>
        <w:t>单位负责人为同一人或者存在直接控股、管理关系的不同供应商，不得同时参加本采购项目（或采购包）投标（响应）。为本项目提供整体设计、规范编制或者项目管理、监理、检测等服务的供应商，不得再参与本项目投标（响应）。</w:t>
      </w:r>
      <w:r>
        <w:rPr>
          <w:rFonts w:hint="eastAsia"/>
          <w:bCs/>
          <w:color w:val="auto"/>
          <w:kern w:val="0"/>
          <w:szCs w:val="21"/>
          <w:highlight w:val="none"/>
        </w:rPr>
        <w:t>提供资格条件承诺函（</w:t>
      </w:r>
      <w:r>
        <w:rPr>
          <w:bCs/>
          <w:color w:val="auto"/>
          <w:kern w:val="0"/>
          <w:szCs w:val="21"/>
          <w:highlight w:val="none"/>
        </w:rPr>
        <w:t>详见响应文件格式</w:t>
      </w:r>
      <w:r>
        <w:rPr>
          <w:rFonts w:hint="eastAsia"/>
          <w:bCs/>
          <w:color w:val="auto"/>
          <w:kern w:val="0"/>
          <w:szCs w:val="21"/>
          <w:highlight w:val="none"/>
        </w:rPr>
        <w:t>）</w:t>
      </w:r>
    </w:p>
    <w:p>
      <w:pPr>
        <w:widowControl/>
        <w:numPr>
          <w:ilvl w:val="0"/>
          <w:numId w:val="4"/>
        </w:numPr>
        <w:spacing w:line="360" w:lineRule="auto"/>
        <w:jc w:val="left"/>
        <w:outlineLvl w:val="3"/>
        <w:rPr>
          <w:rFonts w:ascii="宋体" w:hAnsi="宋体"/>
          <w:color w:val="auto"/>
          <w:kern w:val="0"/>
          <w:szCs w:val="21"/>
          <w:highlight w:val="none"/>
        </w:rPr>
      </w:pPr>
      <w:r>
        <w:rPr>
          <w:rFonts w:hint="eastAsia" w:ascii="宋体" w:hAnsi="宋体"/>
          <w:color w:val="auto"/>
          <w:kern w:val="0"/>
          <w:szCs w:val="21"/>
          <w:highlight w:val="none"/>
        </w:rPr>
        <w:t>其他特定资格要求：投标人须具有由国家建设主管部门颁发的有效期内的建筑工程施工总承包三级或以上（或建筑装修装饰工程专业承包二级或以上）资质证书，且须具有由国家建设主管部门或安全生产监督管理部门颁发的有效期内的《安全生产许可证》（注：须提供证书复印件加盖投标人公章）。</w:t>
      </w:r>
    </w:p>
    <w:p>
      <w:pPr>
        <w:widowControl/>
        <w:numPr>
          <w:ilvl w:val="0"/>
          <w:numId w:val="4"/>
        </w:numPr>
        <w:spacing w:line="360" w:lineRule="auto"/>
        <w:jc w:val="left"/>
        <w:outlineLvl w:val="3"/>
        <w:rPr>
          <w:rFonts w:ascii="宋体" w:hAnsi="宋体"/>
          <w:color w:val="auto"/>
          <w:kern w:val="0"/>
          <w:szCs w:val="21"/>
          <w:highlight w:val="none"/>
        </w:rPr>
      </w:pPr>
      <w:r>
        <w:rPr>
          <w:rFonts w:hint="eastAsia" w:ascii="宋体" w:hAnsi="宋体"/>
          <w:color w:val="auto"/>
          <w:kern w:val="0"/>
          <w:szCs w:val="21"/>
          <w:highlight w:val="none"/>
        </w:rPr>
        <w:t>项目负责人须具有：建筑工程专业二级或以上注册建造师以及安全生产考核合格证（即“建安B”类证）（注：须提供证书复印件加盖投标人公章）。</w:t>
      </w:r>
    </w:p>
    <w:p>
      <w:pPr>
        <w:widowControl/>
        <w:numPr>
          <w:ilvl w:val="0"/>
          <w:numId w:val="4"/>
        </w:numPr>
        <w:spacing w:line="360" w:lineRule="auto"/>
        <w:jc w:val="left"/>
        <w:outlineLvl w:val="3"/>
        <w:rPr>
          <w:rFonts w:ascii="宋体" w:hAnsi="宋体"/>
          <w:color w:val="auto"/>
          <w:kern w:val="0"/>
          <w:szCs w:val="21"/>
          <w:highlight w:val="none"/>
          <w:lang w:eastAsia="zh-Hans"/>
        </w:rPr>
      </w:pPr>
      <w:r>
        <w:rPr>
          <w:rFonts w:hint="eastAsia" w:ascii="宋体" w:hAnsi="宋体"/>
          <w:color w:val="auto"/>
          <w:kern w:val="0"/>
          <w:szCs w:val="21"/>
          <w:highlight w:val="none"/>
        </w:rPr>
        <w:t>项目负责人未在其他任何在建工程中任职项目负责人。</w:t>
      </w:r>
    </w:p>
    <w:bookmarkEnd w:id="4"/>
    <w:p>
      <w:pPr>
        <w:pStyle w:val="70"/>
        <w:numPr>
          <w:ilvl w:val="0"/>
          <w:numId w:val="1"/>
        </w:numPr>
        <w:tabs>
          <w:tab w:val="left" w:pos="426"/>
        </w:tabs>
        <w:spacing w:line="360" w:lineRule="auto"/>
        <w:ind w:firstLineChars="0"/>
        <w:rPr>
          <w:rFonts w:asciiTheme="minorEastAsia" w:hAnsiTheme="minorEastAsia" w:eastAsiaTheme="minorEastAsia"/>
          <w:b/>
          <w:color w:val="auto"/>
          <w:szCs w:val="21"/>
          <w:highlight w:val="none"/>
        </w:rPr>
      </w:pPr>
      <w:bookmarkStart w:id="5" w:name="_Hlk58185024"/>
      <w:r>
        <w:rPr>
          <w:rFonts w:hint="eastAsia" w:asciiTheme="minorEastAsia" w:hAnsiTheme="minorEastAsia" w:eastAsiaTheme="minorEastAsia"/>
          <w:b/>
          <w:color w:val="auto"/>
          <w:szCs w:val="21"/>
          <w:highlight w:val="none"/>
        </w:rPr>
        <w:t>获取采购文件</w:t>
      </w:r>
    </w:p>
    <w:bookmarkEnd w:id="5"/>
    <w:p>
      <w:pPr>
        <w:pStyle w:val="70"/>
        <w:spacing w:line="360" w:lineRule="auto"/>
        <w:ind w:left="420" w:firstLine="0" w:firstLineChars="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时间：</w:t>
      </w:r>
      <w:r>
        <w:rPr>
          <w:rFonts w:hint="eastAsia" w:cs="宋体" w:asciiTheme="minorEastAsia" w:hAnsiTheme="minorEastAsia" w:eastAsiaTheme="minorEastAsia"/>
          <w:color w:val="auto"/>
          <w:szCs w:val="21"/>
          <w:highlight w:val="none"/>
          <w:u w:val="single"/>
          <w:lang w:val="en-US" w:eastAsia="zh-CN"/>
        </w:rPr>
        <w:t>2024</w:t>
      </w:r>
      <w:r>
        <w:rPr>
          <w:rFonts w:hint="eastAsia" w:cs="宋体" w:asciiTheme="minorEastAsia" w:hAnsiTheme="minorEastAsia" w:eastAsiaTheme="minorEastAsia"/>
          <w:color w:val="auto"/>
          <w:szCs w:val="21"/>
          <w:highlight w:val="none"/>
          <w:u w:val="single"/>
        </w:rPr>
        <w:t>年</w:t>
      </w:r>
      <w:r>
        <w:rPr>
          <w:rFonts w:hint="eastAsia" w:cs="宋体" w:asciiTheme="minorEastAsia" w:hAnsiTheme="minorEastAsia" w:eastAsiaTheme="minorEastAsia"/>
          <w:color w:val="auto"/>
          <w:szCs w:val="21"/>
          <w:highlight w:val="none"/>
          <w:u w:val="single"/>
          <w:lang w:val="en-US" w:eastAsia="zh-CN"/>
        </w:rPr>
        <w:t>09</w:t>
      </w:r>
      <w:r>
        <w:rPr>
          <w:rFonts w:hint="eastAsia" w:cs="宋体" w:asciiTheme="minorEastAsia" w:hAnsiTheme="minorEastAsia" w:eastAsiaTheme="minorEastAsia"/>
          <w:color w:val="auto"/>
          <w:szCs w:val="21"/>
          <w:highlight w:val="none"/>
          <w:u w:val="single"/>
        </w:rPr>
        <w:t>月</w:t>
      </w:r>
      <w:r>
        <w:rPr>
          <w:rFonts w:hint="eastAsia" w:cs="宋体" w:asciiTheme="minorEastAsia" w:hAnsiTheme="minorEastAsia" w:eastAsiaTheme="minorEastAsia"/>
          <w:color w:val="auto"/>
          <w:szCs w:val="21"/>
          <w:highlight w:val="none"/>
          <w:u w:val="single"/>
          <w:lang w:val="en-US" w:eastAsia="zh-CN"/>
        </w:rPr>
        <w:t>09</w:t>
      </w:r>
      <w:r>
        <w:rPr>
          <w:rFonts w:hint="eastAsia" w:cs="宋体" w:asciiTheme="minorEastAsia" w:hAnsiTheme="minorEastAsia" w:eastAsiaTheme="minorEastAsia"/>
          <w:color w:val="auto"/>
          <w:szCs w:val="21"/>
          <w:highlight w:val="none"/>
          <w:u w:val="single"/>
        </w:rPr>
        <w:t>日</w:t>
      </w:r>
      <w:r>
        <w:rPr>
          <w:rFonts w:hint="eastAsia" w:cs="宋体" w:asciiTheme="minorEastAsia" w:hAnsiTheme="minorEastAsia" w:eastAsiaTheme="minorEastAsia"/>
          <w:color w:val="auto"/>
          <w:szCs w:val="21"/>
          <w:highlight w:val="none"/>
        </w:rPr>
        <w:t>至</w:t>
      </w:r>
      <w:r>
        <w:rPr>
          <w:rFonts w:hint="eastAsia" w:cs="宋体" w:asciiTheme="minorEastAsia" w:hAnsiTheme="minorEastAsia" w:eastAsiaTheme="minorEastAsia"/>
          <w:color w:val="auto"/>
          <w:szCs w:val="21"/>
          <w:highlight w:val="none"/>
          <w:u w:val="single"/>
          <w:lang w:val="en-US" w:eastAsia="zh-CN"/>
        </w:rPr>
        <w:t>2024</w:t>
      </w:r>
      <w:r>
        <w:rPr>
          <w:rFonts w:hint="eastAsia" w:cs="宋体" w:asciiTheme="minorEastAsia" w:hAnsiTheme="minorEastAsia" w:eastAsiaTheme="minorEastAsia"/>
          <w:color w:val="auto"/>
          <w:szCs w:val="21"/>
          <w:highlight w:val="none"/>
          <w:u w:val="single"/>
        </w:rPr>
        <w:t>年</w:t>
      </w:r>
      <w:r>
        <w:rPr>
          <w:rFonts w:hint="eastAsia" w:cs="宋体" w:asciiTheme="minorEastAsia" w:hAnsiTheme="minorEastAsia" w:eastAsiaTheme="minorEastAsia"/>
          <w:color w:val="auto"/>
          <w:szCs w:val="21"/>
          <w:highlight w:val="none"/>
          <w:u w:val="single"/>
          <w:lang w:val="en-US" w:eastAsia="zh-CN"/>
        </w:rPr>
        <w:t>09</w:t>
      </w:r>
      <w:r>
        <w:rPr>
          <w:rFonts w:hint="eastAsia" w:cs="宋体" w:asciiTheme="minorEastAsia" w:hAnsiTheme="minorEastAsia" w:eastAsiaTheme="minorEastAsia"/>
          <w:color w:val="auto"/>
          <w:szCs w:val="21"/>
          <w:highlight w:val="none"/>
          <w:u w:val="single"/>
        </w:rPr>
        <w:t>月</w:t>
      </w:r>
      <w:r>
        <w:rPr>
          <w:rFonts w:hint="eastAsia" w:cs="宋体" w:asciiTheme="minorEastAsia" w:hAnsiTheme="minorEastAsia" w:eastAsiaTheme="minorEastAsia"/>
          <w:color w:val="auto"/>
          <w:szCs w:val="21"/>
          <w:highlight w:val="none"/>
          <w:u w:val="single"/>
          <w:lang w:val="en-US" w:eastAsia="zh-CN"/>
        </w:rPr>
        <w:t>14</w:t>
      </w:r>
      <w:r>
        <w:rPr>
          <w:rFonts w:hint="eastAsia" w:cs="宋体" w:asciiTheme="minorEastAsia" w:hAnsiTheme="minorEastAsia" w:eastAsiaTheme="minorEastAsia"/>
          <w:color w:val="auto"/>
          <w:szCs w:val="21"/>
          <w:highlight w:val="none"/>
          <w:u w:val="single"/>
        </w:rPr>
        <w:t>日</w:t>
      </w:r>
      <w:r>
        <w:rPr>
          <w:rFonts w:hint="eastAsia" w:cs="宋体" w:asciiTheme="minorEastAsia" w:hAnsiTheme="minorEastAsia" w:eastAsiaTheme="minorEastAsia"/>
          <w:iCs/>
          <w:color w:val="auto"/>
          <w:szCs w:val="21"/>
          <w:highlight w:val="none"/>
          <w:u w:val="single"/>
        </w:rPr>
        <w:t>（磋商文件的发售期限自开始之日起不得少于5个工作日）</w:t>
      </w:r>
      <w:r>
        <w:rPr>
          <w:rFonts w:hint="eastAsia" w:cs="宋体" w:asciiTheme="minorEastAsia" w:hAnsiTheme="minorEastAsia" w:eastAsiaTheme="minorEastAsia"/>
          <w:color w:val="auto"/>
          <w:szCs w:val="21"/>
          <w:highlight w:val="none"/>
        </w:rPr>
        <w:t>，每天上午9：00至 12：00，下午2：30至5：30（北京时间，</w:t>
      </w:r>
      <w:r>
        <w:rPr>
          <w:rFonts w:cs="宋体" w:asciiTheme="minorEastAsia" w:hAnsiTheme="minorEastAsia" w:eastAsiaTheme="minorEastAsia"/>
          <w:color w:val="auto"/>
          <w:szCs w:val="21"/>
          <w:highlight w:val="none"/>
        </w:rPr>
        <w:t>法定节假日</w:t>
      </w:r>
      <w:r>
        <w:rPr>
          <w:rFonts w:hint="eastAsia" w:cs="宋体" w:asciiTheme="minorEastAsia" w:hAnsiTheme="minorEastAsia" w:eastAsiaTheme="minorEastAsia"/>
          <w:color w:val="auto"/>
          <w:szCs w:val="21"/>
          <w:highlight w:val="none"/>
        </w:rPr>
        <w:t>除外）</w:t>
      </w:r>
    </w:p>
    <w:p>
      <w:pPr>
        <w:pStyle w:val="70"/>
        <w:spacing w:line="360" w:lineRule="auto"/>
        <w:ind w:left="420" w:firstLine="4" w:firstLineChars="2"/>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地点：到梅州市梅县区新县城剑英大道1号（研发楼B栋）323室进行获取或微信搜索公众号“广东智汇城市招标采购有限公司”进行获取。</w:t>
      </w:r>
    </w:p>
    <w:p>
      <w:pPr>
        <w:pStyle w:val="70"/>
        <w:spacing w:line="360" w:lineRule="auto"/>
        <w:ind w:left="420" w:firstLine="0" w:firstLineChars="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方式：现场或线上获取</w:t>
      </w:r>
    </w:p>
    <w:p>
      <w:pPr>
        <w:pStyle w:val="70"/>
        <w:spacing w:line="360" w:lineRule="auto"/>
        <w:ind w:left="420" w:firstLine="0" w:firstLineChars="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w:t>
      </w:r>
      <w:r>
        <w:rPr>
          <w:rFonts w:cs="宋体" w:asciiTheme="minorEastAsia" w:hAnsiTheme="minorEastAsia" w:eastAsiaTheme="minorEastAsia"/>
          <w:color w:val="auto"/>
          <w:szCs w:val="21"/>
          <w:highlight w:val="none"/>
        </w:rPr>
        <w:t>300</w:t>
      </w:r>
      <w:r>
        <w:rPr>
          <w:rFonts w:hint="eastAsia" w:cs="宋体" w:asciiTheme="minorEastAsia" w:hAnsiTheme="minorEastAsia" w:eastAsiaTheme="minorEastAsia"/>
          <w:color w:val="auto"/>
          <w:szCs w:val="21"/>
          <w:highlight w:val="none"/>
        </w:rPr>
        <w:t>元</w:t>
      </w:r>
    </w:p>
    <w:p>
      <w:pPr>
        <w:pStyle w:val="70"/>
        <w:numPr>
          <w:ilvl w:val="0"/>
          <w:numId w:val="1"/>
        </w:numPr>
        <w:tabs>
          <w:tab w:val="left" w:pos="426"/>
        </w:tabs>
        <w:spacing w:line="360" w:lineRule="auto"/>
        <w:ind w:left="0" w:firstLine="0"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响应文件提交</w:t>
      </w:r>
    </w:p>
    <w:p>
      <w:pPr>
        <w:tabs>
          <w:tab w:val="left" w:pos="284"/>
          <w:tab w:val="left" w:pos="426"/>
        </w:tabs>
        <w:spacing w:line="360" w:lineRule="auto"/>
        <w:ind w:left="420" w:hanging="420" w:hanging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截止时间</w:t>
      </w:r>
      <w:r>
        <w:rPr>
          <w:rFonts w:hint="eastAsia" w:asciiTheme="minorEastAsia" w:hAnsiTheme="minorEastAsia" w:eastAsiaTheme="minorEastAsia"/>
          <w:color w:val="auto"/>
          <w:szCs w:val="21"/>
          <w:highlight w:val="none"/>
          <w:u w:val="single"/>
          <w:lang w:val="en-US" w:eastAsia="zh-CN"/>
        </w:rPr>
        <w:t>2024</w:t>
      </w:r>
      <w:r>
        <w:rPr>
          <w:rFonts w:hint="eastAsia" w:asciiTheme="minorEastAsia" w:hAnsiTheme="minorEastAsia" w:eastAsiaTheme="minorEastAsia"/>
          <w:color w:val="auto"/>
          <w:szCs w:val="21"/>
          <w:highlight w:val="none"/>
          <w:u w:val="single"/>
        </w:rPr>
        <w:t>年</w:t>
      </w:r>
      <w:r>
        <w:rPr>
          <w:rFonts w:hint="eastAsia" w:asciiTheme="minorEastAsia" w:hAnsiTheme="minorEastAsia" w:eastAsiaTheme="minorEastAsia"/>
          <w:color w:val="auto"/>
          <w:szCs w:val="21"/>
          <w:highlight w:val="none"/>
          <w:u w:val="single"/>
          <w:lang w:val="en-US" w:eastAsia="zh-CN"/>
        </w:rPr>
        <w:t>09</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20</w:t>
      </w:r>
      <w:r>
        <w:rPr>
          <w:rFonts w:hint="eastAsia" w:asciiTheme="minorEastAsia" w:hAnsiTheme="minorEastAsia" w:eastAsiaTheme="minorEastAsia"/>
          <w:color w:val="auto"/>
          <w:szCs w:val="21"/>
          <w:highlight w:val="none"/>
          <w:u w:val="single"/>
        </w:rPr>
        <w:t>日</w:t>
      </w:r>
      <w:r>
        <w:rPr>
          <w:rFonts w:hint="eastAsia" w:asciiTheme="minorEastAsia" w:hAnsiTheme="minorEastAsia" w:eastAsiaTheme="minorEastAsia"/>
          <w:color w:val="auto"/>
          <w:szCs w:val="21"/>
          <w:highlight w:val="none"/>
          <w:u w:val="single"/>
          <w:lang w:val="en-US" w:eastAsia="zh-CN"/>
        </w:rPr>
        <w:t>14</w:t>
      </w:r>
      <w:r>
        <w:rPr>
          <w:rFonts w:hint="eastAsia" w:asciiTheme="minorEastAsia" w:hAnsiTheme="minorEastAsia" w:eastAsiaTheme="minorEastAsia"/>
          <w:color w:val="auto"/>
          <w:szCs w:val="21"/>
          <w:highlight w:val="none"/>
          <w:u w:val="single"/>
        </w:rPr>
        <w:t>点</w:t>
      </w:r>
      <w:r>
        <w:rPr>
          <w:rFonts w:hint="eastAsia" w:asciiTheme="minorEastAsia" w:hAnsiTheme="minorEastAsia" w:eastAsiaTheme="minorEastAsia"/>
          <w:color w:val="auto"/>
          <w:szCs w:val="21"/>
          <w:highlight w:val="none"/>
          <w:u w:val="single"/>
          <w:lang w:val="en-US" w:eastAsia="zh-CN"/>
        </w:rPr>
        <w:t>30</w:t>
      </w:r>
      <w:r>
        <w:rPr>
          <w:rFonts w:hint="eastAsia" w:asciiTheme="minorEastAsia" w:hAnsiTheme="minorEastAsia" w:eastAsiaTheme="minorEastAsia"/>
          <w:color w:val="auto"/>
          <w:szCs w:val="21"/>
          <w:highlight w:val="none"/>
          <w:u w:val="single"/>
        </w:rPr>
        <w:t>分</w:t>
      </w:r>
      <w:r>
        <w:rPr>
          <w:rFonts w:hint="eastAsia" w:asciiTheme="minorEastAsia" w:hAnsiTheme="minorEastAsia" w:eastAsiaTheme="minorEastAsia"/>
          <w:color w:val="auto"/>
          <w:szCs w:val="21"/>
          <w:highlight w:val="none"/>
        </w:rPr>
        <w:t>（北京时间）（从磋商文件开始发出之日起至供应商提交首次响应文件截止之日止不得少于10日）</w:t>
      </w:r>
    </w:p>
    <w:p>
      <w:pPr>
        <w:pStyle w:val="70"/>
        <w:tabs>
          <w:tab w:val="left" w:pos="426"/>
        </w:tabs>
        <w:spacing w:line="360" w:lineRule="auto"/>
        <w:ind w:left="420"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地点：梅州市梅县区新县城剑英大道1号（研发楼B栋）301室</w:t>
      </w:r>
    </w:p>
    <w:p>
      <w:pPr>
        <w:pStyle w:val="70"/>
        <w:numPr>
          <w:ilvl w:val="0"/>
          <w:numId w:val="1"/>
        </w:numPr>
        <w:tabs>
          <w:tab w:val="left" w:pos="426"/>
        </w:tabs>
        <w:spacing w:line="360" w:lineRule="auto"/>
        <w:ind w:left="-2" w:leftChars="-1" w:firstLine="1"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开启</w:t>
      </w:r>
    </w:p>
    <w:p>
      <w:pPr>
        <w:pStyle w:val="70"/>
        <w:tabs>
          <w:tab w:val="left" w:pos="426"/>
        </w:tabs>
        <w:spacing w:line="360" w:lineRule="auto"/>
        <w:ind w:left="-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w:t>
      </w:r>
      <w:r>
        <w:rPr>
          <w:rFonts w:hint="eastAsia" w:asciiTheme="minorEastAsia" w:hAnsiTheme="minorEastAsia" w:eastAsiaTheme="minorEastAsia"/>
          <w:color w:val="auto"/>
          <w:szCs w:val="21"/>
          <w:highlight w:val="none"/>
          <w:lang w:val="en-US" w:eastAsia="zh-CN"/>
        </w:rPr>
        <w:t>2024</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09</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20</w:t>
      </w:r>
      <w:r>
        <w:rPr>
          <w:rFonts w:hint="eastAsia"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lang w:val="en-US" w:eastAsia="zh-CN"/>
        </w:rPr>
        <w:t>14</w:t>
      </w:r>
      <w:r>
        <w:rPr>
          <w:rFonts w:hint="eastAsia" w:asciiTheme="minorEastAsia" w:hAnsiTheme="minorEastAsia" w:eastAsiaTheme="minorEastAsia"/>
          <w:color w:val="auto"/>
          <w:szCs w:val="21"/>
          <w:highlight w:val="none"/>
        </w:rPr>
        <w:t>点</w:t>
      </w:r>
      <w:r>
        <w:rPr>
          <w:rFonts w:hint="eastAsia" w:asciiTheme="minorEastAsia" w:hAnsiTheme="minorEastAsia" w:eastAsiaTheme="minorEastAsia"/>
          <w:color w:val="auto"/>
          <w:szCs w:val="21"/>
          <w:highlight w:val="none"/>
          <w:lang w:val="en-US" w:eastAsia="zh-CN"/>
        </w:rPr>
        <w:t>30</w:t>
      </w:r>
      <w:r>
        <w:rPr>
          <w:rFonts w:hint="eastAsia" w:asciiTheme="minorEastAsia" w:hAnsiTheme="minorEastAsia" w:eastAsiaTheme="minorEastAsia"/>
          <w:color w:val="auto"/>
          <w:szCs w:val="21"/>
          <w:highlight w:val="none"/>
        </w:rPr>
        <w:t>分（北京时间）</w:t>
      </w:r>
    </w:p>
    <w:p>
      <w:pPr>
        <w:pStyle w:val="70"/>
        <w:tabs>
          <w:tab w:val="left" w:pos="426"/>
        </w:tabs>
        <w:spacing w:line="360" w:lineRule="auto"/>
        <w:ind w:left="-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地点：梅州市梅县区新县城剑英大道1号（研发楼B栋）301室</w:t>
      </w:r>
    </w:p>
    <w:p>
      <w:pPr>
        <w:pStyle w:val="70"/>
        <w:numPr>
          <w:ilvl w:val="0"/>
          <w:numId w:val="1"/>
        </w:numPr>
        <w:tabs>
          <w:tab w:val="left" w:pos="426"/>
        </w:tabs>
        <w:spacing w:line="360" w:lineRule="auto"/>
        <w:ind w:left="-2" w:leftChars="-1" w:firstLine="1"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公告期限</w:t>
      </w:r>
    </w:p>
    <w:p>
      <w:pPr>
        <w:pStyle w:val="70"/>
        <w:tabs>
          <w:tab w:val="left" w:pos="426"/>
        </w:tabs>
        <w:spacing w:line="360" w:lineRule="auto"/>
        <w:ind w:left="420"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自本公告发布之日起3个工作日。</w:t>
      </w:r>
    </w:p>
    <w:p>
      <w:pPr>
        <w:pStyle w:val="70"/>
        <w:numPr>
          <w:ilvl w:val="0"/>
          <w:numId w:val="1"/>
        </w:numPr>
        <w:tabs>
          <w:tab w:val="left" w:pos="426"/>
        </w:tabs>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其他补充事宜</w:t>
      </w:r>
    </w:p>
    <w:p>
      <w:pPr>
        <w:pStyle w:val="70"/>
        <w:numPr>
          <w:ilvl w:val="0"/>
          <w:numId w:val="5"/>
        </w:numPr>
        <w:tabs>
          <w:tab w:val="left" w:pos="426"/>
        </w:tabs>
        <w:spacing w:line="360" w:lineRule="auto"/>
        <w:ind w:left="426" w:hanging="426" w:firstLineChars="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需要落实的政府采购政策：《政府采购促进中小企业发展管理办法》的通知（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市场监管总局关于调整优化节能产品、环境标志产品政府采购执行机制的通知》（财库〔2019〕9号）、《关于印发〈商品包装政府采购需求标准（试行）〉、〈快递包装政府采购需求标准（试行）〉的通知》等。</w:t>
      </w:r>
    </w:p>
    <w:p>
      <w:pPr>
        <w:pStyle w:val="70"/>
        <w:numPr>
          <w:ilvl w:val="0"/>
          <w:numId w:val="5"/>
        </w:numPr>
        <w:tabs>
          <w:tab w:val="left" w:pos="426"/>
        </w:tabs>
        <w:spacing w:line="360" w:lineRule="auto"/>
        <w:ind w:firstLineChars="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本项目采购标的所属行业为</w:t>
      </w:r>
      <w:r>
        <w:rPr>
          <w:rFonts w:hint="eastAsia" w:asciiTheme="minorEastAsia" w:hAnsiTheme="minorEastAsia" w:eastAsiaTheme="minorEastAsia"/>
          <w:bCs/>
          <w:color w:val="auto"/>
          <w:szCs w:val="21"/>
          <w:highlight w:val="none"/>
          <w:u w:val="single"/>
        </w:rPr>
        <w:t>建筑业</w:t>
      </w:r>
      <w:r>
        <w:rPr>
          <w:rFonts w:hint="eastAsia" w:asciiTheme="minorEastAsia" w:hAnsiTheme="minorEastAsia" w:eastAsiaTheme="minorEastAsia"/>
          <w:bCs/>
          <w:color w:val="auto"/>
          <w:szCs w:val="21"/>
          <w:highlight w:val="none"/>
        </w:rPr>
        <w:t>。</w:t>
      </w:r>
    </w:p>
    <w:p>
      <w:pPr>
        <w:pStyle w:val="70"/>
        <w:numPr>
          <w:ilvl w:val="0"/>
          <w:numId w:val="5"/>
        </w:numPr>
        <w:tabs>
          <w:tab w:val="left" w:pos="426"/>
        </w:tabs>
        <w:spacing w:line="360" w:lineRule="auto"/>
        <w:ind w:left="426" w:hanging="426" w:firstLineChars="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采购文件公示/下载媒体</w:t>
      </w:r>
    </w:p>
    <w:p>
      <w:pPr>
        <w:pStyle w:val="70"/>
        <w:spacing w:line="360" w:lineRule="auto"/>
        <w:ind w:left="420" w:firstLine="0" w:firstLineChars="0"/>
        <w:rPr>
          <w:rFonts w:ascii="宋体" w:hAnsi="宋体"/>
          <w:color w:val="auto"/>
          <w:spacing w:val="-4"/>
          <w:kern w:val="0"/>
          <w:szCs w:val="21"/>
          <w:highlight w:val="none"/>
          <w:lang w:eastAsia="zh-Hans"/>
        </w:rPr>
      </w:pPr>
      <w:r>
        <w:rPr>
          <w:rFonts w:hint="eastAsia" w:ascii="宋体" w:hAnsi="宋体"/>
          <w:color w:val="auto"/>
          <w:spacing w:val="-4"/>
          <w:kern w:val="0"/>
          <w:szCs w:val="21"/>
          <w:highlight w:val="none"/>
          <w:lang w:eastAsia="zh-Hans"/>
        </w:rPr>
        <w:t>中国政府采购网(http://www.ccgp.gov.cn/)、中国采购与招标网(https://www.chinabidding.cn/)、广东智汇城市招标采购有限公司网站(http://www.gdzhcity.com/)</w:t>
      </w:r>
    </w:p>
    <w:p>
      <w:pPr>
        <w:pStyle w:val="70"/>
        <w:numPr>
          <w:ilvl w:val="0"/>
          <w:numId w:val="5"/>
        </w:numPr>
        <w:tabs>
          <w:tab w:val="left" w:pos="426"/>
        </w:tabs>
        <w:spacing w:line="360" w:lineRule="auto"/>
        <w:ind w:left="426" w:hanging="426" w:firstLineChars="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拟参加本项目的潜在供应商须在规定时间内按要求获取磋商文件后方可参与本项目的磋商。获取磋商文件后而不参加磋商的潜在供应商，请在开标日期三日前以书面形式通知采购代理机构。</w:t>
      </w:r>
    </w:p>
    <w:p>
      <w:pPr>
        <w:pStyle w:val="70"/>
        <w:numPr>
          <w:ilvl w:val="0"/>
          <w:numId w:val="5"/>
        </w:numPr>
        <w:tabs>
          <w:tab w:val="left" w:pos="426"/>
        </w:tabs>
        <w:spacing w:line="360" w:lineRule="auto"/>
        <w:ind w:firstLineChars="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获取磋商文件联系人及联系方式：薛小姐 （0753）2595996</w:t>
      </w:r>
      <w:r>
        <w:rPr>
          <w:rFonts w:asciiTheme="minorEastAsia" w:hAnsiTheme="minorEastAsia" w:eastAsiaTheme="minorEastAsia"/>
          <w:bCs/>
          <w:color w:val="auto"/>
          <w:szCs w:val="21"/>
          <w:highlight w:val="none"/>
        </w:rPr>
        <w:t xml:space="preserve"> </w:t>
      </w:r>
      <w:r>
        <w:rPr>
          <w:rFonts w:hint="eastAsia" w:asciiTheme="minorEastAsia" w:hAnsiTheme="minorEastAsia" w:eastAsiaTheme="minorEastAsia"/>
          <w:bCs/>
          <w:color w:val="auto"/>
          <w:szCs w:val="21"/>
          <w:highlight w:val="none"/>
        </w:rPr>
        <w:t>邮箱：</w:t>
      </w:r>
      <w:r>
        <w:rPr>
          <w:rFonts w:asciiTheme="minorEastAsia" w:hAnsiTheme="minorEastAsia" w:eastAsiaTheme="minorEastAsia"/>
          <w:color w:val="auto"/>
          <w:highlight w:val="none"/>
        </w:rPr>
        <w:t>zhcsmz0753@163.com</w:t>
      </w:r>
      <w:r>
        <w:rPr>
          <w:rFonts w:hint="eastAsia" w:asciiTheme="minorEastAsia" w:hAnsiTheme="minorEastAsia" w:eastAsiaTheme="minorEastAsia"/>
          <w:bCs/>
          <w:color w:val="auto"/>
          <w:szCs w:val="21"/>
          <w:highlight w:val="none"/>
        </w:rPr>
        <w:t>。</w:t>
      </w:r>
    </w:p>
    <w:p>
      <w:pPr>
        <w:pStyle w:val="70"/>
        <w:numPr>
          <w:ilvl w:val="0"/>
          <w:numId w:val="1"/>
        </w:numPr>
        <w:tabs>
          <w:tab w:val="left" w:pos="567"/>
        </w:tabs>
        <w:spacing w:before="156" w:beforeLines="50"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对本次采购提出询问，请按以下方式联系。</w:t>
      </w:r>
    </w:p>
    <w:p>
      <w:pPr>
        <w:pStyle w:val="70"/>
        <w:numPr>
          <w:ilvl w:val="0"/>
          <w:numId w:val="6"/>
        </w:numPr>
        <w:tabs>
          <w:tab w:val="left" w:pos="567"/>
        </w:tabs>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采购人信息</w:t>
      </w:r>
    </w:p>
    <w:p>
      <w:pPr>
        <w:tabs>
          <w:tab w:val="left" w:pos="567"/>
        </w:tabs>
        <w:spacing w:line="360" w:lineRule="auto"/>
        <w:ind w:left="424" w:leftChars="202"/>
        <w:rPr>
          <w:rFonts w:ascii="宋体" w:hAnsi="宋体"/>
          <w:bCs/>
          <w:color w:val="auto"/>
          <w:szCs w:val="21"/>
          <w:highlight w:val="none"/>
        </w:rPr>
      </w:pPr>
      <w:r>
        <w:rPr>
          <w:rFonts w:hint="eastAsia" w:ascii="宋体" w:hAnsi="宋体"/>
          <w:bCs/>
          <w:color w:val="auto"/>
          <w:szCs w:val="21"/>
          <w:highlight w:val="none"/>
        </w:rPr>
        <w:t>名 称：国家税务总局兴宁市税务局</w:t>
      </w:r>
    </w:p>
    <w:p>
      <w:pPr>
        <w:tabs>
          <w:tab w:val="left" w:pos="567"/>
        </w:tabs>
        <w:spacing w:line="360" w:lineRule="auto"/>
        <w:ind w:left="424" w:leftChars="202"/>
        <w:rPr>
          <w:rFonts w:ascii="宋体" w:hAnsi="宋体"/>
          <w:bCs/>
          <w:color w:val="auto"/>
          <w:szCs w:val="21"/>
          <w:highlight w:val="none"/>
        </w:rPr>
      </w:pPr>
      <w:r>
        <w:rPr>
          <w:rFonts w:hint="eastAsia" w:ascii="宋体" w:hAnsi="宋体"/>
          <w:bCs/>
          <w:color w:val="auto"/>
          <w:szCs w:val="21"/>
          <w:highlight w:val="none"/>
        </w:rPr>
        <w:t>地址：广东省梅州市兴宁市人民大道397号</w:t>
      </w:r>
    </w:p>
    <w:p>
      <w:pPr>
        <w:tabs>
          <w:tab w:val="left" w:pos="567"/>
        </w:tabs>
        <w:spacing w:line="360" w:lineRule="auto"/>
        <w:ind w:left="424" w:leftChars="202"/>
        <w:rPr>
          <w:rFonts w:asciiTheme="minorEastAsia" w:hAnsiTheme="minorEastAsia" w:eastAsiaTheme="minorEastAsia"/>
          <w:b/>
          <w:color w:val="auto"/>
          <w:szCs w:val="21"/>
          <w:highlight w:val="none"/>
        </w:rPr>
      </w:pPr>
      <w:r>
        <w:rPr>
          <w:rFonts w:hint="eastAsia" w:ascii="宋体" w:hAnsi="宋体"/>
          <w:bCs/>
          <w:color w:val="auto"/>
          <w:szCs w:val="21"/>
          <w:highlight w:val="none"/>
        </w:rPr>
        <w:t>联系方式：</w:t>
      </w:r>
      <w:r>
        <w:rPr>
          <w:rFonts w:ascii="宋体" w:hAnsi="宋体"/>
          <w:bCs/>
          <w:color w:val="auto"/>
          <w:szCs w:val="21"/>
          <w:highlight w:val="none"/>
        </w:rPr>
        <w:t>0753-3260168</w:t>
      </w:r>
    </w:p>
    <w:p>
      <w:pPr>
        <w:pStyle w:val="70"/>
        <w:numPr>
          <w:ilvl w:val="0"/>
          <w:numId w:val="6"/>
        </w:numPr>
        <w:tabs>
          <w:tab w:val="left" w:pos="567"/>
        </w:tabs>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采购代理机构信息</w:t>
      </w:r>
    </w:p>
    <w:p>
      <w:pPr>
        <w:tabs>
          <w:tab w:val="left" w:pos="567"/>
        </w:tabs>
        <w:spacing w:line="360" w:lineRule="auto"/>
        <w:ind w:left="424" w:leftChars="202"/>
        <w:rPr>
          <w:rFonts w:ascii="宋体" w:hAnsi="宋体"/>
          <w:bCs/>
          <w:color w:val="auto"/>
          <w:szCs w:val="21"/>
          <w:highlight w:val="none"/>
        </w:rPr>
      </w:pPr>
      <w:r>
        <w:rPr>
          <w:rFonts w:hint="eastAsia" w:ascii="宋体" w:hAnsi="宋体"/>
          <w:bCs/>
          <w:color w:val="auto"/>
          <w:szCs w:val="21"/>
          <w:highlight w:val="none"/>
        </w:rPr>
        <w:t xml:space="preserve">名 </w:t>
      </w:r>
      <w:r>
        <w:rPr>
          <w:rFonts w:ascii="宋体" w:hAnsi="宋体"/>
          <w:bCs/>
          <w:color w:val="auto"/>
          <w:szCs w:val="21"/>
          <w:highlight w:val="none"/>
        </w:rPr>
        <w:t xml:space="preserve"> </w:t>
      </w:r>
      <w:r>
        <w:rPr>
          <w:rFonts w:hint="eastAsia" w:ascii="宋体" w:hAnsi="宋体"/>
          <w:bCs/>
          <w:color w:val="auto"/>
          <w:szCs w:val="21"/>
          <w:highlight w:val="none"/>
        </w:rPr>
        <w:t>称：广东智汇城市招标采购有限公司</w:t>
      </w:r>
    </w:p>
    <w:p>
      <w:pPr>
        <w:tabs>
          <w:tab w:val="left" w:pos="567"/>
        </w:tabs>
        <w:spacing w:line="360" w:lineRule="auto"/>
        <w:ind w:left="424" w:leftChars="202"/>
        <w:rPr>
          <w:rFonts w:ascii="宋体" w:hAnsi="宋体"/>
          <w:bCs/>
          <w:color w:val="auto"/>
          <w:szCs w:val="21"/>
          <w:highlight w:val="none"/>
        </w:rPr>
      </w:pPr>
      <w:r>
        <w:rPr>
          <w:rFonts w:hint="eastAsia" w:ascii="宋体" w:hAnsi="宋体"/>
          <w:bCs/>
          <w:color w:val="auto"/>
          <w:szCs w:val="21"/>
          <w:highlight w:val="none"/>
        </w:rPr>
        <w:t>地　址：梅州市梅县区新县城剑英大道1号（研发楼B栋）301、323室</w:t>
      </w:r>
    </w:p>
    <w:p>
      <w:pPr>
        <w:tabs>
          <w:tab w:val="left" w:pos="567"/>
        </w:tabs>
        <w:spacing w:line="360" w:lineRule="auto"/>
        <w:ind w:left="424" w:leftChars="202"/>
        <w:rPr>
          <w:rFonts w:asciiTheme="minorEastAsia" w:hAnsiTheme="minorEastAsia" w:eastAsiaTheme="minorEastAsia"/>
          <w:b/>
          <w:color w:val="auto"/>
          <w:szCs w:val="21"/>
          <w:highlight w:val="none"/>
        </w:rPr>
      </w:pPr>
      <w:r>
        <w:rPr>
          <w:rFonts w:hint="eastAsia" w:ascii="宋体" w:hAnsi="宋体"/>
          <w:bCs/>
          <w:color w:val="auto"/>
          <w:szCs w:val="21"/>
          <w:highlight w:val="none"/>
        </w:rPr>
        <w:t>联系方式：（0753）2595996</w:t>
      </w:r>
    </w:p>
    <w:p>
      <w:pPr>
        <w:tabs>
          <w:tab w:val="left" w:pos="567"/>
        </w:tabs>
        <w:spacing w:line="360" w:lineRule="auto"/>
        <w:ind w:left="424" w:leftChars="202"/>
        <w:rPr>
          <w:rFonts w:asciiTheme="minorEastAsia" w:hAnsiTheme="minorEastAsia" w:eastAsiaTheme="minorEastAsia"/>
          <w:b/>
          <w:color w:val="auto"/>
          <w:szCs w:val="21"/>
          <w:highlight w:val="none"/>
        </w:rPr>
      </w:pPr>
      <w:r>
        <w:rPr>
          <w:rFonts w:hint="eastAsia" w:asciiTheme="minorEastAsia" w:hAnsiTheme="minorEastAsia" w:eastAsiaTheme="minorEastAsia"/>
          <w:bCs/>
          <w:color w:val="auto"/>
          <w:szCs w:val="21"/>
          <w:highlight w:val="none"/>
        </w:rPr>
        <w:t>　</w:t>
      </w:r>
      <w:r>
        <w:rPr>
          <w:rFonts w:hint="eastAsia" w:asciiTheme="minorEastAsia" w:hAnsiTheme="minorEastAsia" w:eastAsiaTheme="minorEastAsia"/>
          <w:b/>
          <w:color w:val="auto"/>
          <w:szCs w:val="21"/>
          <w:highlight w:val="none"/>
        </w:rPr>
        <w:t>　　　　　　　　　　　</w:t>
      </w:r>
    </w:p>
    <w:p>
      <w:pPr>
        <w:pStyle w:val="70"/>
        <w:numPr>
          <w:ilvl w:val="0"/>
          <w:numId w:val="6"/>
        </w:numPr>
        <w:tabs>
          <w:tab w:val="left" w:pos="567"/>
        </w:tabs>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项目联系方式</w:t>
      </w:r>
    </w:p>
    <w:p>
      <w:pPr>
        <w:tabs>
          <w:tab w:val="left" w:pos="567"/>
        </w:tabs>
        <w:spacing w:line="360" w:lineRule="auto"/>
        <w:ind w:left="283" w:leftChars="135" w:firstLine="142" w:firstLineChars="68"/>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项目联系人：薛小姐</w:t>
      </w:r>
    </w:p>
    <w:p>
      <w:pPr>
        <w:tabs>
          <w:tab w:val="left" w:pos="567"/>
        </w:tabs>
        <w:spacing w:line="360" w:lineRule="auto"/>
        <w:ind w:left="283" w:leftChars="135" w:firstLine="142" w:firstLineChars="68"/>
        <w:rPr>
          <w:rFonts w:asciiTheme="minorEastAsia" w:hAnsiTheme="minorEastAsia" w:eastAsiaTheme="minorEastAsia"/>
          <w:b/>
          <w:color w:val="auto"/>
          <w:szCs w:val="21"/>
          <w:highlight w:val="none"/>
        </w:rPr>
      </w:pPr>
      <w:r>
        <w:rPr>
          <w:rFonts w:hint="eastAsia" w:asciiTheme="minorEastAsia" w:hAnsiTheme="minorEastAsia" w:eastAsiaTheme="minorEastAsia"/>
          <w:bCs/>
          <w:color w:val="auto"/>
          <w:szCs w:val="21"/>
          <w:highlight w:val="none"/>
        </w:rPr>
        <w:t>电　话：（0753）2595996　</w:t>
      </w:r>
      <w:r>
        <w:rPr>
          <w:rFonts w:hint="eastAsia" w:asciiTheme="minorEastAsia" w:hAnsiTheme="minorEastAsia" w:eastAsiaTheme="minorEastAsia"/>
          <w:b/>
          <w:color w:val="auto"/>
          <w:szCs w:val="21"/>
          <w:highlight w:val="none"/>
        </w:rPr>
        <w:t>　　　　　　　　　　　</w:t>
      </w:r>
    </w:p>
    <w:p>
      <w:pPr>
        <w:tabs>
          <w:tab w:val="left" w:pos="567"/>
        </w:tabs>
        <w:spacing w:before="156" w:line="360" w:lineRule="auto"/>
        <w:rPr>
          <w:rFonts w:asciiTheme="minorEastAsia" w:hAnsiTheme="minorEastAsia" w:eastAsiaTheme="minorEastAsia"/>
          <w:b/>
          <w:color w:val="auto"/>
          <w:szCs w:val="21"/>
          <w:highlight w:val="none"/>
        </w:rPr>
      </w:pPr>
    </w:p>
    <w:p>
      <w:pPr>
        <w:tabs>
          <w:tab w:val="left" w:pos="567"/>
        </w:tabs>
        <w:spacing w:before="840"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发布人：广东智汇城市招标采购有限公司</w:t>
      </w:r>
    </w:p>
    <w:p>
      <w:pPr>
        <w:tabs>
          <w:tab w:val="left" w:pos="567"/>
        </w:tabs>
        <w:spacing w:before="156"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发布时间：</w:t>
      </w:r>
      <w:r>
        <w:rPr>
          <w:rFonts w:hint="eastAsia" w:asciiTheme="minorEastAsia" w:hAnsiTheme="minorEastAsia" w:eastAsiaTheme="minorEastAsia"/>
          <w:b/>
          <w:color w:val="auto"/>
          <w:szCs w:val="21"/>
          <w:highlight w:val="none"/>
          <w:lang w:val="en-US" w:eastAsia="zh-CN"/>
        </w:rPr>
        <w:t>2024</w:t>
      </w:r>
      <w:r>
        <w:rPr>
          <w:rFonts w:hint="eastAsia" w:asciiTheme="minorEastAsia" w:hAnsiTheme="minorEastAsia" w:eastAsiaTheme="minorEastAsia"/>
          <w:b/>
          <w:color w:val="auto"/>
          <w:szCs w:val="21"/>
          <w:highlight w:val="none"/>
        </w:rPr>
        <w:t>年</w:t>
      </w:r>
      <w:r>
        <w:rPr>
          <w:rFonts w:hint="eastAsia" w:asciiTheme="minorEastAsia" w:hAnsiTheme="minorEastAsia" w:eastAsiaTheme="minorEastAsia"/>
          <w:b/>
          <w:color w:val="auto"/>
          <w:szCs w:val="21"/>
          <w:highlight w:val="none"/>
          <w:lang w:val="en-US" w:eastAsia="zh-CN"/>
        </w:rPr>
        <w:t>09</w:t>
      </w:r>
      <w:r>
        <w:rPr>
          <w:rFonts w:hint="eastAsia" w:asciiTheme="minorEastAsia" w:hAnsiTheme="minorEastAsia" w:eastAsiaTheme="minorEastAsia"/>
          <w:b/>
          <w:color w:val="auto"/>
          <w:szCs w:val="21"/>
          <w:highlight w:val="none"/>
        </w:rPr>
        <w:t>月</w:t>
      </w:r>
      <w:r>
        <w:rPr>
          <w:rFonts w:hint="eastAsia" w:asciiTheme="minorEastAsia" w:hAnsiTheme="minorEastAsia" w:eastAsiaTheme="minorEastAsia"/>
          <w:b/>
          <w:color w:val="auto"/>
          <w:szCs w:val="21"/>
          <w:highlight w:val="none"/>
          <w:lang w:val="en-US" w:eastAsia="zh-CN"/>
        </w:rPr>
        <w:t>09</w:t>
      </w:r>
      <w:r>
        <w:rPr>
          <w:rFonts w:hint="eastAsia" w:asciiTheme="minorEastAsia" w:hAnsiTheme="minorEastAsia" w:eastAsiaTheme="minorEastAsia"/>
          <w:b/>
          <w:color w:val="auto"/>
          <w:szCs w:val="21"/>
          <w:highlight w:val="none"/>
        </w:rPr>
        <w:t>日</w:t>
      </w:r>
    </w:p>
    <w:p>
      <w:pPr>
        <w:rPr>
          <w:rFonts w:asciiTheme="minorEastAsia" w:hAnsiTheme="minorEastAsia" w:eastAsiaTheme="minorEastAsia"/>
          <w:color w:val="auto"/>
          <w:highlight w:val="none"/>
        </w:rPr>
      </w:pPr>
    </w:p>
    <w:bookmarkEnd w:id="2"/>
    <w:bookmarkEnd w:id="3"/>
    <w:p>
      <w:pPr>
        <w:pStyle w:val="2"/>
        <w:keepNext w:val="0"/>
        <w:keepLines w:val="0"/>
        <w:pageBreakBefore/>
        <w:spacing w:after="240" w:line="360" w:lineRule="auto"/>
        <w:jc w:val="center"/>
        <w:rPr>
          <w:rFonts w:asciiTheme="minorEastAsia" w:hAnsiTheme="minorEastAsia" w:eastAsiaTheme="minorEastAsia" w:cstheme="minorBidi"/>
          <w:b w:val="0"/>
          <w:bCs w:val="0"/>
          <w:color w:val="auto"/>
          <w:spacing w:val="20"/>
          <w:sz w:val="32"/>
          <w:szCs w:val="32"/>
          <w:highlight w:val="none"/>
        </w:rPr>
      </w:pPr>
      <w:bookmarkStart w:id="6" w:name="_Toc170228129"/>
      <w:bookmarkStart w:id="7" w:name="_Toc90976500"/>
      <w:r>
        <w:rPr>
          <w:rFonts w:hint="eastAsia" w:asciiTheme="minorEastAsia" w:hAnsiTheme="minorEastAsia" w:eastAsiaTheme="minorEastAsia"/>
          <w:color w:val="auto"/>
          <w:spacing w:val="20"/>
          <w:sz w:val="32"/>
          <w:szCs w:val="32"/>
          <w:highlight w:val="none"/>
        </w:rPr>
        <w:t>第二章</w:t>
      </w:r>
      <w:r>
        <w:rPr>
          <w:rFonts w:asciiTheme="minorEastAsia" w:hAnsiTheme="minorEastAsia" w:eastAsiaTheme="minorEastAsia"/>
          <w:color w:val="auto"/>
          <w:spacing w:val="20"/>
          <w:sz w:val="32"/>
          <w:szCs w:val="32"/>
          <w:highlight w:val="none"/>
        </w:rPr>
        <w:t xml:space="preserve"> </w:t>
      </w:r>
      <w:r>
        <w:rPr>
          <w:rFonts w:hint="eastAsia" w:asciiTheme="minorEastAsia" w:hAnsiTheme="minorEastAsia" w:eastAsiaTheme="minorEastAsia"/>
          <w:color w:val="auto"/>
          <w:spacing w:val="20"/>
          <w:sz w:val="32"/>
          <w:szCs w:val="32"/>
          <w:highlight w:val="none"/>
        </w:rPr>
        <w:t>采购需求</w:t>
      </w:r>
      <w:bookmarkEnd w:id="6"/>
      <w:bookmarkEnd w:id="7"/>
    </w:p>
    <w:p>
      <w:pPr>
        <w:snapToGrid w:val="0"/>
        <w:spacing w:line="360" w:lineRule="auto"/>
        <w:contextualSpacing/>
        <w:rPr>
          <w:rFonts w:ascii="宋体" w:hAnsi="宋体"/>
          <w:b/>
          <w:color w:val="auto"/>
          <w:szCs w:val="21"/>
          <w:highlight w:val="none"/>
        </w:rPr>
      </w:pPr>
      <w:bookmarkStart w:id="8" w:name="_Hlk90919605"/>
      <w:r>
        <w:rPr>
          <w:rFonts w:hint="eastAsia" w:ascii="宋体" w:hAnsi="宋体"/>
          <w:b/>
          <w:color w:val="auto"/>
          <w:szCs w:val="21"/>
          <w:highlight w:val="none"/>
        </w:rPr>
        <w:t>说明：</w:t>
      </w:r>
    </w:p>
    <w:p>
      <w:pPr>
        <w:numPr>
          <w:ilvl w:val="0"/>
          <w:numId w:val="7"/>
        </w:numPr>
        <w:tabs>
          <w:tab w:val="left" w:pos="284"/>
        </w:tabs>
        <w:snapToGrid w:val="0"/>
        <w:spacing w:line="360" w:lineRule="auto"/>
        <w:ind w:left="284" w:hanging="284"/>
        <w:contextualSpacing/>
        <w:rPr>
          <w:rFonts w:ascii="宋体" w:hAnsi="宋体"/>
          <w:color w:val="auto"/>
          <w:szCs w:val="21"/>
          <w:highlight w:val="none"/>
        </w:rPr>
      </w:pPr>
      <w:r>
        <w:rPr>
          <w:rFonts w:hint="eastAsia" w:ascii="宋体" w:hAnsi="宋体"/>
          <w:color w:val="auto"/>
          <w:szCs w:val="21"/>
          <w:highlight w:val="none"/>
        </w:rPr>
        <w:t>采购需求成交有“★”的地方均被视为重要的采购需求，供应商要特别加以注意，必须对此响应并完全满足这些要求，否则若有一项带“★”的要求未响应或不满足，将按无效响应处理。</w:t>
      </w:r>
    </w:p>
    <w:p>
      <w:pPr>
        <w:numPr>
          <w:ilvl w:val="0"/>
          <w:numId w:val="7"/>
        </w:numPr>
        <w:tabs>
          <w:tab w:val="left" w:pos="284"/>
        </w:tabs>
        <w:snapToGrid w:val="0"/>
        <w:spacing w:line="360" w:lineRule="auto"/>
        <w:ind w:left="284" w:hanging="284"/>
        <w:contextualSpacing/>
        <w:rPr>
          <w:rFonts w:ascii="宋体" w:hAnsi="宋体"/>
          <w:color w:val="auto"/>
          <w:szCs w:val="21"/>
          <w:highlight w:val="none"/>
        </w:rPr>
      </w:pPr>
      <w:r>
        <w:rPr>
          <w:rFonts w:hint="eastAsia" w:ascii="宋体" w:hAnsi="宋体"/>
          <w:color w:val="auto"/>
          <w:szCs w:val="21"/>
          <w:highlight w:val="none"/>
        </w:rPr>
        <w:t>响应报价中不得包含磋商文件要求以外的内容，否则，在评审时不予核减。若响应报价有缺漏项的，缺漏项部分的价格视为已包含在响应报价中，成交后不作任何调整。</w:t>
      </w:r>
    </w:p>
    <w:p>
      <w:pPr>
        <w:snapToGrid w:val="0"/>
        <w:spacing w:line="360" w:lineRule="auto"/>
        <w:contextualSpacing/>
        <w:rPr>
          <w:rFonts w:ascii="等线" w:hAnsi="等线" w:eastAsia="等线"/>
          <w:color w:val="auto"/>
          <w:highlight w:val="none"/>
        </w:rPr>
      </w:pPr>
    </w:p>
    <w:p>
      <w:pPr>
        <w:numPr>
          <w:ilvl w:val="0"/>
          <w:numId w:val="8"/>
        </w:numPr>
        <w:snapToGrid w:val="0"/>
        <w:spacing w:line="360" w:lineRule="auto"/>
        <w:ind w:left="442" w:hanging="442"/>
        <w:contextualSpacing/>
        <w:rPr>
          <w:rFonts w:ascii="等线" w:hAnsi="等线" w:eastAsia="等线"/>
          <w:color w:val="auto"/>
          <w:highlight w:val="none"/>
        </w:rPr>
      </w:pPr>
      <w:r>
        <w:rPr>
          <w:rFonts w:ascii="宋体" w:hAnsi="宋体"/>
          <w:b/>
          <w:bCs/>
          <w:color w:val="auto"/>
          <w:highlight w:val="none"/>
        </w:rPr>
        <w:t>项目概况</w:t>
      </w:r>
    </w:p>
    <w:p>
      <w:pPr>
        <w:pStyle w:val="70"/>
        <w:snapToGrid w:val="0"/>
        <w:spacing w:line="360" w:lineRule="auto"/>
        <w:ind w:left="442" w:firstLine="0" w:firstLineChars="0"/>
        <w:contextualSpacing/>
        <w:rPr>
          <w:rFonts w:ascii="宋体" w:hAnsi="宋体"/>
          <w:b/>
          <w:color w:val="auto"/>
          <w:szCs w:val="21"/>
          <w:highlight w:val="none"/>
        </w:rPr>
      </w:pPr>
      <w:r>
        <w:rPr>
          <w:rFonts w:hint="eastAsia" w:ascii="宋体" w:hAnsi="宋体"/>
          <w:color w:val="auto"/>
          <w:szCs w:val="21"/>
          <w:highlight w:val="none"/>
        </w:rPr>
        <w:t>国家税务总局兴宁市税务局综合业务办公用房维修改造（包括但不限于外窗工程、门窗工程、墙面工程、地面工程、天棚、吊顶工程、轻质隔墙工程等）。</w:t>
      </w:r>
    </w:p>
    <w:p>
      <w:pPr>
        <w:numPr>
          <w:ilvl w:val="0"/>
          <w:numId w:val="8"/>
        </w:numPr>
        <w:snapToGrid w:val="0"/>
        <w:spacing w:line="360" w:lineRule="auto"/>
        <w:ind w:left="442" w:hanging="442"/>
        <w:contextualSpacing/>
        <w:rPr>
          <w:rFonts w:ascii="宋体" w:hAnsi="宋体"/>
          <w:b/>
          <w:color w:val="auto"/>
          <w:szCs w:val="21"/>
          <w:highlight w:val="none"/>
        </w:rPr>
      </w:pPr>
      <w:r>
        <w:rPr>
          <w:rFonts w:ascii="宋体" w:hAnsi="宋体"/>
          <w:b/>
          <w:bCs/>
          <w:color w:val="auto"/>
          <w:highlight w:val="none"/>
        </w:rPr>
        <w:t>采购标的</w:t>
      </w:r>
    </w:p>
    <w:p>
      <w:pPr>
        <w:numPr>
          <w:ilvl w:val="0"/>
          <w:numId w:val="9"/>
        </w:numPr>
        <w:snapToGrid w:val="0"/>
        <w:spacing w:line="360" w:lineRule="auto"/>
        <w:contextualSpacing/>
        <w:rPr>
          <w:rFonts w:ascii="宋体" w:hAnsi="宋体"/>
          <w:bCs/>
          <w:color w:val="auto"/>
          <w:szCs w:val="21"/>
          <w:highlight w:val="none"/>
        </w:rPr>
      </w:pPr>
      <w:r>
        <w:rPr>
          <w:rFonts w:ascii="宋体" w:hAnsi="宋体"/>
          <w:bCs/>
          <w:color w:val="auto"/>
          <w:szCs w:val="21"/>
          <w:highlight w:val="none"/>
        </w:rPr>
        <w:t>采购标的</w:t>
      </w:r>
    </w:p>
    <w:tbl>
      <w:tblPr>
        <w:tblStyle w:val="7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3670"/>
        <w:gridCol w:w="1307"/>
        <w:gridCol w:w="1163"/>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pPr>
              <w:spacing w:line="360" w:lineRule="auto"/>
              <w:jc w:val="center"/>
              <w:rPr>
                <w:rFonts w:ascii="宋体" w:hAnsi="宋体" w:eastAsia="宋体"/>
                <w:bCs/>
                <w:color w:val="auto"/>
                <w:szCs w:val="21"/>
                <w:highlight w:val="none"/>
              </w:rPr>
            </w:pPr>
            <w:r>
              <w:rPr>
                <w:rFonts w:hint="eastAsia" w:ascii="宋体" w:hAnsi="宋体" w:eastAsia="宋体"/>
                <w:bCs/>
                <w:color w:val="auto"/>
                <w:szCs w:val="21"/>
                <w:highlight w:val="none"/>
              </w:rPr>
              <w:t>序号</w:t>
            </w:r>
          </w:p>
        </w:tc>
        <w:tc>
          <w:tcPr>
            <w:tcW w:w="1976" w:type="pct"/>
          </w:tcPr>
          <w:p>
            <w:pPr>
              <w:spacing w:line="360" w:lineRule="auto"/>
              <w:jc w:val="center"/>
              <w:rPr>
                <w:rFonts w:ascii="宋体" w:hAnsi="宋体" w:eastAsia="宋体"/>
                <w:bCs/>
                <w:color w:val="auto"/>
                <w:szCs w:val="21"/>
                <w:highlight w:val="none"/>
              </w:rPr>
            </w:pPr>
            <w:r>
              <w:rPr>
                <w:rFonts w:hint="eastAsia" w:ascii="宋体" w:hAnsi="宋体" w:eastAsia="宋体"/>
                <w:bCs/>
                <w:color w:val="auto"/>
                <w:szCs w:val="21"/>
                <w:highlight w:val="none"/>
              </w:rPr>
              <w:t>标的名称</w:t>
            </w:r>
          </w:p>
        </w:tc>
        <w:tc>
          <w:tcPr>
            <w:tcW w:w="704" w:type="pct"/>
          </w:tcPr>
          <w:p>
            <w:pPr>
              <w:spacing w:line="360" w:lineRule="auto"/>
              <w:jc w:val="center"/>
              <w:rPr>
                <w:rFonts w:ascii="宋体" w:hAnsi="宋体" w:eastAsia="宋体"/>
                <w:bCs/>
                <w:color w:val="auto"/>
                <w:szCs w:val="21"/>
                <w:highlight w:val="none"/>
              </w:rPr>
            </w:pPr>
            <w:r>
              <w:rPr>
                <w:rFonts w:hint="eastAsia" w:ascii="宋体" w:hAnsi="宋体" w:eastAsia="宋体"/>
                <w:bCs/>
                <w:color w:val="auto"/>
                <w:szCs w:val="21"/>
                <w:highlight w:val="none"/>
              </w:rPr>
              <w:t>单位</w:t>
            </w:r>
          </w:p>
        </w:tc>
        <w:tc>
          <w:tcPr>
            <w:tcW w:w="626" w:type="pct"/>
          </w:tcPr>
          <w:p>
            <w:pPr>
              <w:spacing w:line="360" w:lineRule="auto"/>
              <w:jc w:val="center"/>
              <w:rPr>
                <w:rFonts w:ascii="宋体" w:hAnsi="宋体" w:eastAsia="宋体"/>
                <w:bCs/>
                <w:color w:val="auto"/>
                <w:szCs w:val="21"/>
                <w:highlight w:val="none"/>
              </w:rPr>
            </w:pPr>
            <w:r>
              <w:rPr>
                <w:rFonts w:hint="eastAsia" w:ascii="宋体" w:hAnsi="宋体" w:eastAsia="宋体"/>
                <w:bCs/>
                <w:color w:val="auto"/>
                <w:szCs w:val="21"/>
                <w:highlight w:val="none"/>
              </w:rPr>
              <w:t>数量</w:t>
            </w:r>
          </w:p>
        </w:tc>
        <w:tc>
          <w:tcPr>
            <w:tcW w:w="1248" w:type="pct"/>
          </w:tcPr>
          <w:p>
            <w:pPr>
              <w:spacing w:line="360" w:lineRule="auto"/>
              <w:jc w:val="center"/>
              <w:rPr>
                <w:rFonts w:ascii="宋体" w:hAnsi="宋体" w:eastAsia="宋体"/>
                <w:bCs/>
                <w:color w:val="auto"/>
                <w:szCs w:val="21"/>
                <w:highlight w:val="none"/>
              </w:rPr>
            </w:pPr>
            <w:r>
              <w:rPr>
                <w:rFonts w:hint="eastAsia" w:ascii="宋体" w:hAnsi="宋体" w:eastAsia="宋体"/>
                <w:bCs/>
                <w:color w:val="auto"/>
                <w:szCs w:val="21"/>
                <w:highlight w:val="none"/>
              </w:rPr>
              <w:t>采购标的所属行业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pPr>
              <w:spacing w:line="360" w:lineRule="auto"/>
              <w:jc w:val="center"/>
              <w:rPr>
                <w:rFonts w:ascii="宋体" w:hAnsi="宋体" w:eastAsia="宋体"/>
                <w:bCs/>
                <w:color w:val="auto"/>
                <w:szCs w:val="21"/>
                <w:highlight w:val="none"/>
              </w:rPr>
            </w:pPr>
            <w:r>
              <w:rPr>
                <w:rFonts w:hint="eastAsia" w:ascii="宋体" w:hAnsi="宋体" w:eastAsia="宋体"/>
                <w:bCs/>
                <w:color w:val="auto"/>
                <w:szCs w:val="21"/>
                <w:highlight w:val="none"/>
              </w:rPr>
              <w:t>1</w:t>
            </w:r>
          </w:p>
        </w:tc>
        <w:tc>
          <w:tcPr>
            <w:tcW w:w="1976" w:type="pct"/>
          </w:tcPr>
          <w:p>
            <w:pPr>
              <w:spacing w:line="360" w:lineRule="auto"/>
              <w:jc w:val="center"/>
              <w:rPr>
                <w:rFonts w:ascii="宋体" w:hAnsi="宋体" w:eastAsia="宋体"/>
                <w:bCs/>
                <w:color w:val="auto"/>
                <w:szCs w:val="21"/>
                <w:highlight w:val="none"/>
              </w:rPr>
            </w:pPr>
            <w:r>
              <w:rPr>
                <w:rFonts w:hint="eastAsia" w:ascii="宋体" w:hAnsi="宋体" w:eastAsia="宋体"/>
                <w:bCs/>
                <w:color w:val="auto"/>
                <w:szCs w:val="21"/>
                <w:highlight w:val="none"/>
              </w:rPr>
              <w:t>综合业务办公用房维修改造</w:t>
            </w:r>
          </w:p>
        </w:tc>
        <w:tc>
          <w:tcPr>
            <w:tcW w:w="704" w:type="pct"/>
          </w:tcPr>
          <w:p>
            <w:pPr>
              <w:spacing w:line="360" w:lineRule="auto"/>
              <w:jc w:val="center"/>
              <w:rPr>
                <w:rFonts w:ascii="宋体" w:hAnsi="宋体" w:eastAsia="宋体"/>
                <w:bCs/>
                <w:color w:val="auto"/>
                <w:szCs w:val="21"/>
                <w:highlight w:val="none"/>
              </w:rPr>
            </w:pPr>
            <w:r>
              <w:rPr>
                <w:rFonts w:hint="eastAsia" w:ascii="宋体" w:hAnsi="宋体" w:eastAsia="宋体"/>
                <w:bCs/>
                <w:color w:val="auto"/>
                <w:szCs w:val="21"/>
                <w:highlight w:val="none"/>
              </w:rPr>
              <w:t>项</w:t>
            </w:r>
          </w:p>
        </w:tc>
        <w:tc>
          <w:tcPr>
            <w:tcW w:w="626" w:type="pct"/>
          </w:tcPr>
          <w:p>
            <w:pPr>
              <w:spacing w:line="360" w:lineRule="auto"/>
              <w:jc w:val="center"/>
              <w:rPr>
                <w:rFonts w:ascii="宋体" w:hAnsi="宋体" w:eastAsia="宋体"/>
                <w:bCs/>
                <w:color w:val="auto"/>
                <w:szCs w:val="21"/>
                <w:highlight w:val="none"/>
              </w:rPr>
            </w:pPr>
            <w:r>
              <w:rPr>
                <w:rFonts w:hint="eastAsia" w:ascii="宋体" w:hAnsi="宋体" w:eastAsia="宋体"/>
                <w:bCs/>
                <w:color w:val="auto"/>
                <w:szCs w:val="21"/>
                <w:highlight w:val="none"/>
              </w:rPr>
              <w:t>1</w:t>
            </w:r>
          </w:p>
        </w:tc>
        <w:tc>
          <w:tcPr>
            <w:tcW w:w="1248" w:type="pct"/>
          </w:tcPr>
          <w:p>
            <w:pPr>
              <w:spacing w:line="360" w:lineRule="auto"/>
              <w:jc w:val="center"/>
              <w:rPr>
                <w:rFonts w:ascii="宋体" w:hAnsi="宋体" w:eastAsia="宋体"/>
                <w:bCs/>
                <w:color w:val="auto"/>
                <w:szCs w:val="21"/>
                <w:highlight w:val="none"/>
              </w:rPr>
            </w:pPr>
            <w:r>
              <w:rPr>
                <w:rFonts w:hint="eastAsia" w:ascii="宋体" w:hAnsi="宋体" w:eastAsia="宋体"/>
                <w:bCs/>
                <w:color w:val="auto"/>
                <w:szCs w:val="21"/>
                <w:highlight w:val="none"/>
              </w:rPr>
              <w:t>建筑业</w:t>
            </w:r>
          </w:p>
        </w:tc>
      </w:tr>
    </w:tbl>
    <w:p>
      <w:pPr>
        <w:numPr>
          <w:ilvl w:val="0"/>
          <w:numId w:val="8"/>
        </w:numPr>
        <w:snapToGrid w:val="0"/>
        <w:spacing w:line="360" w:lineRule="auto"/>
        <w:ind w:left="442" w:hanging="442"/>
        <w:contextualSpacing/>
        <w:rPr>
          <w:rFonts w:ascii="宋体" w:hAnsi="宋体"/>
          <w:b/>
          <w:color w:val="auto"/>
          <w:szCs w:val="21"/>
          <w:highlight w:val="none"/>
        </w:rPr>
      </w:pPr>
      <w:r>
        <w:rPr>
          <w:rFonts w:ascii="宋体" w:hAnsi="宋体"/>
          <w:b/>
          <w:bCs/>
          <w:color w:val="auto"/>
          <w:highlight w:val="none"/>
        </w:rPr>
        <w:t>商务要求</w:t>
      </w:r>
    </w:p>
    <w:p>
      <w:pPr>
        <w:numPr>
          <w:ilvl w:val="0"/>
          <w:numId w:val="10"/>
        </w:numPr>
        <w:snapToGrid w:val="0"/>
        <w:spacing w:line="360" w:lineRule="auto"/>
        <w:contextualSpacing/>
        <w:rPr>
          <w:rFonts w:ascii="宋体" w:hAnsi="宋体"/>
          <w:iCs/>
          <w:color w:val="auto"/>
          <w:szCs w:val="21"/>
          <w:highlight w:val="none"/>
        </w:rPr>
      </w:pPr>
      <w:r>
        <w:rPr>
          <w:rFonts w:hint="eastAsia" w:ascii="黑体" w:hAnsi="黑体" w:eastAsia="黑体"/>
          <w:b/>
          <w:iCs/>
          <w:color w:val="auto"/>
          <w:szCs w:val="21"/>
          <w:highlight w:val="none"/>
        </w:rPr>
        <w:t>★完</w:t>
      </w:r>
      <w:r>
        <w:rPr>
          <w:rFonts w:hint="eastAsia" w:ascii="宋体" w:hAnsi="宋体"/>
          <w:b/>
          <w:iCs/>
          <w:color w:val="auto"/>
          <w:szCs w:val="21"/>
          <w:highlight w:val="none"/>
        </w:rPr>
        <w:t>工期：自合同签订之日起</w:t>
      </w:r>
      <w:r>
        <w:rPr>
          <w:rFonts w:ascii="宋体" w:hAnsi="宋体"/>
          <w:b/>
          <w:iCs/>
          <w:color w:val="auto"/>
          <w:szCs w:val="21"/>
          <w:highlight w:val="none"/>
        </w:rPr>
        <w:t>180天内竣工并通过采购人验收。</w:t>
      </w:r>
    </w:p>
    <w:p>
      <w:pPr>
        <w:numPr>
          <w:ilvl w:val="0"/>
          <w:numId w:val="10"/>
        </w:numPr>
        <w:snapToGrid w:val="0"/>
        <w:spacing w:line="360" w:lineRule="auto"/>
        <w:contextualSpacing/>
        <w:rPr>
          <w:rFonts w:ascii="宋体" w:hAnsi="宋体"/>
          <w:iCs/>
          <w:color w:val="auto"/>
          <w:szCs w:val="21"/>
          <w:highlight w:val="none"/>
        </w:rPr>
      </w:pPr>
      <w:r>
        <w:rPr>
          <w:rFonts w:hint="eastAsia" w:ascii="宋体" w:hAnsi="宋体"/>
          <w:b/>
          <w:iCs/>
          <w:color w:val="auto"/>
          <w:szCs w:val="21"/>
          <w:highlight w:val="none"/>
        </w:rPr>
        <w:t>★</w:t>
      </w:r>
      <w:r>
        <w:rPr>
          <w:rFonts w:ascii="宋体" w:hAnsi="宋体"/>
          <w:b/>
          <w:iCs/>
          <w:color w:val="auto"/>
          <w:szCs w:val="21"/>
          <w:highlight w:val="none"/>
        </w:rPr>
        <w:t>投标人必须承诺在合同履行期间存在“围猎”采购人税务人员行为的(指以获取不正当利益为目的，采取馈赠礼品礼金、邀请娱乐旅游消费、提供便利条件等非正常交往手段“围猎”相关税务人员及其亲属)，自采购人及采购</w:t>
      </w:r>
      <w:r>
        <w:rPr>
          <w:rFonts w:hint="eastAsia" w:ascii="宋体" w:hAnsi="宋体"/>
          <w:b/>
          <w:iCs/>
          <w:color w:val="auto"/>
          <w:szCs w:val="21"/>
          <w:highlight w:val="none"/>
        </w:rPr>
        <w:t>人主管机关认定或通报之日起三年内，采购人可以拒绝投标人参与其政府采购活动。</w:t>
      </w:r>
      <w:r>
        <w:rPr>
          <w:rFonts w:ascii="宋体" w:hAnsi="宋体"/>
          <w:b/>
          <w:iCs/>
          <w:color w:val="auto"/>
          <w:szCs w:val="21"/>
          <w:highlight w:val="none"/>
        </w:rPr>
        <w:t>(投标时提交承诺函，格式</w:t>
      </w:r>
      <w:r>
        <w:rPr>
          <w:rFonts w:hint="eastAsia" w:ascii="宋体" w:hAnsi="宋体"/>
          <w:b/>
          <w:iCs/>
          <w:color w:val="auto"/>
          <w:szCs w:val="21"/>
          <w:highlight w:val="none"/>
        </w:rPr>
        <w:t>自拟</w:t>
      </w:r>
      <w:r>
        <w:rPr>
          <w:rFonts w:ascii="宋体" w:hAnsi="宋体"/>
          <w:b/>
          <w:iCs/>
          <w:color w:val="auto"/>
          <w:szCs w:val="21"/>
          <w:highlight w:val="none"/>
        </w:rPr>
        <w:t>)</w:t>
      </w:r>
    </w:p>
    <w:p>
      <w:pPr>
        <w:numPr>
          <w:ilvl w:val="0"/>
          <w:numId w:val="10"/>
        </w:numPr>
        <w:tabs>
          <w:tab w:val="left" w:pos="426"/>
        </w:tabs>
        <w:snapToGrid w:val="0"/>
        <w:spacing w:line="360" w:lineRule="auto"/>
        <w:contextualSpacing/>
        <w:rPr>
          <w:rFonts w:ascii="宋体" w:hAnsi="宋体"/>
          <w:b/>
          <w:iCs/>
          <w:color w:val="auto"/>
          <w:szCs w:val="21"/>
          <w:highlight w:val="none"/>
        </w:rPr>
      </w:pPr>
      <w:r>
        <w:rPr>
          <w:rFonts w:hint="eastAsia" w:ascii="宋体" w:hAnsi="宋体"/>
          <w:b/>
          <w:iCs/>
          <w:color w:val="auto"/>
          <w:szCs w:val="21"/>
          <w:highlight w:val="none"/>
        </w:rPr>
        <w:t>★绿色施工安全防护措施费、暂列金、暂估价不作为竞争性费用，报价时不得参与浮动，否则作无效报价处理</w:t>
      </w:r>
    </w:p>
    <w:p>
      <w:pPr>
        <w:numPr>
          <w:ilvl w:val="0"/>
          <w:numId w:val="10"/>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建设地点：采购人指定地点。</w:t>
      </w:r>
    </w:p>
    <w:p>
      <w:pPr>
        <w:numPr>
          <w:ilvl w:val="0"/>
          <w:numId w:val="10"/>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付款方式</w:t>
      </w:r>
    </w:p>
    <w:p>
      <w:pPr>
        <w:pStyle w:val="70"/>
        <w:numPr>
          <w:ilvl w:val="0"/>
          <w:numId w:val="11"/>
        </w:numPr>
        <w:snapToGrid w:val="0"/>
        <w:spacing w:line="360" w:lineRule="auto"/>
        <w:ind w:firstLineChars="0"/>
        <w:contextualSpacing/>
        <w:rPr>
          <w:rFonts w:ascii="宋体" w:hAnsi="宋体"/>
          <w:color w:val="auto"/>
          <w:szCs w:val="21"/>
          <w:highlight w:val="none"/>
        </w:rPr>
      </w:pPr>
      <w:r>
        <w:rPr>
          <w:rFonts w:hint="eastAsia" w:ascii="宋体" w:hAnsi="宋体"/>
          <w:color w:val="auto"/>
          <w:szCs w:val="21"/>
          <w:highlight w:val="none"/>
        </w:rPr>
        <w:t>签订合同并确认进场后 10 个工作日内，支付合同总价（不含暂列金额、暂估价）的 30%。预付款按照期中应支付进度款的50%的比例逐步扣回，直到扣完为止；</w:t>
      </w:r>
    </w:p>
    <w:p>
      <w:pPr>
        <w:pStyle w:val="70"/>
        <w:numPr>
          <w:ilvl w:val="0"/>
          <w:numId w:val="11"/>
        </w:numPr>
        <w:snapToGrid w:val="0"/>
        <w:spacing w:line="360" w:lineRule="auto"/>
        <w:ind w:firstLineChars="0"/>
        <w:contextualSpacing/>
        <w:rPr>
          <w:rFonts w:ascii="宋体" w:hAnsi="宋体"/>
          <w:color w:val="auto"/>
          <w:szCs w:val="21"/>
          <w:highlight w:val="none"/>
        </w:rPr>
      </w:pPr>
      <w:r>
        <w:rPr>
          <w:rFonts w:hint="eastAsia" w:ascii="宋体" w:hAnsi="宋体"/>
          <w:color w:val="auto"/>
          <w:szCs w:val="21"/>
          <w:highlight w:val="none"/>
        </w:rPr>
        <w:t xml:space="preserve">工程款按工程施工进度付款，具体为： </w:t>
      </w:r>
    </w:p>
    <w:p>
      <w:pPr>
        <w:pStyle w:val="70"/>
        <w:snapToGrid w:val="0"/>
        <w:spacing w:line="360" w:lineRule="auto"/>
        <w:ind w:left="420" w:firstLine="0" w:firstLineChars="0"/>
        <w:contextualSpacing/>
        <w:rPr>
          <w:rFonts w:ascii="宋体" w:hAnsi="宋体"/>
          <w:color w:val="auto"/>
          <w:szCs w:val="21"/>
          <w:highlight w:val="none"/>
        </w:rPr>
      </w:pPr>
      <w:r>
        <w:rPr>
          <w:rFonts w:hint="eastAsia" w:ascii="宋体" w:hAnsi="宋体"/>
          <w:color w:val="auto"/>
          <w:szCs w:val="21"/>
          <w:highlight w:val="none"/>
        </w:rPr>
        <w:t>1)工程款按工程施工进度付款，付款申请最低额度不少于合同价(不含暂列金额、暂估价)的5%；</w:t>
      </w:r>
    </w:p>
    <w:p>
      <w:pPr>
        <w:pStyle w:val="70"/>
        <w:snapToGrid w:val="0"/>
        <w:spacing w:line="360" w:lineRule="auto"/>
        <w:ind w:left="420" w:firstLine="0" w:firstLineChars="0"/>
        <w:contextualSpacing/>
        <w:rPr>
          <w:rFonts w:ascii="宋体" w:hAnsi="宋体"/>
          <w:color w:val="auto"/>
          <w:szCs w:val="21"/>
          <w:highlight w:val="none"/>
        </w:rPr>
      </w:pPr>
      <w:r>
        <w:rPr>
          <w:rFonts w:hint="eastAsia" w:ascii="宋体" w:hAnsi="宋体"/>
          <w:color w:val="auto"/>
          <w:szCs w:val="21"/>
          <w:highlight w:val="none"/>
        </w:rPr>
        <w:t>2)竣工验收合格后，最高付至工程合同价内实际完成工程造价(不含暂列金额、暂估价)的90%，最低付至工程合同价内实际完成工程造价(不含暂列金额、暂估价)的80%；暂列金额、暂估价以合同内暂定的金额为支付限额，进度款按实际完成工程造价的80%支付；经采购人上级主管部门批准增加部分，经采购人及上级单位召开协调会同意增加部分的工程款按实际完成工程造价的80%支付，具体在补充合同中约定；待工程竣工验收合格并经采购人上级主管部门委托的有资质的第三方审核机构对结算审核定案后，扣除质量保证金合同结算总额的3</w:t>
      </w:r>
      <w:r>
        <w:rPr>
          <w:rFonts w:ascii="宋体" w:hAnsi="宋体"/>
          <w:color w:val="auto"/>
          <w:szCs w:val="21"/>
          <w:highlight w:val="none"/>
        </w:rPr>
        <w:t>%</w:t>
      </w:r>
      <w:r>
        <w:rPr>
          <w:rFonts w:hint="eastAsia" w:ascii="宋体" w:hAnsi="宋体"/>
          <w:color w:val="auto"/>
          <w:szCs w:val="21"/>
          <w:highlight w:val="none"/>
        </w:rPr>
        <w:t>，其余款在上级单位年度预算拨款到位后30个工作日内付清</w:t>
      </w:r>
    </w:p>
    <w:p>
      <w:pPr>
        <w:pStyle w:val="70"/>
        <w:numPr>
          <w:ilvl w:val="0"/>
          <w:numId w:val="11"/>
        </w:numPr>
        <w:snapToGrid w:val="0"/>
        <w:spacing w:line="360" w:lineRule="auto"/>
        <w:ind w:firstLineChars="0"/>
        <w:contextualSpacing/>
        <w:rPr>
          <w:rFonts w:ascii="宋体" w:hAnsi="宋体"/>
          <w:color w:val="auto"/>
          <w:szCs w:val="21"/>
          <w:highlight w:val="none"/>
        </w:rPr>
      </w:pPr>
      <w:r>
        <w:rPr>
          <w:rFonts w:hint="eastAsia" w:ascii="宋体" w:hAnsi="宋体"/>
          <w:color w:val="auto"/>
          <w:szCs w:val="21"/>
          <w:highlight w:val="none"/>
        </w:rPr>
        <w:t>支付说明:成交人将“完成工程量清单”和“工程付款申请书”等相关的资料呈报监理单位、采购人以及上级单位核实,并经有关审批程序审批并在上级单位年度预算拨款到位后30个工作日内直接支付工程款至成交人基本账户。</w:t>
      </w:r>
    </w:p>
    <w:p>
      <w:pPr>
        <w:pStyle w:val="70"/>
        <w:numPr>
          <w:ilvl w:val="0"/>
          <w:numId w:val="11"/>
        </w:numPr>
        <w:snapToGrid w:val="0"/>
        <w:spacing w:line="360" w:lineRule="auto"/>
        <w:ind w:firstLineChars="0"/>
        <w:contextualSpacing/>
        <w:rPr>
          <w:rFonts w:ascii="宋体" w:hAnsi="宋体"/>
          <w:color w:val="auto"/>
          <w:szCs w:val="21"/>
          <w:highlight w:val="none"/>
        </w:rPr>
      </w:pPr>
      <w:r>
        <w:rPr>
          <w:rFonts w:hint="eastAsia" w:ascii="宋体" w:hAnsi="宋体"/>
          <w:color w:val="auto"/>
          <w:szCs w:val="21"/>
          <w:highlight w:val="none"/>
        </w:rPr>
        <w:t>付款前提为上级单位年度预算拨款到位。</w:t>
      </w:r>
    </w:p>
    <w:p>
      <w:pPr>
        <w:numPr>
          <w:ilvl w:val="0"/>
          <w:numId w:val="10"/>
        </w:numPr>
        <w:snapToGrid w:val="0"/>
        <w:spacing w:line="360" w:lineRule="auto"/>
        <w:contextualSpacing/>
        <w:rPr>
          <w:rFonts w:ascii="宋体" w:hAnsi="宋体"/>
          <w:iCs/>
          <w:color w:val="auto"/>
          <w:szCs w:val="21"/>
          <w:highlight w:val="none"/>
        </w:rPr>
      </w:pPr>
      <w:r>
        <w:rPr>
          <w:rFonts w:ascii="宋体" w:hAnsi="宋体"/>
          <w:iCs/>
          <w:color w:val="auto"/>
          <w:szCs w:val="21"/>
          <w:highlight w:val="none"/>
        </w:rPr>
        <w:t>质量管理要求</w:t>
      </w:r>
    </w:p>
    <w:p>
      <w:pPr>
        <w:numPr>
          <w:ilvl w:val="0"/>
          <w:numId w:val="12"/>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总体要求：</w:t>
      </w:r>
    </w:p>
    <w:p>
      <w:pPr>
        <w:numPr>
          <w:ilvl w:val="0"/>
          <w:numId w:val="13"/>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成交人须按国家及行业的规定进行施工，如需要转包或分包的须经过采购人同意后方可进行，否则采购人有权追究其相关法律责任；</w:t>
      </w:r>
    </w:p>
    <w:p>
      <w:pPr>
        <w:numPr>
          <w:ilvl w:val="0"/>
          <w:numId w:val="13"/>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成交人必须提交进场施工人员名单及身份证复印件给采购人备案；</w:t>
      </w:r>
    </w:p>
    <w:p>
      <w:pPr>
        <w:numPr>
          <w:ilvl w:val="0"/>
          <w:numId w:val="13"/>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成交人施工人员须严格遵守采购人一切规章制度，自觉接受检查，无证人员一律不得进入施工现场；</w:t>
      </w:r>
    </w:p>
    <w:p>
      <w:pPr>
        <w:numPr>
          <w:ilvl w:val="0"/>
          <w:numId w:val="13"/>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成交人必须遵守建设单位、施工现场和人员管理的规定，安全生产，文明施工；</w:t>
      </w:r>
    </w:p>
    <w:p>
      <w:pPr>
        <w:numPr>
          <w:ilvl w:val="0"/>
          <w:numId w:val="13"/>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成交人在施工过程中，如遇到需与外部相关的单位协调的问题时，应自行解决，采购人只负责协助；</w:t>
      </w:r>
    </w:p>
    <w:p>
      <w:pPr>
        <w:numPr>
          <w:ilvl w:val="0"/>
          <w:numId w:val="13"/>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成交人须注意施工安全，做好安全文明施工工作，如因措施不当造成人身安全或工伤死亡事故，一切责任由成交人负责。</w:t>
      </w:r>
    </w:p>
    <w:p>
      <w:pPr>
        <w:numPr>
          <w:ilvl w:val="0"/>
          <w:numId w:val="12"/>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质量和安全文明施工标准：</w:t>
      </w:r>
    </w:p>
    <w:p>
      <w:pPr>
        <w:numPr>
          <w:ilvl w:val="0"/>
          <w:numId w:val="14"/>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工程质量标准：一次验收合格。施工期间若工程质量不合格，成交人须按建设单位要求停工和返工，返工费用由成交人负责，工期不予顺延。</w:t>
      </w:r>
    </w:p>
    <w:p>
      <w:pPr>
        <w:numPr>
          <w:ilvl w:val="0"/>
          <w:numId w:val="14"/>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安全文明施工标准：杜绝一般事故等级及以上的伤亡事故且工伤责任事故死亡人数为零。</w:t>
      </w:r>
    </w:p>
    <w:p>
      <w:pPr>
        <w:numPr>
          <w:ilvl w:val="0"/>
          <w:numId w:val="12"/>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施工要求与施工管理：</w:t>
      </w:r>
    </w:p>
    <w:p>
      <w:pPr>
        <w:numPr>
          <w:ilvl w:val="0"/>
          <w:numId w:val="15"/>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成交人须严格按照已经确认的施工方案组织施工，并接受采购人或其委托的监理单位对工程质量、工期、安全、文明施工、环保及工地纪律的监督和管理；</w:t>
      </w:r>
    </w:p>
    <w:p>
      <w:pPr>
        <w:numPr>
          <w:ilvl w:val="0"/>
          <w:numId w:val="15"/>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成交人在工程施工期间，须严格遵守政府职能部门的各项规章制度，由于管理不善，导致政府职能部门的罚款和停工整改，由其发生的费用与损失由成交人自行承担，且采购人保留暂缓支付工程款的权利，以确保文明施工有效实行；</w:t>
      </w:r>
    </w:p>
    <w:p>
      <w:pPr>
        <w:numPr>
          <w:ilvl w:val="0"/>
          <w:numId w:val="15"/>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成交人在工程施工期间须配备项目驻场项目经理、专职安全员，建立健全安全制度；</w:t>
      </w:r>
    </w:p>
    <w:p>
      <w:pPr>
        <w:numPr>
          <w:ilvl w:val="0"/>
          <w:numId w:val="15"/>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本工程项目的材料、设备、施工须达到现行中华人民共和国以及广东省行业的工程建设标准、规范的要求，并接受采购人、委托的监理单位对材料质量现场抽检；</w:t>
      </w:r>
    </w:p>
    <w:p>
      <w:pPr>
        <w:numPr>
          <w:ilvl w:val="0"/>
          <w:numId w:val="15"/>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成交人在响应文件中须承诺自行解决工人宿舍用地、食堂与生活设施等场地问题；</w:t>
      </w:r>
    </w:p>
    <w:p>
      <w:pPr>
        <w:numPr>
          <w:ilvl w:val="0"/>
          <w:numId w:val="15"/>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施工所用的机械工具由施工队伍自备及自费运到施工工地，进场后进行必要的性能安全检查，完工后从工地自费搬出运走；</w:t>
      </w:r>
    </w:p>
    <w:p>
      <w:pPr>
        <w:numPr>
          <w:ilvl w:val="0"/>
          <w:numId w:val="15"/>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成交人在施工期间应严格遵守国家、省、市有关防火、防爆和施工安全以及文明施工，应建立规章制度和防护、防范措施，并承担由于自身措施不力造成事故责任和发生的费用；</w:t>
      </w:r>
    </w:p>
    <w:p>
      <w:pPr>
        <w:numPr>
          <w:ilvl w:val="0"/>
          <w:numId w:val="15"/>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成交人所提供的资料须属实，如发现虚假资料，采购人有权单方面终止合同，工程项目将另行处理，由此而造成的经济损失由成交人负责赔偿。</w:t>
      </w:r>
    </w:p>
    <w:p>
      <w:pPr>
        <w:numPr>
          <w:ilvl w:val="0"/>
          <w:numId w:val="10"/>
        </w:numPr>
        <w:snapToGrid w:val="0"/>
        <w:spacing w:line="360" w:lineRule="auto"/>
        <w:contextualSpacing/>
        <w:rPr>
          <w:rFonts w:ascii="宋体" w:hAnsi="宋体"/>
          <w:iCs/>
          <w:color w:val="auto"/>
          <w:szCs w:val="21"/>
          <w:highlight w:val="none"/>
        </w:rPr>
      </w:pPr>
      <w:r>
        <w:rPr>
          <w:rFonts w:hint="eastAsia" w:ascii="宋体" w:hAnsi="宋体"/>
          <w:iCs/>
          <w:color w:val="auto"/>
          <w:szCs w:val="21"/>
          <w:highlight w:val="none"/>
        </w:rPr>
        <w:t>售后服务</w:t>
      </w:r>
    </w:p>
    <w:p>
      <w:pPr>
        <w:pStyle w:val="70"/>
        <w:numPr>
          <w:ilvl w:val="0"/>
          <w:numId w:val="16"/>
        </w:numPr>
        <w:snapToGrid w:val="0"/>
        <w:spacing w:line="360" w:lineRule="auto"/>
        <w:ind w:firstLineChars="0"/>
        <w:contextualSpacing/>
        <w:rPr>
          <w:rFonts w:ascii="宋体" w:hAnsi="宋体"/>
          <w:color w:val="auto"/>
          <w:szCs w:val="21"/>
          <w:highlight w:val="none"/>
        </w:rPr>
      </w:pPr>
      <w:r>
        <w:rPr>
          <w:rFonts w:hint="eastAsia" w:ascii="宋体" w:hAnsi="宋体"/>
          <w:color w:val="auto"/>
          <w:szCs w:val="21"/>
          <w:highlight w:val="none"/>
        </w:rPr>
        <w:t>★质保期：1年，质保期自验收合格之日起计算。</w:t>
      </w:r>
    </w:p>
    <w:p>
      <w:pPr>
        <w:pStyle w:val="70"/>
        <w:numPr>
          <w:ilvl w:val="0"/>
          <w:numId w:val="16"/>
        </w:numPr>
        <w:snapToGrid w:val="0"/>
        <w:spacing w:line="360" w:lineRule="auto"/>
        <w:ind w:firstLineChars="0"/>
        <w:contextualSpacing/>
        <w:rPr>
          <w:rFonts w:ascii="宋体" w:hAnsi="宋体"/>
          <w:color w:val="auto"/>
          <w:szCs w:val="21"/>
          <w:highlight w:val="none"/>
        </w:rPr>
      </w:pPr>
      <w:r>
        <w:rPr>
          <w:rFonts w:hint="eastAsia" w:ascii="宋体" w:hAnsi="宋体"/>
          <w:color w:val="auto"/>
          <w:szCs w:val="21"/>
          <w:highlight w:val="none"/>
        </w:rPr>
        <w:t>工程质量保修期内，因成交人原因造成的质量问题，成交人应负责维修，并承担鉴定及维修费用。</w:t>
      </w:r>
    </w:p>
    <w:p>
      <w:pPr>
        <w:pStyle w:val="70"/>
        <w:numPr>
          <w:ilvl w:val="0"/>
          <w:numId w:val="16"/>
        </w:numPr>
        <w:snapToGrid w:val="0"/>
        <w:spacing w:line="360" w:lineRule="auto"/>
        <w:ind w:firstLineChars="0"/>
        <w:contextualSpacing/>
        <w:rPr>
          <w:rFonts w:ascii="宋体" w:hAnsi="宋体"/>
          <w:color w:val="auto"/>
          <w:szCs w:val="21"/>
          <w:highlight w:val="none"/>
        </w:rPr>
      </w:pPr>
      <w:r>
        <w:rPr>
          <w:rFonts w:hint="eastAsia" w:ascii="宋体" w:hAnsi="宋体"/>
          <w:color w:val="auto"/>
          <w:szCs w:val="21"/>
          <w:highlight w:val="none"/>
        </w:rPr>
        <w:t>工程质量保修期内，成交人认真履行保修责任。</w:t>
      </w:r>
    </w:p>
    <w:p>
      <w:pPr>
        <w:pStyle w:val="70"/>
        <w:numPr>
          <w:ilvl w:val="0"/>
          <w:numId w:val="16"/>
        </w:numPr>
        <w:snapToGrid w:val="0"/>
        <w:spacing w:line="360" w:lineRule="auto"/>
        <w:ind w:firstLineChars="0"/>
        <w:contextualSpacing/>
        <w:rPr>
          <w:rFonts w:ascii="宋体" w:hAnsi="宋体"/>
          <w:color w:val="auto"/>
          <w:szCs w:val="21"/>
          <w:highlight w:val="none"/>
        </w:rPr>
      </w:pPr>
      <w:r>
        <w:rPr>
          <w:rFonts w:hint="eastAsia" w:ascii="宋体" w:hAnsi="宋体"/>
          <w:color w:val="auto"/>
          <w:szCs w:val="21"/>
          <w:highlight w:val="none"/>
        </w:rPr>
        <w:t>应急响应时间：成交人应提供7×24小时的在线电话支持；10分钟内电话响应，到达现场时间要控制在30分钟内。</w:t>
      </w:r>
    </w:p>
    <w:p>
      <w:pPr>
        <w:numPr>
          <w:ilvl w:val="0"/>
          <w:numId w:val="10"/>
        </w:numPr>
        <w:snapToGrid w:val="0"/>
        <w:spacing w:line="360" w:lineRule="auto"/>
        <w:contextualSpacing/>
        <w:rPr>
          <w:rFonts w:ascii="宋体" w:hAnsi="宋体"/>
          <w:iCs/>
          <w:color w:val="auto"/>
          <w:szCs w:val="21"/>
          <w:highlight w:val="none"/>
        </w:rPr>
      </w:pPr>
      <w:r>
        <w:rPr>
          <w:rFonts w:ascii="宋体" w:hAnsi="宋体"/>
          <w:color w:val="auto"/>
          <w:szCs w:val="21"/>
          <w:highlight w:val="none"/>
        </w:rPr>
        <w:t>竣工验收要求</w:t>
      </w:r>
    </w:p>
    <w:p>
      <w:pPr>
        <w:pStyle w:val="70"/>
        <w:tabs>
          <w:tab w:val="left" w:pos="426"/>
        </w:tabs>
        <w:spacing w:line="276" w:lineRule="auto"/>
        <w:ind w:left="420" w:firstLine="0" w:firstLineChars="0"/>
        <w:rPr>
          <w:rFonts w:ascii="宋体" w:hAnsi="宋体" w:cs="黑体"/>
          <w:color w:val="auto"/>
          <w:szCs w:val="21"/>
          <w:highlight w:val="none"/>
        </w:rPr>
      </w:pPr>
      <w:r>
        <w:rPr>
          <w:rFonts w:hint="eastAsia" w:ascii="宋体" w:hAnsi="宋体" w:cs="黑体"/>
          <w:color w:val="auto"/>
          <w:szCs w:val="21"/>
          <w:highlight w:val="none"/>
        </w:rPr>
        <w:t>工程交接后，成交人应按照以下要求对施工场地进行清理，直至采购人检验合格为止。竣工清场费用由成交人承担。</w:t>
      </w:r>
    </w:p>
    <w:p>
      <w:pPr>
        <w:pStyle w:val="70"/>
        <w:numPr>
          <w:ilvl w:val="0"/>
          <w:numId w:val="17"/>
        </w:numPr>
        <w:tabs>
          <w:tab w:val="left" w:pos="426"/>
        </w:tabs>
        <w:spacing w:line="276" w:lineRule="auto"/>
        <w:ind w:firstLineChars="0"/>
        <w:rPr>
          <w:rFonts w:ascii="宋体" w:hAnsi="宋体" w:cs="黑体"/>
          <w:color w:val="auto"/>
          <w:szCs w:val="21"/>
          <w:highlight w:val="none"/>
        </w:rPr>
      </w:pPr>
      <w:r>
        <w:rPr>
          <w:rFonts w:hint="eastAsia" w:ascii="宋体" w:hAnsi="宋体" w:cs="黑体"/>
          <w:color w:val="auto"/>
          <w:szCs w:val="21"/>
          <w:highlight w:val="none"/>
        </w:rPr>
        <w:t>施工场地内残留的垃圾已全部清除出场；</w:t>
      </w:r>
    </w:p>
    <w:p>
      <w:pPr>
        <w:pStyle w:val="70"/>
        <w:numPr>
          <w:ilvl w:val="0"/>
          <w:numId w:val="17"/>
        </w:numPr>
        <w:tabs>
          <w:tab w:val="left" w:pos="426"/>
        </w:tabs>
        <w:spacing w:line="276" w:lineRule="auto"/>
        <w:ind w:firstLineChars="0"/>
        <w:rPr>
          <w:rFonts w:ascii="宋体" w:hAnsi="宋体" w:cs="黑体"/>
          <w:color w:val="auto"/>
          <w:szCs w:val="21"/>
          <w:highlight w:val="none"/>
        </w:rPr>
      </w:pPr>
      <w:r>
        <w:rPr>
          <w:rFonts w:hint="eastAsia" w:ascii="宋体" w:hAnsi="宋体" w:cs="黑体"/>
          <w:color w:val="auto"/>
          <w:szCs w:val="21"/>
          <w:highlight w:val="none"/>
        </w:rPr>
        <w:t>临时设施已拆除，场地已按照要求进行清理、平整或复原；</w:t>
      </w:r>
    </w:p>
    <w:p>
      <w:pPr>
        <w:pStyle w:val="70"/>
        <w:numPr>
          <w:ilvl w:val="0"/>
          <w:numId w:val="17"/>
        </w:numPr>
        <w:tabs>
          <w:tab w:val="left" w:pos="426"/>
        </w:tabs>
        <w:spacing w:line="276" w:lineRule="auto"/>
        <w:ind w:firstLineChars="0"/>
        <w:rPr>
          <w:rFonts w:ascii="宋体" w:hAnsi="宋体" w:cs="黑体"/>
          <w:color w:val="auto"/>
          <w:szCs w:val="21"/>
          <w:highlight w:val="none"/>
        </w:rPr>
      </w:pPr>
      <w:r>
        <w:rPr>
          <w:rFonts w:hint="eastAsia" w:ascii="宋体" w:hAnsi="宋体" w:cs="黑体"/>
          <w:color w:val="auto"/>
          <w:szCs w:val="21"/>
          <w:highlight w:val="none"/>
        </w:rPr>
        <w:t>按照约定应撤离的成交人设备和剩余的材料，包括废弃的施工设备和材料，已按照计划撤离施工场地。</w:t>
      </w:r>
    </w:p>
    <w:p>
      <w:pPr>
        <w:numPr>
          <w:ilvl w:val="0"/>
          <w:numId w:val="8"/>
        </w:numPr>
        <w:snapToGrid w:val="0"/>
        <w:spacing w:line="360" w:lineRule="auto"/>
        <w:ind w:left="442" w:hanging="442"/>
        <w:contextualSpacing/>
        <w:rPr>
          <w:rFonts w:ascii="宋体" w:hAnsi="宋体"/>
          <w:b/>
          <w:color w:val="auto"/>
          <w:szCs w:val="21"/>
          <w:highlight w:val="none"/>
        </w:rPr>
      </w:pPr>
      <w:r>
        <w:rPr>
          <w:rFonts w:ascii="宋体" w:hAnsi="宋体"/>
          <w:b/>
          <w:bCs/>
          <w:color w:val="auto"/>
          <w:highlight w:val="none"/>
        </w:rPr>
        <w:t>技术要求</w:t>
      </w:r>
    </w:p>
    <w:p>
      <w:pPr>
        <w:numPr>
          <w:ilvl w:val="0"/>
          <w:numId w:val="18"/>
        </w:numPr>
        <w:snapToGrid w:val="0"/>
        <w:spacing w:line="360" w:lineRule="auto"/>
        <w:contextualSpacing/>
        <w:rPr>
          <w:rFonts w:ascii="宋体" w:hAnsi="宋体"/>
          <w:color w:val="auto"/>
          <w:szCs w:val="21"/>
          <w:highlight w:val="none"/>
        </w:rPr>
      </w:pPr>
      <w:r>
        <w:rPr>
          <w:rFonts w:hint="eastAsia" w:ascii="宋体" w:hAnsi="宋体" w:cs="黑体"/>
          <w:color w:val="auto"/>
          <w:szCs w:val="21"/>
          <w:highlight w:val="none"/>
        </w:rPr>
        <w:t>采购内容：国家税务总局兴宁市税务局机关大楼397号办公区一楼至七楼吊顶更换、墙面修复及照明设施维修改造等。</w:t>
      </w:r>
    </w:p>
    <w:p>
      <w:pPr>
        <w:numPr>
          <w:ilvl w:val="0"/>
          <w:numId w:val="18"/>
        </w:numPr>
        <w:snapToGrid w:val="0"/>
        <w:spacing w:line="360" w:lineRule="auto"/>
        <w:contextualSpacing/>
        <w:rPr>
          <w:rFonts w:ascii="宋体" w:hAnsi="宋体"/>
          <w:color w:val="auto"/>
          <w:szCs w:val="21"/>
          <w:highlight w:val="none"/>
        </w:rPr>
      </w:pPr>
      <w:r>
        <w:rPr>
          <w:rFonts w:hint="eastAsia" w:ascii="宋体" w:hAnsi="宋体" w:cs="黑体"/>
          <w:color w:val="auto"/>
          <w:szCs w:val="21"/>
          <w:highlight w:val="none"/>
        </w:rPr>
        <w:t>工程量清单：详见附件。</w:t>
      </w:r>
    </w:p>
    <w:p>
      <w:pPr>
        <w:adjustRightInd w:val="0"/>
        <w:spacing w:line="360" w:lineRule="auto"/>
        <w:contextualSpacing/>
        <w:jc w:val="left"/>
        <w:rPr>
          <w:rFonts w:ascii="宋体" w:hAnsi="宋体"/>
          <w:color w:val="auto"/>
          <w:szCs w:val="21"/>
          <w:highlight w:val="none"/>
        </w:rPr>
      </w:pPr>
    </w:p>
    <w:bookmarkEnd w:id="8"/>
    <w:p>
      <w:pPr>
        <w:pStyle w:val="2"/>
        <w:keepNext w:val="0"/>
        <w:keepLines w:val="0"/>
        <w:pageBreakBefore/>
        <w:spacing w:after="240" w:line="360" w:lineRule="auto"/>
        <w:jc w:val="center"/>
        <w:rPr>
          <w:rFonts w:asciiTheme="minorEastAsia" w:hAnsiTheme="minorEastAsia" w:eastAsiaTheme="minorEastAsia"/>
          <w:color w:val="auto"/>
          <w:spacing w:val="20"/>
          <w:sz w:val="32"/>
          <w:szCs w:val="32"/>
          <w:highlight w:val="none"/>
        </w:rPr>
      </w:pPr>
      <w:bookmarkStart w:id="9" w:name="_Toc170228130"/>
      <w:r>
        <w:rPr>
          <w:rFonts w:hint="eastAsia" w:asciiTheme="minorEastAsia" w:hAnsiTheme="minorEastAsia" w:eastAsiaTheme="minorEastAsia"/>
          <w:color w:val="auto"/>
          <w:spacing w:val="20"/>
          <w:sz w:val="32"/>
          <w:szCs w:val="32"/>
          <w:highlight w:val="none"/>
        </w:rPr>
        <w:t>第三章 磋商须知</w:t>
      </w:r>
      <w:bookmarkEnd w:id="9"/>
    </w:p>
    <w:p>
      <w:pPr>
        <w:widowControl/>
        <w:snapToGrid w:val="0"/>
        <w:spacing w:line="360" w:lineRule="auto"/>
        <w:ind w:firstLine="48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70"/>
        <w:widowControl/>
        <w:numPr>
          <w:ilvl w:val="0"/>
          <w:numId w:val="19"/>
        </w:numPr>
        <w:snapToGrid w:val="0"/>
        <w:spacing w:line="360" w:lineRule="auto"/>
        <w:ind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名词解释</w:t>
      </w:r>
    </w:p>
    <w:p>
      <w:pPr>
        <w:pStyle w:val="70"/>
        <w:widowControl/>
        <w:numPr>
          <w:ilvl w:val="0"/>
          <w:numId w:val="20"/>
        </w:numPr>
        <w:snapToGrid w:val="0"/>
        <w:spacing w:line="360" w:lineRule="auto"/>
        <w:ind w:left="284" w:hanging="284"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采购代理机构：是负责整个采购活动的组织，依法负责编制和发布磋商文件，对磋商文件拥有最终的解释权，不以任何身份出任磋商小组成员。</w:t>
      </w:r>
    </w:p>
    <w:p>
      <w:pPr>
        <w:pStyle w:val="70"/>
        <w:widowControl/>
        <w:numPr>
          <w:ilvl w:val="0"/>
          <w:numId w:val="20"/>
        </w:numPr>
        <w:snapToGrid w:val="0"/>
        <w:spacing w:line="360" w:lineRule="auto"/>
        <w:ind w:left="284" w:hanging="284"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采购人：是采购活动当事人之一，负责项目的整体规划、技术方案可行性设计论证与实施，作为合同采购方（用户）的主体承担质疑回复、履行合同、验收与评价等义务。</w:t>
      </w:r>
    </w:p>
    <w:p>
      <w:pPr>
        <w:pStyle w:val="70"/>
        <w:widowControl/>
        <w:numPr>
          <w:ilvl w:val="0"/>
          <w:numId w:val="20"/>
        </w:numPr>
        <w:snapToGrid w:val="0"/>
        <w:spacing w:line="360" w:lineRule="auto"/>
        <w:ind w:left="284" w:hanging="284" w:firstLineChars="0"/>
        <w:contextualSpacing/>
        <w:jc w:val="left"/>
        <w:rPr>
          <w:rFonts w:ascii="宋体" w:hAnsi="宋体"/>
          <w:color w:val="auto"/>
          <w:kern w:val="0"/>
          <w:szCs w:val="21"/>
          <w:highlight w:val="none"/>
          <w:lang w:eastAsia="zh-Hans"/>
        </w:rPr>
      </w:pPr>
      <w:r>
        <w:rPr>
          <w:rFonts w:hint="eastAsia" w:ascii="宋体" w:hAnsi="宋体"/>
          <w:color w:val="auto"/>
          <w:kern w:val="0"/>
          <w:szCs w:val="21"/>
          <w:highlight w:val="none"/>
          <w:lang w:eastAsia="zh-Hans"/>
        </w:rPr>
        <w:t>供应商：是指向采购人提供货物、工程或者服务的法人、其他组织或者自然人</w:t>
      </w:r>
      <w:r>
        <w:rPr>
          <w:rFonts w:ascii="宋体" w:hAnsi="宋体"/>
          <w:color w:val="auto"/>
          <w:kern w:val="0"/>
          <w:szCs w:val="21"/>
          <w:highlight w:val="none"/>
          <w:lang w:eastAsia="zh-Hans"/>
        </w:rPr>
        <w:t>。</w:t>
      </w:r>
    </w:p>
    <w:p>
      <w:pPr>
        <w:pStyle w:val="70"/>
        <w:widowControl/>
        <w:numPr>
          <w:ilvl w:val="0"/>
          <w:numId w:val="20"/>
        </w:numPr>
        <w:snapToGrid w:val="0"/>
        <w:spacing w:line="360" w:lineRule="auto"/>
        <w:ind w:left="284" w:hanging="284"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磋商小组</w:t>
      </w:r>
      <w:r>
        <w:rPr>
          <w:rFonts w:hint="eastAsia" w:ascii="宋体" w:hAnsi="宋体"/>
          <w:color w:val="auto"/>
          <w:kern w:val="0"/>
          <w:szCs w:val="21"/>
          <w:highlight w:val="none"/>
          <w:lang w:eastAsia="zh-Hans"/>
        </w:rPr>
        <w:t>：</w:t>
      </w:r>
      <w:r>
        <w:rPr>
          <w:rFonts w:ascii="宋体" w:hAnsi="宋体"/>
          <w:color w:val="auto"/>
          <w:kern w:val="0"/>
          <w:szCs w:val="21"/>
          <w:highlight w:val="none"/>
          <w:lang w:eastAsia="zh-Hans"/>
        </w:rPr>
        <w:t>是指根据《中华人民共和国政府采购法》等法律法规规定，由采购人代表和有关专家组成以确定成交供应商或者推荐成交候选供应商的临时组织。</w:t>
      </w:r>
    </w:p>
    <w:p>
      <w:pPr>
        <w:pStyle w:val="70"/>
        <w:widowControl/>
        <w:numPr>
          <w:ilvl w:val="0"/>
          <w:numId w:val="20"/>
        </w:numPr>
        <w:snapToGrid w:val="0"/>
        <w:spacing w:line="360" w:lineRule="auto"/>
        <w:ind w:left="284" w:hanging="284"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成交供应商</w:t>
      </w:r>
      <w:r>
        <w:rPr>
          <w:rFonts w:hint="eastAsia" w:ascii="宋体" w:hAnsi="宋体"/>
          <w:color w:val="auto"/>
          <w:kern w:val="0"/>
          <w:szCs w:val="21"/>
          <w:highlight w:val="none"/>
          <w:lang w:eastAsia="zh-Hans"/>
        </w:rPr>
        <w:t>：</w:t>
      </w:r>
      <w:r>
        <w:rPr>
          <w:rFonts w:ascii="宋体" w:hAnsi="宋体"/>
          <w:color w:val="auto"/>
          <w:kern w:val="0"/>
          <w:szCs w:val="21"/>
          <w:highlight w:val="none"/>
          <w:lang w:eastAsia="zh-Hans"/>
        </w:rPr>
        <w:t>是指经磋商小组评审确定的对磋商文件做出实质性响应，经采购人按照规定在磋商小组推荐的成交候选供应商中确定的或磋商小组受采购人委托直接确认的供应商。</w:t>
      </w:r>
    </w:p>
    <w:p>
      <w:pPr>
        <w:pStyle w:val="70"/>
        <w:widowControl/>
        <w:numPr>
          <w:ilvl w:val="0"/>
          <w:numId w:val="20"/>
        </w:numPr>
        <w:snapToGrid w:val="0"/>
        <w:spacing w:line="360" w:lineRule="auto"/>
        <w:ind w:left="284" w:hanging="284" w:firstLineChars="0"/>
        <w:contextualSpacing/>
        <w:jc w:val="left"/>
        <w:rPr>
          <w:rFonts w:ascii="宋体" w:hAnsi="宋体"/>
          <w:color w:val="auto"/>
          <w:kern w:val="0"/>
          <w:szCs w:val="21"/>
          <w:highlight w:val="none"/>
        </w:rPr>
      </w:pPr>
      <w:r>
        <w:rPr>
          <w:rFonts w:ascii="宋体" w:hAnsi="宋体"/>
          <w:color w:val="auto"/>
          <w:kern w:val="0"/>
          <w:szCs w:val="21"/>
          <w:highlight w:val="none"/>
          <w:lang w:eastAsia="zh-Hans"/>
        </w:rPr>
        <w:t>磋商文件：是指包括磋商公告和磋商文件及其补充、变更和澄清等一系列文件。</w:t>
      </w:r>
    </w:p>
    <w:p>
      <w:pPr>
        <w:pStyle w:val="70"/>
        <w:widowControl/>
        <w:numPr>
          <w:ilvl w:val="0"/>
          <w:numId w:val="19"/>
        </w:numPr>
        <w:snapToGrid w:val="0"/>
        <w:spacing w:before="156" w:beforeLines="50" w:line="360" w:lineRule="auto"/>
        <w:ind w:left="442" w:hanging="442" w:firstLineChars="0"/>
        <w:contextualSpacing/>
        <w:jc w:val="left"/>
        <w:outlineLvl w:val="3"/>
        <w:rPr>
          <w:rFonts w:ascii="宋体" w:hAnsi="宋体"/>
          <w:b/>
          <w:color w:val="auto"/>
          <w:kern w:val="0"/>
          <w:szCs w:val="21"/>
          <w:highlight w:val="none"/>
        </w:rPr>
      </w:pPr>
      <w:r>
        <w:rPr>
          <w:rFonts w:ascii="宋体" w:hAnsi="宋体"/>
          <w:b/>
          <w:color w:val="auto"/>
          <w:kern w:val="0"/>
          <w:szCs w:val="21"/>
          <w:highlight w:val="none"/>
          <w:lang w:eastAsia="zh-Hans"/>
        </w:rPr>
        <w:t>须知前附表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852"/>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000" w:type="pct"/>
            <w:gridSpan w:val="3"/>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本表与</w:t>
            </w:r>
            <w:r>
              <w:rPr>
                <w:rFonts w:hint="eastAsia" w:ascii="宋体" w:hAnsi="宋体"/>
                <w:color w:val="auto"/>
                <w:kern w:val="0"/>
                <w:szCs w:val="21"/>
                <w:highlight w:val="none"/>
                <w:lang w:eastAsia="zh-Hans"/>
              </w:rPr>
              <w:t>磋商文件</w:t>
            </w:r>
            <w:r>
              <w:rPr>
                <w:rFonts w:ascii="宋体" w:hAnsi="宋体"/>
                <w:color w:val="auto"/>
                <w:kern w:val="0"/>
                <w:szCs w:val="21"/>
                <w:highlight w:val="none"/>
                <w:lang w:eastAsia="zh-Hans"/>
              </w:rPr>
              <w:t>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napToGrid w:val="0"/>
              <w:spacing w:line="400" w:lineRule="exact"/>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序号</w:t>
            </w:r>
          </w:p>
        </w:tc>
        <w:tc>
          <w:tcPr>
            <w:tcW w:w="997"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条款名称</w:t>
            </w:r>
          </w:p>
        </w:tc>
        <w:tc>
          <w:tcPr>
            <w:tcW w:w="3619"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997" w:type="pct"/>
            <w:vAlign w:val="center"/>
          </w:tcPr>
          <w:p>
            <w:pPr>
              <w:widowControl/>
              <w:snapToGrid w:val="0"/>
              <w:spacing w:line="400" w:lineRule="exact"/>
              <w:contextualSpacing/>
              <w:rPr>
                <w:rFonts w:ascii="宋体" w:hAnsi="宋体"/>
                <w:color w:val="auto"/>
                <w:kern w:val="0"/>
                <w:szCs w:val="21"/>
                <w:highlight w:val="none"/>
              </w:rPr>
            </w:pPr>
            <w:r>
              <w:rPr>
                <w:rFonts w:hint="eastAsia" w:ascii="宋体" w:hAnsi="宋体"/>
                <w:color w:val="auto"/>
                <w:kern w:val="0"/>
                <w:szCs w:val="21"/>
                <w:highlight w:val="none"/>
                <w:lang w:eastAsia="zh-Hans"/>
              </w:rPr>
              <w:t>项目属性</w:t>
            </w:r>
          </w:p>
        </w:tc>
        <w:tc>
          <w:tcPr>
            <w:tcW w:w="3619" w:type="pct"/>
            <w:vAlign w:val="center"/>
          </w:tcPr>
          <w:p>
            <w:pPr>
              <w:widowControl/>
              <w:snapToGrid w:val="0"/>
              <w:spacing w:line="400" w:lineRule="exact"/>
              <w:contextualSpacing/>
              <w:rPr>
                <w:rFonts w:ascii="宋体" w:hAnsi="宋体"/>
                <w:color w:val="auto"/>
                <w:kern w:val="0"/>
                <w:szCs w:val="21"/>
                <w:highlight w:val="none"/>
              </w:rPr>
            </w:pPr>
            <w:r>
              <w:rPr>
                <w:rFonts w:hint="eastAsia" w:ascii="宋体" w:hAnsi="宋体"/>
                <w:color w:val="auto"/>
                <w:kern w:val="0"/>
                <w:szCs w:val="21"/>
                <w:highlight w:val="none"/>
                <w:lang w:eastAsia="zh-Hans"/>
              </w:rPr>
              <w:t>项目属性</w:t>
            </w:r>
            <w:r>
              <w:rPr>
                <w:rFonts w:hint="eastAsia" w:ascii="宋体" w:hAnsi="宋体"/>
                <w:color w:val="auto"/>
                <w:kern w:val="0"/>
                <w:szCs w:val="21"/>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997" w:type="pct"/>
            <w:vAlign w:val="center"/>
          </w:tcPr>
          <w:p>
            <w:pPr>
              <w:widowControl/>
              <w:snapToGrid w:val="0"/>
              <w:spacing w:line="400" w:lineRule="exact"/>
              <w:contextualSpacing/>
              <w:rPr>
                <w:rFonts w:ascii="宋体" w:hAnsi="宋体"/>
                <w:color w:val="auto"/>
                <w:kern w:val="0"/>
                <w:szCs w:val="21"/>
                <w:highlight w:val="none"/>
              </w:rPr>
            </w:pPr>
            <w:r>
              <w:rPr>
                <w:rFonts w:hint="eastAsia" w:ascii="宋体" w:hAnsi="宋体"/>
                <w:color w:val="auto"/>
                <w:kern w:val="0"/>
                <w:szCs w:val="21"/>
                <w:highlight w:val="none"/>
              </w:rPr>
              <w:t>资金属性</w:t>
            </w:r>
          </w:p>
        </w:tc>
        <w:tc>
          <w:tcPr>
            <w:tcW w:w="3619" w:type="pct"/>
            <w:vAlign w:val="center"/>
          </w:tcPr>
          <w:p>
            <w:pPr>
              <w:widowControl/>
              <w:snapToGrid w:val="0"/>
              <w:spacing w:line="400" w:lineRule="exact"/>
              <w:contextualSpacing/>
              <w:rPr>
                <w:rFonts w:ascii="宋体" w:hAnsi="宋体"/>
                <w:color w:val="auto"/>
                <w:kern w:val="0"/>
                <w:szCs w:val="21"/>
                <w:highlight w:val="none"/>
              </w:rPr>
            </w:pPr>
            <w:r>
              <w:rPr>
                <w:rFonts w:hint="eastAsia" w:ascii="宋体" w:hAnsi="宋体"/>
                <w:color w:val="auto"/>
                <w:kern w:val="0"/>
                <w:szCs w:val="21"/>
                <w:highlight w:val="none"/>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3</w:t>
            </w:r>
          </w:p>
        </w:tc>
        <w:tc>
          <w:tcPr>
            <w:tcW w:w="997"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评</w:t>
            </w:r>
            <w:r>
              <w:rPr>
                <w:rFonts w:hint="eastAsia" w:ascii="宋体" w:hAnsi="宋体"/>
                <w:color w:val="auto"/>
                <w:kern w:val="0"/>
                <w:szCs w:val="21"/>
                <w:highlight w:val="none"/>
                <w:lang w:eastAsia="zh-Hans"/>
              </w:rPr>
              <w:t>审</w:t>
            </w:r>
            <w:r>
              <w:rPr>
                <w:rFonts w:ascii="宋体" w:hAnsi="宋体"/>
                <w:color w:val="auto"/>
                <w:kern w:val="0"/>
                <w:szCs w:val="21"/>
                <w:highlight w:val="none"/>
                <w:lang w:eastAsia="zh-Hans"/>
              </w:rPr>
              <w:t>办法</w:t>
            </w:r>
          </w:p>
        </w:tc>
        <w:tc>
          <w:tcPr>
            <w:tcW w:w="3619" w:type="pct"/>
            <w:vAlign w:val="center"/>
          </w:tcPr>
          <w:p>
            <w:pPr>
              <w:widowControl/>
              <w:snapToGrid w:val="0"/>
              <w:spacing w:line="400" w:lineRule="exact"/>
              <w:contextualSpacing/>
              <w:rPr>
                <w:rFonts w:ascii="宋体" w:hAnsi="宋体"/>
                <w:color w:val="auto"/>
                <w:kern w:val="0"/>
                <w:szCs w:val="21"/>
                <w:highlight w:val="none"/>
              </w:rPr>
            </w:pPr>
            <w:r>
              <w:rPr>
                <w:rFonts w:hint="eastAsia" w:ascii="宋体" w:hAnsi="宋体"/>
                <w:color w:val="auto"/>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4</w:t>
            </w:r>
          </w:p>
        </w:tc>
        <w:tc>
          <w:tcPr>
            <w:tcW w:w="997"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现场踏勘</w:t>
            </w:r>
          </w:p>
        </w:tc>
        <w:tc>
          <w:tcPr>
            <w:tcW w:w="3619"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5</w:t>
            </w:r>
          </w:p>
        </w:tc>
        <w:tc>
          <w:tcPr>
            <w:tcW w:w="997" w:type="pct"/>
            <w:vAlign w:val="center"/>
          </w:tcPr>
          <w:p>
            <w:pPr>
              <w:widowControl/>
              <w:snapToGrid w:val="0"/>
              <w:spacing w:line="400" w:lineRule="exact"/>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有效期</w:t>
            </w:r>
          </w:p>
        </w:tc>
        <w:tc>
          <w:tcPr>
            <w:tcW w:w="3619"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从提交响应文件的截止之日起90日历天</w:t>
            </w:r>
            <w:r>
              <w:rPr>
                <w:rFonts w:hint="eastAsia" w:ascii="宋体" w:hAnsi="宋体"/>
                <w:color w:val="auto"/>
                <w:kern w:val="0"/>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6</w:t>
            </w:r>
          </w:p>
        </w:tc>
        <w:tc>
          <w:tcPr>
            <w:tcW w:w="997" w:type="pct"/>
            <w:vAlign w:val="center"/>
          </w:tcPr>
          <w:p>
            <w:pPr>
              <w:widowControl/>
              <w:snapToGrid w:val="0"/>
              <w:spacing w:line="400" w:lineRule="exact"/>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保证金</w:t>
            </w:r>
          </w:p>
        </w:tc>
        <w:tc>
          <w:tcPr>
            <w:tcW w:w="3619" w:type="pct"/>
            <w:vAlign w:val="center"/>
          </w:tcPr>
          <w:p>
            <w:pPr>
              <w:widowControl/>
              <w:snapToGrid w:val="0"/>
              <w:spacing w:line="400" w:lineRule="exact"/>
              <w:contextualSpacing/>
              <w:rPr>
                <w:rFonts w:ascii="宋体" w:hAnsi="宋体"/>
                <w:color w:val="auto"/>
                <w:kern w:val="0"/>
                <w:szCs w:val="21"/>
                <w:highlight w:val="none"/>
              </w:rPr>
            </w:pPr>
            <w:r>
              <w:rPr>
                <w:rFonts w:hint="eastAsia" w:ascii="宋体" w:hAnsi="宋体"/>
                <w:color w:val="auto"/>
                <w:kern w:val="0"/>
                <w:szCs w:val="21"/>
                <w:highlight w:val="none"/>
                <w:lang w:eastAsia="zh-Hans"/>
              </w:rPr>
              <w:t>不收取</w:t>
            </w:r>
            <w:r>
              <w:rPr>
                <w:rFonts w:ascii="宋体" w:hAnsi="宋体"/>
                <w:color w:val="auto"/>
                <w:kern w:val="0"/>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7</w:t>
            </w:r>
          </w:p>
        </w:tc>
        <w:tc>
          <w:tcPr>
            <w:tcW w:w="997" w:type="pct"/>
            <w:vAlign w:val="center"/>
          </w:tcPr>
          <w:p>
            <w:pPr>
              <w:widowControl/>
              <w:snapToGrid w:val="0"/>
              <w:spacing w:line="400" w:lineRule="exact"/>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文件要求</w:t>
            </w:r>
          </w:p>
        </w:tc>
        <w:tc>
          <w:tcPr>
            <w:tcW w:w="3619"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b/>
                <w:color w:val="auto"/>
                <w:kern w:val="0"/>
                <w:szCs w:val="21"/>
                <w:highlight w:val="none"/>
                <w:lang w:eastAsia="zh-Hans"/>
              </w:rPr>
              <w:t>一、电子</w:t>
            </w:r>
            <w:r>
              <w:rPr>
                <w:rFonts w:hint="eastAsia" w:ascii="宋体" w:hAnsi="宋体"/>
                <w:b/>
                <w:color w:val="auto"/>
                <w:kern w:val="0"/>
                <w:szCs w:val="21"/>
                <w:highlight w:val="none"/>
                <w:lang w:eastAsia="zh-Hans"/>
              </w:rPr>
              <w:t>响应</w:t>
            </w:r>
            <w:r>
              <w:rPr>
                <w:rFonts w:ascii="宋体" w:hAnsi="宋体"/>
                <w:b/>
                <w:color w:val="auto"/>
                <w:kern w:val="0"/>
                <w:szCs w:val="21"/>
                <w:highlight w:val="none"/>
                <w:lang w:eastAsia="zh-Hans"/>
              </w:rPr>
              <w:t>文件：</w:t>
            </w:r>
          </w:p>
          <w:p>
            <w:pPr>
              <w:widowControl/>
              <w:snapToGrid w:val="0"/>
              <w:spacing w:line="400" w:lineRule="exact"/>
              <w:contextualSpacing/>
              <w:rPr>
                <w:rFonts w:ascii="宋体" w:hAnsi="宋体"/>
                <w:color w:val="auto"/>
                <w:kern w:val="0"/>
                <w:szCs w:val="21"/>
                <w:highlight w:val="none"/>
              </w:rPr>
            </w:pPr>
            <w:r>
              <w:rPr>
                <w:rFonts w:ascii="宋体" w:hAnsi="宋体"/>
                <w:color w:val="auto"/>
                <w:kern w:val="0"/>
                <w:szCs w:val="21"/>
                <w:highlight w:val="none"/>
                <w:lang w:eastAsia="zh-Hans"/>
              </w:rPr>
              <w:t>电</w:t>
            </w:r>
            <w:r>
              <w:rPr>
                <w:rFonts w:hint="eastAsia" w:ascii="宋体" w:hAnsi="宋体"/>
                <w:color w:val="auto"/>
                <w:kern w:val="0"/>
                <w:szCs w:val="21"/>
                <w:highlight w:val="none"/>
                <w:lang w:eastAsia="zh-Hans"/>
              </w:rPr>
              <w:t>子响应</w:t>
            </w:r>
            <w:r>
              <w:rPr>
                <w:rFonts w:ascii="宋体" w:hAnsi="宋体"/>
                <w:color w:val="auto"/>
                <w:kern w:val="0"/>
                <w:szCs w:val="21"/>
                <w:highlight w:val="none"/>
                <w:lang w:eastAsia="zh-Hans"/>
              </w:rPr>
              <w:t>文件U盘(或光盘)</w:t>
            </w:r>
            <w:r>
              <w:rPr>
                <w:rFonts w:hint="eastAsia" w:ascii="宋体" w:hAnsi="宋体"/>
                <w:color w:val="auto"/>
                <w:kern w:val="0"/>
                <w:szCs w:val="21"/>
                <w:highlight w:val="none"/>
              </w:rPr>
              <w:t>1</w:t>
            </w:r>
            <w:r>
              <w:rPr>
                <w:rFonts w:ascii="宋体" w:hAnsi="宋体"/>
                <w:color w:val="auto"/>
                <w:kern w:val="0"/>
                <w:szCs w:val="21"/>
                <w:highlight w:val="none"/>
                <w:lang w:eastAsia="zh-Hans"/>
              </w:rPr>
              <w:t>份</w:t>
            </w:r>
            <w:r>
              <w:rPr>
                <w:rFonts w:hint="eastAsia" w:ascii="宋体" w:hAnsi="宋体"/>
                <w:color w:val="auto"/>
                <w:kern w:val="0"/>
                <w:szCs w:val="21"/>
                <w:highlight w:val="none"/>
                <w:lang w:eastAsia="zh-Hans"/>
              </w:rPr>
              <w:t>。</w:t>
            </w:r>
          </w:p>
          <w:p>
            <w:pPr>
              <w:widowControl/>
              <w:snapToGrid w:val="0"/>
              <w:spacing w:line="400" w:lineRule="exact"/>
              <w:contextualSpacing/>
              <w:rPr>
                <w:rFonts w:ascii="宋体" w:hAnsi="宋体"/>
                <w:color w:val="auto"/>
                <w:kern w:val="0"/>
                <w:szCs w:val="21"/>
                <w:highlight w:val="none"/>
              </w:rPr>
            </w:pPr>
            <w:r>
              <w:rPr>
                <w:rFonts w:ascii="宋体" w:hAnsi="宋体"/>
                <w:b/>
                <w:color w:val="auto"/>
                <w:kern w:val="0"/>
                <w:szCs w:val="21"/>
                <w:highlight w:val="none"/>
                <w:lang w:eastAsia="zh-Hans"/>
              </w:rPr>
              <w:t>二、</w:t>
            </w:r>
            <w:r>
              <w:rPr>
                <w:rFonts w:hint="eastAsia" w:ascii="宋体" w:hAnsi="宋体"/>
                <w:b/>
                <w:color w:val="auto"/>
                <w:kern w:val="0"/>
                <w:szCs w:val="21"/>
                <w:highlight w:val="none"/>
                <w:lang w:eastAsia="zh-Hans"/>
              </w:rPr>
              <w:t>响应</w:t>
            </w:r>
            <w:r>
              <w:rPr>
                <w:rFonts w:ascii="宋体" w:hAnsi="宋体"/>
                <w:b/>
                <w:color w:val="auto"/>
                <w:kern w:val="0"/>
                <w:szCs w:val="21"/>
                <w:highlight w:val="none"/>
                <w:lang w:eastAsia="zh-Hans"/>
              </w:rPr>
              <w:t>文件：</w:t>
            </w:r>
          </w:p>
          <w:p>
            <w:pPr>
              <w:widowControl/>
              <w:snapToGrid w:val="0"/>
              <w:spacing w:line="400" w:lineRule="exact"/>
              <w:contextualSpacing/>
              <w:rPr>
                <w:rFonts w:ascii="宋体" w:hAnsi="宋体"/>
                <w:color w:val="auto"/>
                <w:kern w:val="0"/>
                <w:szCs w:val="21"/>
                <w:highlight w:val="none"/>
              </w:rPr>
            </w:pP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文件正本</w:t>
            </w:r>
            <w:r>
              <w:rPr>
                <w:rFonts w:hint="eastAsia" w:ascii="宋体" w:hAnsi="宋体"/>
                <w:color w:val="auto"/>
                <w:kern w:val="0"/>
                <w:szCs w:val="21"/>
                <w:highlight w:val="none"/>
              </w:rPr>
              <w:t>1</w:t>
            </w:r>
            <w:r>
              <w:rPr>
                <w:rFonts w:ascii="宋体" w:hAnsi="宋体"/>
                <w:color w:val="auto"/>
                <w:kern w:val="0"/>
                <w:szCs w:val="21"/>
                <w:highlight w:val="none"/>
                <w:lang w:eastAsia="zh-Hans"/>
              </w:rPr>
              <w:t>份，</w:t>
            </w: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文件副本</w:t>
            </w:r>
            <w:r>
              <w:rPr>
                <w:rFonts w:hint="eastAsia" w:ascii="宋体" w:hAnsi="宋体"/>
                <w:color w:val="auto"/>
                <w:kern w:val="0"/>
                <w:szCs w:val="21"/>
                <w:highlight w:val="none"/>
              </w:rPr>
              <w:t>3</w:t>
            </w:r>
            <w:r>
              <w:rPr>
                <w:rFonts w:ascii="宋体" w:hAnsi="宋体"/>
                <w:color w:val="auto"/>
                <w:kern w:val="0"/>
                <w:szCs w:val="21"/>
                <w:highlight w:val="none"/>
                <w:lang w:eastAsia="zh-Hans"/>
              </w:rPr>
              <w:t>份。</w:t>
            </w:r>
          </w:p>
          <w:p>
            <w:pPr>
              <w:widowControl/>
              <w:snapToGrid w:val="0"/>
              <w:spacing w:line="400" w:lineRule="exact"/>
              <w:contextualSpacing/>
              <w:rPr>
                <w:rFonts w:ascii="宋体" w:hAnsi="宋体"/>
                <w:color w:val="auto"/>
                <w:kern w:val="0"/>
                <w:szCs w:val="21"/>
                <w:highlight w:val="none"/>
              </w:rPr>
            </w:pPr>
            <w:r>
              <w:rPr>
                <w:rFonts w:ascii="宋体" w:hAnsi="宋体"/>
                <w:color w:val="auto"/>
                <w:kern w:val="0"/>
                <w:szCs w:val="21"/>
                <w:highlight w:val="none"/>
                <w:lang w:eastAsia="zh-Hans"/>
              </w:rPr>
              <w:t>（递交的</w:t>
            </w: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文件需密封完好，</w:t>
            </w:r>
            <w:r>
              <w:rPr>
                <w:rFonts w:hint="eastAsia" w:ascii="宋体" w:hAnsi="宋体"/>
                <w:color w:val="auto"/>
                <w:kern w:val="0"/>
                <w:szCs w:val="21"/>
                <w:highlight w:val="none"/>
                <w:lang w:eastAsia="zh-Hans"/>
              </w:rPr>
              <w:t>每套响应文件须清楚地标明“正本”或“副本”。若副本与正本不符，以正本为准。</w:t>
            </w:r>
            <w:r>
              <w:rPr>
                <w:rFonts w:ascii="宋体" w:hAnsi="宋体"/>
                <w:color w:val="auto"/>
                <w:kern w:val="0"/>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8</w:t>
            </w:r>
          </w:p>
        </w:tc>
        <w:tc>
          <w:tcPr>
            <w:tcW w:w="997" w:type="pct"/>
            <w:vAlign w:val="center"/>
          </w:tcPr>
          <w:p>
            <w:pPr>
              <w:widowControl/>
              <w:snapToGrid w:val="0"/>
              <w:spacing w:line="400" w:lineRule="exact"/>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成交</w:t>
            </w:r>
            <w:r>
              <w:rPr>
                <w:rFonts w:ascii="宋体" w:hAnsi="宋体"/>
                <w:color w:val="auto"/>
                <w:kern w:val="0"/>
                <w:szCs w:val="21"/>
                <w:highlight w:val="none"/>
                <w:lang w:eastAsia="zh-Hans"/>
              </w:rPr>
              <w:t>候选供应商推荐家数</w:t>
            </w:r>
          </w:p>
        </w:tc>
        <w:tc>
          <w:tcPr>
            <w:tcW w:w="3619" w:type="pct"/>
            <w:vAlign w:val="center"/>
          </w:tcPr>
          <w:p>
            <w:pPr>
              <w:widowControl/>
              <w:snapToGrid w:val="0"/>
              <w:spacing w:line="400" w:lineRule="exact"/>
              <w:contextualSpacing/>
              <w:rPr>
                <w:rFonts w:ascii="宋体" w:hAnsi="宋体"/>
                <w:color w:val="auto"/>
                <w:kern w:val="0"/>
                <w:szCs w:val="21"/>
                <w:highlight w:val="none"/>
                <w:lang w:eastAsia="zh-Hans"/>
              </w:rPr>
            </w:pPr>
            <w:r>
              <w:rPr>
                <w:rFonts w:hint="eastAsia" w:ascii="宋体" w:hAnsi="宋体"/>
                <w:color w:val="auto"/>
                <w:kern w:val="0"/>
                <w:szCs w:val="21"/>
                <w:highlight w:val="none"/>
              </w:rPr>
              <w:t>3</w:t>
            </w:r>
            <w:r>
              <w:rPr>
                <w:rFonts w:ascii="宋体" w:hAnsi="宋体"/>
                <w:color w:val="auto"/>
                <w:kern w:val="0"/>
                <w:szCs w:val="21"/>
                <w:highlight w:val="none"/>
                <w:lang w:eastAsia="zh-Hans"/>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997"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成交供应商数量</w:t>
            </w:r>
          </w:p>
        </w:tc>
        <w:tc>
          <w:tcPr>
            <w:tcW w:w="3619"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10</w:t>
            </w:r>
          </w:p>
        </w:tc>
        <w:tc>
          <w:tcPr>
            <w:tcW w:w="997"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有效供应商家数</w:t>
            </w:r>
          </w:p>
        </w:tc>
        <w:tc>
          <w:tcPr>
            <w:tcW w:w="3619"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3家</w:t>
            </w:r>
          </w:p>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此人数约定了开启与评审过程中的最低有效供应商家数，当家数不足时项目将不得开启、不得评审或直接终止采购。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11</w:t>
            </w:r>
          </w:p>
        </w:tc>
        <w:tc>
          <w:tcPr>
            <w:tcW w:w="997" w:type="pct"/>
            <w:vAlign w:val="center"/>
          </w:tcPr>
          <w:p>
            <w:pPr>
              <w:widowControl/>
              <w:snapToGrid w:val="0"/>
              <w:spacing w:line="400" w:lineRule="exact"/>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成交</w:t>
            </w:r>
            <w:r>
              <w:rPr>
                <w:rFonts w:ascii="宋体" w:hAnsi="宋体"/>
                <w:color w:val="auto"/>
                <w:kern w:val="0"/>
                <w:szCs w:val="21"/>
                <w:highlight w:val="none"/>
                <w:lang w:eastAsia="zh-Hans"/>
              </w:rPr>
              <w:t>供应商确定方式</w:t>
            </w:r>
          </w:p>
        </w:tc>
        <w:tc>
          <w:tcPr>
            <w:tcW w:w="3619"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采购人按照评审报告中推荐的成交候选人确定成交人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12</w:t>
            </w:r>
          </w:p>
        </w:tc>
        <w:tc>
          <w:tcPr>
            <w:tcW w:w="997"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代理服务费</w:t>
            </w:r>
          </w:p>
        </w:tc>
        <w:tc>
          <w:tcPr>
            <w:tcW w:w="3619"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收取。采购机构代理服务收费标准：参照国家计委文件“计价格[2002]1980号文”、“发改办价格[2003]857号文”和“发改价格[2011]534号文”的规定标准执行。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13</w:t>
            </w:r>
          </w:p>
        </w:tc>
        <w:tc>
          <w:tcPr>
            <w:tcW w:w="997"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代理服务费收取方式</w:t>
            </w:r>
          </w:p>
        </w:tc>
        <w:tc>
          <w:tcPr>
            <w:tcW w:w="3619" w:type="pct"/>
            <w:vAlign w:val="center"/>
          </w:tcPr>
          <w:p>
            <w:pPr>
              <w:widowControl/>
              <w:snapToGrid w:val="0"/>
              <w:spacing w:line="400" w:lineRule="exact"/>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向</w:t>
            </w:r>
            <w:r>
              <w:rPr>
                <w:rFonts w:hint="eastAsia" w:ascii="宋体" w:hAnsi="宋体"/>
                <w:color w:val="auto"/>
                <w:kern w:val="0"/>
                <w:szCs w:val="21"/>
                <w:highlight w:val="none"/>
                <w:lang w:eastAsia="zh-Hans"/>
              </w:rPr>
              <w:t>成交</w:t>
            </w:r>
            <w:r>
              <w:rPr>
                <w:rFonts w:ascii="宋体" w:hAnsi="宋体"/>
                <w:color w:val="auto"/>
                <w:kern w:val="0"/>
                <w:szCs w:val="21"/>
                <w:highlight w:val="none"/>
                <w:lang w:eastAsia="zh-Hans"/>
              </w:rPr>
              <w:t>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4" w:type="pct"/>
            <w:vAlign w:val="center"/>
          </w:tcPr>
          <w:p>
            <w:pPr>
              <w:widowControl/>
              <w:snapToGrid w:val="0"/>
              <w:spacing w:line="400" w:lineRule="exact"/>
              <w:contextualSpacing/>
              <w:jc w:val="center"/>
              <w:rPr>
                <w:rFonts w:ascii="宋体" w:hAnsi="宋体"/>
                <w:color w:val="auto"/>
                <w:kern w:val="0"/>
                <w:szCs w:val="21"/>
                <w:highlight w:val="none"/>
              </w:rPr>
            </w:pPr>
            <w:r>
              <w:rPr>
                <w:rFonts w:hint="eastAsia" w:ascii="宋体" w:hAnsi="宋体"/>
                <w:color w:val="auto"/>
                <w:kern w:val="0"/>
                <w:szCs w:val="21"/>
                <w:highlight w:val="none"/>
              </w:rPr>
              <w:t>14</w:t>
            </w:r>
          </w:p>
        </w:tc>
        <w:tc>
          <w:tcPr>
            <w:tcW w:w="997" w:type="pct"/>
            <w:vAlign w:val="center"/>
          </w:tcPr>
          <w:p>
            <w:pPr>
              <w:widowControl/>
              <w:snapToGrid w:val="0"/>
              <w:spacing w:line="400" w:lineRule="exact"/>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履约担保</w:t>
            </w:r>
          </w:p>
        </w:tc>
        <w:tc>
          <w:tcPr>
            <w:tcW w:w="3619" w:type="pct"/>
            <w:vAlign w:val="center"/>
          </w:tcPr>
          <w:p>
            <w:pPr>
              <w:widowControl/>
              <w:snapToGrid w:val="0"/>
              <w:spacing w:line="400" w:lineRule="exact"/>
              <w:contextualSpacing/>
              <w:rPr>
                <w:rFonts w:ascii="宋体" w:hAnsi="宋体"/>
                <w:color w:val="auto"/>
                <w:kern w:val="0"/>
                <w:szCs w:val="21"/>
                <w:highlight w:val="none"/>
                <w:lang w:eastAsia="zh-Hans"/>
              </w:rPr>
            </w:pPr>
            <w:r>
              <w:rPr>
                <w:rFonts w:hint="eastAsia" w:ascii="宋体" w:hAnsi="宋体"/>
                <w:color w:val="auto"/>
                <w:szCs w:val="21"/>
                <w:highlight w:val="none"/>
                <w:lang w:val="zh-CN"/>
              </w:rPr>
              <w:t>不收取</w:t>
            </w:r>
            <w:r>
              <w:rPr>
                <w:rFonts w:ascii="宋体" w:hAnsi="宋体"/>
                <w:color w:val="auto"/>
                <w:szCs w:val="21"/>
                <w:highlight w:val="none"/>
                <w:lang w:val="zh-CN"/>
              </w:rPr>
              <w:t>。</w:t>
            </w:r>
          </w:p>
        </w:tc>
      </w:tr>
    </w:tbl>
    <w:p>
      <w:pPr>
        <w:widowControl/>
        <w:snapToGrid w:val="0"/>
        <w:spacing w:line="400" w:lineRule="exact"/>
        <w:contextualSpacing/>
        <w:rPr>
          <w:rFonts w:ascii="宋体" w:hAnsi="宋体"/>
          <w:b/>
          <w:color w:val="auto"/>
          <w:kern w:val="0"/>
          <w:szCs w:val="21"/>
          <w:highlight w:val="none"/>
        </w:rPr>
      </w:pPr>
    </w:p>
    <w:p>
      <w:pPr>
        <w:pStyle w:val="70"/>
        <w:widowControl/>
        <w:numPr>
          <w:ilvl w:val="0"/>
          <w:numId w:val="19"/>
        </w:numPr>
        <w:snapToGrid w:val="0"/>
        <w:spacing w:line="360" w:lineRule="auto"/>
        <w:ind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说明</w:t>
      </w:r>
    </w:p>
    <w:p>
      <w:pPr>
        <w:pStyle w:val="70"/>
        <w:widowControl/>
        <w:numPr>
          <w:ilvl w:val="3"/>
          <w:numId w:val="21"/>
        </w:numPr>
        <w:tabs>
          <w:tab w:val="left" w:pos="284"/>
          <w:tab w:val="left" w:pos="993"/>
          <w:tab w:val="left" w:pos="1418"/>
        </w:tabs>
        <w:snapToGrid w:val="0"/>
        <w:spacing w:line="360" w:lineRule="auto"/>
        <w:ind w:hanging="1760"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总则</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本磋商文件依据《中华人民共和国政府采购法》、《中华人民共和国政府采购法实施条例》（国务院令第658号）和《政府采购竞争性磋商采购方式管理暂行办法》（财库〔2014〕214号）</w:t>
      </w:r>
      <w:r>
        <w:rPr>
          <w:rFonts w:hint="eastAsia" w:ascii="宋体" w:hAnsi="宋体"/>
          <w:color w:val="auto"/>
          <w:kern w:val="0"/>
          <w:szCs w:val="21"/>
          <w:highlight w:val="none"/>
          <w:lang w:eastAsia="zh-Hans"/>
        </w:rPr>
        <w:t>等</w:t>
      </w:r>
      <w:r>
        <w:rPr>
          <w:rFonts w:ascii="宋体" w:hAnsi="宋体"/>
          <w:color w:val="auto"/>
          <w:kern w:val="0"/>
          <w:szCs w:val="21"/>
          <w:highlight w:val="none"/>
          <w:lang w:eastAsia="zh-Hans"/>
        </w:rPr>
        <w:t>有关法律、法规、规章制度编制。</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供应商应仔细阅读本项目信息公告及磋商文件的所有内容（包括变更、补充、澄清以及修改等，且均为磋商文件的组成部分），按照磋商文件要求以及格式编制响应文件，并保证其真实性，否则一切后果自负。</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本次竞争性磋商项目，是以磋商公告的方式邀请非特定的供应商参加磋商。</w:t>
      </w:r>
    </w:p>
    <w:p>
      <w:pPr>
        <w:pStyle w:val="70"/>
        <w:widowControl/>
        <w:numPr>
          <w:ilvl w:val="3"/>
          <w:numId w:val="21"/>
        </w:numPr>
        <w:tabs>
          <w:tab w:val="left" w:pos="284"/>
          <w:tab w:val="left" w:pos="993"/>
          <w:tab w:val="left" w:pos="1418"/>
        </w:tabs>
        <w:snapToGrid w:val="0"/>
        <w:spacing w:line="360" w:lineRule="auto"/>
        <w:ind w:hanging="1760"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适用范围</w:t>
      </w:r>
    </w:p>
    <w:p>
      <w:pPr>
        <w:widowControl/>
        <w:snapToGrid w:val="0"/>
        <w:spacing w:line="360" w:lineRule="auto"/>
        <w:ind w:firstLine="48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本磋商文件仅适用于本次磋商公告中所涉及的项目和内容。</w:t>
      </w:r>
    </w:p>
    <w:p>
      <w:pPr>
        <w:pStyle w:val="70"/>
        <w:widowControl/>
        <w:numPr>
          <w:ilvl w:val="3"/>
          <w:numId w:val="21"/>
        </w:numPr>
        <w:tabs>
          <w:tab w:val="left" w:pos="284"/>
          <w:tab w:val="left" w:pos="993"/>
          <w:tab w:val="left" w:pos="1418"/>
        </w:tabs>
        <w:snapToGrid w:val="0"/>
        <w:spacing w:line="360" w:lineRule="auto"/>
        <w:ind w:hanging="1760"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进口产品</w:t>
      </w:r>
    </w:p>
    <w:p>
      <w:pPr>
        <w:widowControl/>
        <w:snapToGrid w:val="0"/>
        <w:spacing w:line="360" w:lineRule="auto"/>
        <w:ind w:firstLine="424" w:firstLineChars="202"/>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若本项目允许采购进口产品，供应商应保证所投产品可履行合法报通关手续进入中国关境内。</w:t>
      </w:r>
    </w:p>
    <w:p>
      <w:pPr>
        <w:widowControl/>
        <w:snapToGrid w:val="0"/>
        <w:spacing w:line="360" w:lineRule="auto"/>
        <w:ind w:firstLine="424" w:firstLineChars="202"/>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若本项目不允许采购进口产品，如供应商所投产品为进口产品，其响应将被认定为响应无效。</w:t>
      </w:r>
    </w:p>
    <w:p>
      <w:pPr>
        <w:pStyle w:val="70"/>
        <w:widowControl/>
        <w:numPr>
          <w:ilvl w:val="3"/>
          <w:numId w:val="21"/>
        </w:numPr>
        <w:tabs>
          <w:tab w:val="left" w:pos="284"/>
          <w:tab w:val="left" w:pos="993"/>
          <w:tab w:val="left" w:pos="1418"/>
        </w:tabs>
        <w:snapToGrid w:val="0"/>
        <w:spacing w:line="360" w:lineRule="auto"/>
        <w:ind w:hanging="1760"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磋商费用</w:t>
      </w:r>
    </w:p>
    <w:p>
      <w:pPr>
        <w:widowControl/>
        <w:snapToGrid w:val="0"/>
        <w:spacing w:line="360" w:lineRule="auto"/>
        <w:ind w:firstLine="48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不论磋商结果如何，供应商应承担所有与准备和参加磋商有关的费用。采购代理机构和采购人均无义务和责任承担相关费用。</w:t>
      </w:r>
    </w:p>
    <w:p>
      <w:pPr>
        <w:pStyle w:val="70"/>
        <w:widowControl/>
        <w:numPr>
          <w:ilvl w:val="3"/>
          <w:numId w:val="21"/>
        </w:numPr>
        <w:tabs>
          <w:tab w:val="left" w:pos="284"/>
          <w:tab w:val="left" w:pos="993"/>
          <w:tab w:val="left" w:pos="1418"/>
        </w:tabs>
        <w:snapToGrid w:val="0"/>
        <w:spacing w:line="360" w:lineRule="auto"/>
        <w:ind w:hanging="1760"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以联合体形式磋商的，应符合以下规定：</w:t>
      </w:r>
    </w:p>
    <w:p>
      <w:pPr>
        <w:pStyle w:val="70"/>
        <w:widowControl/>
        <w:numPr>
          <w:ilvl w:val="0"/>
          <w:numId w:val="22"/>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联合体各方均应当满足《中华人民共和国政府采购法》第二十二条规定的条件，并在响应文件中提供联合体各方的相关证明材料。</w:t>
      </w:r>
    </w:p>
    <w:p>
      <w:pPr>
        <w:pStyle w:val="70"/>
        <w:widowControl/>
        <w:numPr>
          <w:ilvl w:val="0"/>
          <w:numId w:val="22"/>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70"/>
        <w:widowControl/>
        <w:numPr>
          <w:ilvl w:val="0"/>
          <w:numId w:val="22"/>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对于需交响应保证金的，以牵头方名义缴纳。</w:t>
      </w:r>
    </w:p>
    <w:p>
      <w:pPr>
        <w:pStyle w:val="70"/>
        <w:widowControl/>
        <w:numPr>
          <w:ilvl w:val="0"/>
          <w:numId w:val="22"/>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联合体成员存在不良信用记录的，视同联合体存在不良信用记录。</w:t>
      </w:r>
    </w:p>
    <w:p>
      <w:pPr>
        <w:pStyle w:val="70"/>
        <w:widowControl/>
        <w:numPr>
          <w:ilvl w:val="0"/>
          <w:numId w:val="22"/>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70"/>
        <w:widowControl/>
        <w:numPr>
          <w:ilvl w:val="0"/>
          <w:numId w:val="22"/>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联合体各方应当共同与采购人签订采购合同，就合同约定的事项对采购人承担连带责任。</w:t>
      </w:r>
    </w:p>
    <w:p>
      <w:pPr>
        <w:widowControl/>
        <w:snapToGrid w:val="0"/>
        <w:spacing w:line="360" w:lineRule="auto"/>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6.关联企业响应说明</w:t>
      </w:r>
    </w:p>
    <w:p>
      <w:pPr>
        <w:pStyle w:val="70"/>
        <w:widowControl/>
        <w:numPr>
          <w:ilvl w:val="0"/>
          <w:numId w:val="23"/>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70"/>
        <w:widowControl/>
        <w:numPr>
          <w:ilvl w:val="0"/>
          <w:numId w:val="23"/>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widowControl/>
        <w:snapToGrid w:val="0"/>
        <w:spacing w:line="360" w:lineRule="auto"/>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7.关于中小微企业响应</w:t>
      </w:r>
    </w:p>
    <w:p>
      <w:pPr>
        <w:pStyle w:val="70"/>
        <w:widowControl/>
        <w:numPr>
          <w:ilvl w:val="0"/>
          <w:numId w:val="24"/>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70"/>
        <w:widowControl/>
        <w:numPr>
          <w:ilvl w:val="0"/>
          <w:numId w:val="24"/>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70"/>
        <w:widowControl/>
        <w:numPr>
          <w:ilvl w:val="0"/>
          <w:numId w:val="24"/>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widowControl/>
        <w:snapToGrid w:val="0"/>
        <w:spacing w:line="360" w:lineRule="auto"/>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8.纪律与保密事项</w:t>
      </w:r>
    </w:p>
    <w:p>
      <w:pPr>
        <w:pStyle w:val="70"/>
        <w:widowControl/>
        <w:numPr>
          <w:ilvl w:val="0"/>
          <w:numId w:val="25"/>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供应商不得相互串通磋商报价，不得妨碍其他供应商的公平竞争，不得损害采购人或其他供应商的合法权益，供应商不得以向采购人、磋商小组成员行贿或者采取其他不正当手段谋取成交。</w:t>
      </w:r>
    </w:p>
    <w:p>
      <w:pPr>
        <w:pStyle w:val="70"/>
        <w:widowControl/>
        <w:numPr>
          <w:ilvl w:val="0"/>
          <w:numId w:val="25"/>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供应商不得与采购人就响应价格、响应方案等实质性内容进行磋商，也不得私下接触磋商小组成员。</w:t>
      </w:r>
    </w:p>
    <w:p>
      <w:pPr>
        <w:widowControl/>
        <w:snapToGrid w:val="0"/>
        <w:spacing w:line="360" w:lineRule="auto"/>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9.语言文字以及度量衡单位</w:t>
      </w:r>
    </w:p>
    <w:p>
      <w:pPr>
        <w:pStyle w:val="70"/>
        <w:widowControl/>
        <w:numPr>
          <w:ilvl w:val="0"/>
          <w:numId w:val="26"/>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0"/>
        <w:widowControl/>
        <w:numPr>
          <w:ilvl w:val="0"/>
          <w:numId w:val="26"/>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除非磋商文件的技术规格中另有规定，供应商在响应文件中及其与采购人和采购代理机构的所有往来文件中的计量单位均应采用中华人民共和国法定计量单位。</w:t>
      </w:r>
    </w:p>
    <w:p>
      <w:pPr>
        <w:pStyle w:val="70"/>
        <w:widowControl/>
        <w:numPr>
          <w:ilvl w:val="0"/>
          <w:numId w:val="26"/>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供应商所提供的货物和服务均应以人民币报价，货币单位：元。</w:t>
      </w:r>
    </w:p>
    <w:p>
      <w:pPr>
        <w:widowControl/>
        <w:snapToGrid w:val="0"/>
        <w:spacing w:line="360" w:lineRule="auto"/>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10. 现场踏勘（如有）</w:t>
      </w:r>
    </w:p>
    <w:p>
      <w:pPr>
        <w:pStyle w:val="70"/>
        <w:widowControl/>
        <w:numPr>
          <w:ilvl w:val="0"/>
          <w:numId w:val="27"/>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磋商文件规定组织踏勘现场的，采购人按磋商文件规定的时间、地点组织供应商踏勘项目现场。</w:t>
      </w:r>
    </w:p>
    <w:p>
      <w:pPr>
        <w:pStyle w:val="70"/>
        <w:widowControl/>
        <w:numPr>
          <w:ilvl w:val="0"/>
          <w:numId w:val="27"/>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供应商自行承担踏勘现场发生的责任、风险和自身费用。</w:t>
      </w:r>
    </w:p>
    <w:p>
      <w:pPr>
        <w:pStyle w:val="70"/>
        <w:widowControl/>
        <w:numPr>
          <w:ilvl w:val="0"/>
          <w:numId w:val="27"/>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采购人在踏勘现场中介绍的资料和数据等，不构成对磋商文件的修改或不作为供应商编制响应文件的依据。</w:t>
      </w:r>
    </w:p>
    <w:p>
      <w:pPr>
        <w:pStyle w:val="70"/>
        <w:widowControl/>
        <w:numPr>
          <w:ilvl w:val="0"/>
          <w:numId w:val="19"/>
        </w:numPr>
        <w:snapToGrid w:val="0"/>
        <w:spacing w:line="360" w:lineRule="auto"/>
        <w:ind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磋商文件的澄清和修改</w:t>
      </w:r>
    </w:p>
    <w:p>
      <w:pPr>
        <w:pStyle w:val="70"/>
        <w:widowControl/>
        <w:numPr>
          <w:ilvl w:val="0"/>
          <w:numId w:val="28"/>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70"/>
        <w:widowControl/>
        <w:numPr>
          <w:ilvl w:val="0"/>
          <w:numId w:val="28"/>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70"/>
        <w:widowControl/>
        <w:numPr>
          <w:ilvl w:val="0"/>
          <w:numId w:val="28"/>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供应商在规定的时间内未对磋商文件提出疑问、质疑或要求澄清的，将视其为无异议。对磋商文件中描述有歧义或前后不一致的地方，磋商小组有权进行评判，但对同一条款的评判应适用于每个供应商。</w:t>
      </w:r>
    </w:p>
    <w:p>
      <w:pPr>
        <w:pStyle w:val="70"/>
        <w:widowControl/>
        <w:numPr>
          <w:ilvl w:val="0"/>
          <w:numId w:val="19"/>
        </w:numPr>
        <w:snapToGrid w:val="0"/>
        <w:spacing w:line="360" w:lineRule="auto"/>
        <w:ind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响应要求</w:t>
      </w:r>
    </w:p>
    <w:p>
      <w:pPr>
        <w:pStyle w:val="70"/>
        <w:widowControl/>
        <w:numPr>
          <w:ilvl w:val="0"/>
          <w:numId w:val="29"/>
        </w:numPr>
        <w:snapToGrid w:val="0"/>
        <w:spacing w:line="360" w:lineRule="auto"/>
        <w:ind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响应文件的制作</w:t>
      </w:r>
    </w:p>
    <w:p>
      <w:pPr>
        <w:pStyle w:val="70"/>
        <w:widowControl/>
        <w:numPr>
          <w:ilvl w:val="0"/>
          <w:numId w:val="3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应按照“第二章采购需求”的需求内容、责任范围以及合同条款进行报价。并按“首次报价表”和“分项报价表”规定的格式报出总价和分项价格。磋商总价中不得包含磋商文件要求以外的内容，否则，在评审时不予核减。</w:t>
      </w:r>
    </w:p>
    <w:p>
      <w:pPr>
        <w:pStyle w:val="70"/>
        <w:widowControl/>
        <w:numPr>
          <w:ilvl w:val="0"/>
          <w:numId w:val="3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磋商报价包括本项目采购需求和投入使用的所有费用，包括但不限于主件、标准附件、备品备件、施工、服务、专用工具、安装、调试、检验、培训、运输、保险、税款等。</w:t>
      </w:r>
    </w:p>
    <w:p>
      <w:pPr>
        <w:pStyle w:val="70"/>
        <w:widowControl/>
        <w:numPr>
          <w:ilvl w:val="0"/>
          <w:numId w:val="3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磋商报价不得有选择性报价和附有条件的报价，否则将导致响应无效。</w:t>
      </w:r>
    </w:p>
    <w:p>
      <w:pPr>
        <w:pStyle w:val="70"/>
        <w:widowControl/>
        <w:numPr>
          <w:ilvl w:val="0"/>
          <w:numId w:val="3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如有对多个采购包响应的，要对每个采购包独立制作电子响应文件。</w:t>
      </w:r>
    </w:p>
    <w:p>
      <w:pPr>
        <w:pStyle w:val="70"/>
        <w:widowControl/>
        <w:numPr>
          <w:ilvl w:val="0"/>
          <w:numId w:val="3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供应商不得将同一个项目或同一个采购包的内容拆开响应，否则其报价将被视为非实质性响应。</w:t>
      </w:r>
    </w:p>
    <w:p>
      <w:pPr>
        <w:pStyle w:val="70"/>
        <w:widowControl/>
        <w:numPr>
          <w:ilvl w:val="0"/>
          <w:numId w:val="3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供应商须对磋商文件的对应要求给予唯一的实质性响应，否则将视为不响应。</w:t>
      </w:r>
    </w:p>
    <w:p>
      <w:pPr>
        <w:pStyle w:val="70"/>
        <w:widowControl/>
        <w:numPr>
          <w:ilvl w:val="0"/>
          <w:numId w:val="3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磋商文件中，凡标有“</w:t>
      </w:r>
      <w:r>
        <w:rPr>
          <w:rFonts w:ascii="宋体" w:hAnsi="宋体" w:cs="Segoe UI Symbol"/>
          <w:color w:val="auto"/>
          <w:kern w:val="0"/>
          <w:szCs w:val="21"/>
          <w:highlight w:val="none"/>
          <w:lang w:eastAsia="zh-Hans"/>
        </w:rPr>
        <w:t>★</w:t>
      </w:r>
      <w:r>
        <w:rPr>
          <w:rFonts w:ascii="宋体" w:hAnsi="宋体" w:cs="Calibri"/>
          <w:color w:val="auto"/>
          <w:kern w:val="0"/>
          <w:szCs w:val="21"/>
          <w:highlight w:val="none"/>
          <w:lang w:eastAsia="zh-Hans"/>
        </w:rPr>
        <w:t>”</w:t>
      </w:r>
      <w:r>
        <w:rPr>
          <w:rFonts w:ascii="宋体" w:hAnsi="宋体"/>
          <w:color w:val="auto"/>
          <w:kern w:val="0"/>
          <w:szCs w:val="21"/>
          <w:highlight w:val="none"/>
          <w:lang w:eastAsia="zh-Hans"/>
        </w:rPr>
        <w:t>的地方均为实质性响应条款，供应商若有一项带“</w:t>
      </w:r>
      <w:r>
        <w:rPr>
          <w:rFonts w:ascii="宋体" w:hAnsi="宋体" w:cs="Segoe UI Symbol"/>
          <w:color w:val="auto"/>
          <w:kern w:val="0"/>
          <w:szCs w:val="21"/>
          <w:highlight w:val="none"/>
          <w:lang w:eastAsia="zh-Hans"/>
        </w:rPr>
        <w:t>★</w:t>
      </w:r>
      <w:r>
        <w:rPr>
          <w:rFonts w:ascii="宋体" w:hAnsi="宋体" w:cs="Calibri"/>
          <w:color w:val="auto"/>
          <w:kern w:val="0"/>
          <w:szCs w:val="21"/>
          <w:highlight w:val="none"/>
          <w:lang w:eastAsia="zh-Hans"/>
        </w:rPr>
        <w:t>”</w:t>
      </w:r>
      <w:r>
        <w:rPr>
          <w:rFonts w:ascii="宋体" w:hAnsi="宋体"/>
          <w:color w:val="auto"/>
          <w:kern w:val="0"/>
          <w:szCs w:val="21"/>
          <w:highlight w:val="none"/>
          <w:lang w:eastAsia="zh-Hans"/>
        </w:rPr>
        <w:t>的条款未响应或不满足，将按无效响应处理。</w:t>
      </w:r>
    </w:p>
    <w:p>
      <w:pPr>
        <w:pStyle w:val="70"/>
        <w:widowControl/>
        <w:numPr>
          <w:ilvl w:val="0"/>
          <w:numId w:val="3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供应商必须按磋商文件指定的格式填写各种报价，各报价应计算正确。除在磋商文件另有规定外（如：报折扣、报优惠率等），计量单位应使用中华人民共和国法定计量单位，以人民币填报所有报价。</w:t>
      </w:r>
    </w:p>
    <w:p>
      <w:pPr>
        <w:pStyle w:val="70"/>
        <w:widowControl/>
        <w:numPr>
          <w:ilvl w:val="0"/>
          <w:numId w:val="3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70"/>
        <w:widowControl/>
        <w:numPr>
          <w:ilvl w:val="0"/>
          <w:numId w:val="30"/>
        </w:numPr>
        <w:snapToGrid w:val="0"/>
        <w:spacing w:after="312" w:afterLines="100" w:line="360" w:lineRule="auto"/>
        <w:ind w:left="442" w:hanging="442"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70"/>
        <w:widowControl/>
        <w:numPr>
          <w:ilvl w:val="0"/>
          <w:numId w:val="29"/>
        </w:numPr>
        <w:snapToGrid w:val="0"/>
        <w:spacing w:before="156" w:beforeLines="50" w:line="360" w:lineRule="auto"/>
        <w:ind w:left="442" w:hanging="442" w:firstLineChars="0"/>
        <w:contextualSpacing/>
        <w:jc w:val="left"/>
        <w:outlineLvl w:val="3"/>
        <w:rPr>
          <w:rFonts w:ascii="宋体" w:hAnsi="宋体"/>
          <w:color w:val="auto"/>
          <w:kern w:val="0"/>
          <w:szCs w:val="21"/>
          <w:highlight w:val="none"/>
          <w:lang w:eastAsia="zh-Hans"/>
        </w:rPr>
      </w:pPr>
      <w:bookmarkStart w:id="10" w:name="_Toc416771341"/>
      <w:bookmarkStart w:id="11" w:name="_Toc416770231"/>
      <w:bookmarkStart w:id="12" w:name="_Toc410738954"/>
      <w:bookmarkStart w:id="13" w:name="_Toc410736154"/>
      <w:r>
        <w:rPr>
          <w:rFonts w:hint="eastAsia" w:asciiTheme="minorEastAsia" w:hAnsiTheme="minorEastAsia" w:eastAsiaTheme="minorEastAsia"/>
          <w:b/>
          <w:bCs/>
          <w:color w:val="auto"/>
          <w:highlight w:val="none"/>
        </w:rPr>
        <w:t>响应文件的式样和签署</w:t>
      </w:r>
      <w:bookmarkEnd w:id="10"/>
      <w:bookmarkEnd w:id="11"/>
      <w:bookmarkEnd w:id="12"/>
      <w:bookmarkEnd w:id="13"/>
    </w:p>
    <w:p>
      <w:pPr>
        <w:pStyle w:val="70"/>
        <w:numPr>
          <w:ilvl w:val="0"/>
          <w:numId w:val="31"/>
        </w:numPr>
        <w:tabs>
          <w:tab w:val="left" w:pos="567"/>
          <w:tab w:val="left" w:pos="851"/>
        </w:tabs>
        <w:autoSpaceDE w:val="0"/>
        <w:autoSpaceDN w:val="0"/>
        <w:spacing w:line="360" w:lineRule="auto"/>
        <w:ind w:left="567" w:hanging="567" w:firstLineChars="0"/>
        <w:jc w:val="left"/>
        <w:rPr>
          <w:rFonts w:ascii="宋体" w:hAnsi="宋体"/>
          <w:color w:val="auto"/>
          <w:highlight w:val="none"/>
        </w:rPr>
      </w:pPr>
      <w:r>
        <w:rPr>
          <w:rFonts w:hint="eastAsia" w:ascii="宋体" w:hAnsi="宋体"/>
          <w:bCs/>
          <w:color w:val="auto"/>
          <w:szCs w:val="21"/>
          <w:highlight w:val="none"/>
        </w:rPr>
        <w:t>响应文件的式样：供应商应准备一份响应文件正本、电子响应文件和</w:t>
      </w:r>
      <w:r>
        <w:rPr>
          <w:rFonts w:hint="eastAsia" w:ascii="宋体" w:hAnsi="宋体"/>
          <w:b/>
          <w:bCs/>
          <w:color w:val="auto"/>
          <w:szCs w:val="21"/>
          <w:highlight w:val="none"/>
          <w:u w:val="single"/>
        </w:rPr>
        <w:t>磋商须知前附表</w:t>
      </w:r>
      <w:r>
        <w:rPr>
          <w:rFonts w:hint="eastAsia" w:ascii="宋体" w:hAnsi="宋体"/>
          <w:bCs/>
          <w:color w:val="auto"/>
          <w:szCs w:val="21"/>
          <w:highlight w:val="none"/>
        </w:rPr>
        <w:t>中规定数目的副本，响应文件的副本可采用正本的复印件。每套响应文件须清楚地标明“正本”或“副本”。若副本与正本不符，以正本为准。</w:t>
      </w:r>
    </w:p>
    <w:p>
      <w:pPr>
        <w:pStyle w:val="70"/>
        <w:numPr>
          <w:ilvl w:val="0"/>
          <w:numId w:val="31"/>
        </w:numPr>
        <w:tabs>
          <w:tab w:val="left" w:pos="567"/>
          <w:tab w:val="left" w:pos="851"/>
        </w:tabs>
        <w:autoSpaceDE w:val="0"/>
        <w:autoSpaceDN w:val="0"/>
        <w:spacing w:line="360" w:lineRule="auto"/>
        <w:ind w:left="567" w:hanging="567" w:firstLineChars="0"/>
        <w:jc w:val="left"/>
        <w:rPr>
          <w:rFonts w:ascii="宋体" w:hAnsi="宋体" w:cs="宋体"/>
          <w:color w:val="auto"/>
          <w:highlight w:val="none"/>
          <w:lang w:eastAsia="zh-TW"/>
        </w:rPr>
      </w:pPr>
      <w:r>
        <w:rPr>
          <w:rFonts w:hint="eastAsia" w:ascii="宋体" w:hAnsi="宋体" w:cs="宋体"/>
          <w:color w:val="auto"/>
          <w:highlight w:val="none"/>
          <w:lang w:eastAsia="zh-TW"/>
        </w:rPr>
        <w:t>响应文件</w:t>
      </w:r>
      <w:r>
        <w:rPr>
          <w:rFonts w:hint="eastAsia" w:ascii="宋体" w:hAnsi="宋体" w:cs="宋体"/>
          <w:color w:val="auto"/>
          <w:highlight w:val="none"/>
        </w:rPr>
        <w:t>的签署</w:t>
      </w:r>
    </w:p>
    <w:p>
      <w:pPr>
        <w:pStyle w:val="70"/>
        <w:numPr>
          <w:ilvl w:val="0"/>
          <w:numId w:val="32"/>
        </w:numPr>
        <w:tabs>
          <w:tab w:val="left" w:pos="360"/>
          <w:tab w:val="left" w:pos="567"/>
          <w:tab w:val="left" w:pos="851"/>
        </w:tabs>
        <w:autoSpaceDE w:val="0"/>
        <w:autoSpaceDN w:val="0"/>
        <w:spacing w:line="360" w:lineRule="auto"/>
        <w:ind w:left="567" w:hanging="567" w:firstLineChars="0"/>
        <w:rPr>
          <w:rFonts w:ascii="宋体" w:hAnsi="宋体" w:cs="宋体"/>
          <w:color w:val="auto"/>
          <w:highlight w:val="none"/>
          <w:lang w:eastAsia="zh-TW"/>
        </w:rPr>
      </w:pPr>
      <w:r>
        <w:rPr>
          <w:rFonts w:hint="eastAsia" w:ascii="宋体" w:hAnsi="宋体"/>
          <w:bCs/>
          <w:color w:val="auto"/>
          <w:szCs w:val="21"/>
          <w:highlight w:val="none"/>
        </w:rPr>
        <w:t>响应文件的正本需打印或用不褪色墨水书写，响应文件要求签名的由法定代表人或经其正式授权的代表签字，响应文件要求盖章的需加盖供应商公章，副本可由正本复印而成，与正本具有同等法律效力。授权代表须将以书面形式出具的《法定代表人授权委托书》附在响应文件中；</w:t>
      </w:r>
    </w:p>
    <w:p>
      <w:pPr>
        <w:pStyle w:val="70"/>
        <w:numPr>
          <w:ilvl w:val="0"/>
          <w:numId w:val="32"/>
        </w:numPr>
        <w:tabs>
          <w:tab w:val="left" w:pos="360"/>
          <w:tab w:val="left" w:pos="567"/>
          <w:tab w:val="left" w:pos="851"/>
        </w:tabs>
        <w:autoSpaceDE w:val="0"/>
        <w:autoSpaceDN w:val="0"/>
        <w:spacing w:line="360" w:lineRule="auto"/>
        <w:ind w:left="567" w:hanging="567" w:firstLineChars="0"/>
        <w:rPr>
          <w:rFonts w:ascii="宋体" w:hAnsi="宋体" w:cs="宋体"/>
          <w:color w:val="auto"/>
          <w:highlight w:val="none"/>
        </w:rPr>
      </w:pPr>
      <w:r>
        <w:rPr>
          <w:rFonts w:hint="eastAsia" w:ascii="宋体" w:hAnsi="宋体"/>
          <w:bCs/>
          <w:color w:val="auto"/>
          <w:szCs w:val="21"/>
          <w:highlight w:val="none"/>
        </w:rPr>
        <w:t>响应文件中的任何重要的插字、涂改和增删，必须由法定代表人或经其正式授权的代表在旁边签署。</w:t>
      </w:r>
    </w:p>
    <w:p>
      <w:pPr>
        <w:pStyle w:val="70"/>
        <w:numPr>
          <w:ilvl w:val="0"/>
          <w:numId w:val="31"/>
        </w:numPr>
        <w:tabs>
          <w:tab w:val="left" w:pos="567"/>
          <w:tab w:val="left" w:pos="851"/>
        </w:tabs>
        <w:autoSpaceDE w:val="0"/>
        <w:autoSpaceDN w:val="0"/>
        <w:spacing w:line="360" w:lineRule="auto"/>
        <w:ind w:left="567" w:hanging="567" w:firstLineChars="0"/>
        <w:jc w:val="left"/>
        <w:rPr>
          <w:rFonts w:cs="宋体" w:asciiTheme="minorEastAsia" w:hAnsiTheme="minorEastAsia" w:eastAsiaTheme="minorEastAsia"/>
          <w:color w:val="auto"/>
          <w:highlight w:val="none"/>
        </w:rPr>
      </w:pPr>
      <w:r>
        <w:rPr>
          <w:rFonts w:hint="eastAsia" w:ascii="宋体" w:hAnsi="宋体"/>
          <w:bCs/>
          <w:color w:val="auto"/>
          <w:szCs w:val="21"/>
          <w:highlight w:val="none"/>
        </w:rPr>
        <w:t>响应文件的“正本”及所有“副本”的封面及骑缝均须加盖供应商公章。</w:t>
      </w:r>
    </w:p>
    <w:p>
      <w:pPr>
        <w:pStyle w:val="70"/>
        <w:widowControl/>
        <w:numPr>
          <w:ilvl w:val="0"/>
          <w:numId w:val="29"/>
        </w:numPr>
        <w:snapToGrid w:val="0"/>
        <w:spacing w:before="156" w:beforeLines="50" w:line="360" w:lineRule="auto"/>
        <w:ind w:left="442" w:hanging="442" w:firstLineChars="0"/>
        <w:contextualSpacing/>
        <w:jc w:val="left"/>
        <w:outlineLvl w:val="3"/>
        <w:rPr>
          <w:rFonts w:asciiTheme="minorEastAsia" w:hAnsiTheme="minorEastAsia" w:eastAsiaTheme="minorEastAsia"/>
          <w:b/>
          <w:color w:val="auto"/>
          <w:highlight w:val="none"/>
        </w:rPr>
      </w:pPr>
      <w:bookmarkStart w:id="14" w:name="_Toc410738955"/>
      <w:bookmarkStart w:id="15" w:name="_Toc502738627"/>
      <w:bookmarkStart w:id="16" w:name="_Toc410736155"/>
      <w:bookmarkStart w:id="17" w:name="_Toc416770232"/>
      <w:bookmarkStart w:id="18" w:name="_Toc416771342"/>
      <w:r>
        <w:rPr>
          <w:rFonts w:hint="eastAsia" w:asciiTheme="minorEastAsia" w:hAnsiTheme="minorEastAsia" w:eastAsiaTheme="minorEastAsia"/>
          <w:b/>
          <w:bCs/>
          <w:color w:val="auto"/>
          <w:highlight w:val="none"/>
        </w:rPr>
        <w:t>响应文件的递交</w:t>
      </w:r>
      <w:bookmarkEnd w:id="14"/>
      <w:bookmarkEnd w:id="15"/>
      <w:bookmarkEnd w:id="16"/>
      <w:bookmarkEnd w:id="17"/>
      <w:bookmarkEnd w:id="18"/>
    </w:p>
    <w:p>
      <w:pPr>
        <w:pStyle w:val="70"/>
        <w:numPr>
          <w:ilvl w:val="0"/>
          <w:numId w:val="33"/>
        </w:numPr>
        <w:tabs>
          <w:tab w:val="left" w:pos="360"/>
          <w:tab w:val="left" w:pos="709"/>
        </w:tabs>
        <w:autoSpaceDE w:val="0"/>
        <w:autoSpaceDN w:val="0"/>
        <w:spacing w:line="360" w:lineRule="auto"/>
        <w:ind w:hanging="704" w:firstLineChars="0"/>
        <w:rPr>
          <w:rFonts w:asciiTheme="minorEastAsia" w:hAnsiTheme="minorEastAsia" w:eastAsiaTheme="minorEastAsia"/>
          <w:b/>
          <w:bCs/>
          <w:color w:val="auto"/>
          <w:highlight w:val="none"/>
        </w:rPr>
      </w:pPr>
      <w:bookmarkStart w:id="19" w:name="_Toc416771343"/>
      <w:bookmarkStart w:id="20" w:name="_Toc410738956"/>
      <w:bookmarkStart w:id="21" w:name="_Toc416770233"/>
      <w:bookmarkStart w:id="22" w:name="_Toc410736156"/>
      <w:r>
        <w:rPr>
          <w:rFonts w:hint="eastAsia" w:asciiTheme="minorEastAsia" w:hAnsiTheme="minorEastAsia" w:eastAsiaTheme="minorEastAsia"/>
          <w:b/>
          <w:bCs/>
          <w:color w:val="auto"/>
          <w:highlight w:val="none"/>
        </w:rPr>
        <w:t>响应文件的密封和标记</w:t>
      </w:r>
      <w:bookmarkEnd w:id="19"/>
      <w:bookmarkEnd w:id="20"/>
      <w:bookmarkEnd w:id="21"/>
      <w:bookmarkEnd w:id="22"/>
    </w:p>
    <w:p>
      <w:pPr>
        <w:pStyle w:val="70"/>
        <w:numPr>
          <w:ilvl w:val="0"/>
          <w:numId w:val="34"/>
        </w:numPr>
        <w:tabs>
          <w:tab w:val="left" w:pos="360"/>
          <w:tab w:val="left" w:pos="567"/>
        </w:tabs>
        <w:autoSpaceDE w:val="0"/>
        <w:autoSpaceDN w:val="0"/>
        <w:spacing w:line="360" w:lineRule="auto"/>
        <w:ind w:left="567" w:hanging="567" w:firstLineChars="0"/>
        <w:jc w:val="left"/>
        <w:rPr>
          <w:rFonts w:cs="宋体" w:asciiTheme="minorEastAsia" w:hAnsiTheme="minorEastAsia" w:eastAsiaTheme="minorEastAsia"/>
          <w:color w:val="auto"/>
          <w:highlight w:val="none"/>
        </w:rPr>
      </w:pPr>
      <w:r>
        <w:rPr>
          <w:rFonts w:hint="eastAsia" w:asciiTheme="minorEastAsia" w:hAnsiTheme="minorEastAsia" w:eastAsiaTheme="minorEastAsia"/>
          <w:bCs/>
          <w:color w:val="auto"/>
          <w:szCs w:val="21"/>
          <w:highlight w:val="none"/>
        </w:rPr>
        <w:t>供应商应当对响应文件进行装订（所有文件均不允许采用活动夹方式装订），如供应商对磋商文件多个包组进行参加磋商的，其响应文件的编制应按每个包的要求分别装订和封装。</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622"/>
        <w:gridCol w:w="1722"/>
        <w:gridCol w:w="4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7" w:type="pct"/>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1412" w:type="pct"/>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文件名称</w:t>
            </w:r>
          </w:p>
        </w:tc>
        <w:tc>
          <w:tcPr>
            <w:tcW w:w="927" w:type="pct"/>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装订</w:t>
            </w:r>
          </w:p>
        </w:tc>
        <w:tc>
          <w:tcPr>
            <w:tcW w:w="2264" w:type="pct"/>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412" w:type="pct"/>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w:t>
            </w:r>
          </w:p>
        </w:tc>
        <w:tc>
          <w:tcPr>
            <w:tcW w:w="927" w:type="pct"/>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每份独立装订</w:t>
            </w:r>
          </w:p>
        </w:tc>
        <w:tc>
          <w:tcPr>
            <w:tcW w:w="2264" w:type="pct"/>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正本、副本、电子响应文件一起密封包装</w:t>
            </w:r>
          </w:p>
        </w:tc>
      </w:tr>
    </w:tbl>
    <w:p>
      <w:pPr>
        <w:pStyle w:val="70"/>
        <w:numPr>
          <w:ilvl w:val="0"/>
          <w:numId w:val="34"/>
        </w:numPr>
        <w:tabs>
          <w:tab w:val="left" w:pos="360"/>
          <w:tab w:val="left" w:pos="567"/>
        </w:tabs>
        <w:autoSpaceDE w:val="0"/>
        <w:autoSpaceDN w:val="0"/>
        <w:spacing w:line="360" w:lineRule="auto"/>
        <w:ind w:left="567" w:hanging="567" w:firstLineChars="0"/>
        <w:jc w:val="left"/>
        <w:rPr>
          <w:rFonts w:ascii="宋体" w:hAnsi="宋体"/>
          <w:bCs/>
          <w:color w:val="auto"/>
          <w:szCs w:val="21"/>
          <w:highlight w:val="none"/>
        </w:rPr>
      </w:pPr>
      <w:r>
        <w:rPr>
          <w:rFonts w:hint="eastAsia" w:ascii="宋体" w:hAnsi="宋体"/>
          <w:bCs/>
          <w:color w:val="auto"/>
          <w:szCs w:val="21"/>
          <w:highlight w:val="none"/>
        </w:rPr>
        <w:t>电子响应文件</w:t>
      </w:r>
      <w:bookmarkStart w:id="23" w:name="_Hlk86740118"/>
      <w:r>
        <w:rPr>
          <w:rFonts w:hint="eastAsia" w:ascii="宋体" w:hAnsi="宋体"/>
          <w:bCs/>
          <w:color w:val="auto"/>
          <w:szCs w:val="21"/>
          <w:highlight w:val="none"/>
        </w:rPr>
        <w:t>须同时提交以下文件</w:t>
      </w:r>
      <w:bookmarkEnd w:id="23"/>
      <w:r>
        <w:rPr>
          <w:rFonts w:hint="eastAsia" w:ascii="宋体" w:hAnsi="宋体"/>
          <w:bCs/>
          <w:color w:val="auto"/>
          <w:szCs w:val="21"/>
          <w:highlight w:val="none"/>
        </w:rPr>
        <w:t>：</w:t>
      </w:r>
      <w:bookmarkStart w:id="24" w:name="_Hlk86740096"/>
      <w:r>
        <w:rPr>
          <w:rFonts w:hint="eastAsia" w:ascii="宋体" w:hAnsi="宋体"/>
          <w:bCs/>
          <w:color w:val="auto"/>
          <w:szCs w:val="21"/>
          <w:highlight w:val="none"/>
        </w:rPr>
        <w:t>①可编辑的WORD或 EXCEL 格式文件。②按磋商文件要求签署、盖章后的正本响应文件扫描成PDF格式文件。</w:t>
      </w:r>
      <w:r>
        <w:rPr>
          <w:rFonts w:ascii="宋体" w:hAnsi="宋体"/>
          <w:bCs/>
          <w:color w:val="auto"/>
          <w:szCs w:val="21"/>
          <w:highlight w:val="none"/>
        </w:rPr>
        <w:t>电子文件</w:t>
      </w:r>
      <w:r>
        <w:rPr>
          <w:rFonts w:hint="eastAsia" w:ascii="宋体" w:hAnsi="宋体"/>
          <w:bCs/>
          <w:color w:val="auto"/>
          <w:szCs w:val="21"/>
          <w:highlight w:val="none"/>
        </w:rPr>
        <w:t>由</w:t>
      </w:r>
      <w:r>
        <w:rPr>
          <w:rFonts w:ascii="宋体" w:hAnsi="宋体"/>
          <w:bCs/>
          <w:color w:val="auto"/>
          <w:szCs w:val="21"/>
          <w:highlight w:val="none"/>
        </w:rPr>
        <w:t>CD-R光盘</w:t>
      </w:r>
      <w:r>
        <w:rPr>
          <w:rFonts w:hint="eastAsia" w:ascii="宋体" w:hAnsi="宋体"/>
          <w:bCs/>
          <w:color w:val="auto"/>
          <w:szCs w:val="21"/>
          <w:highlight w:val="none"/>
        </w:rPr>
        <w:t>或U盘</w:t>
      </w:r>
      <w:r>
        <w:rPr>
          <w:rFonts w:ascii="宋体" w:hAnsi="宋体"/>
          <w:bCs/>
          <w:color w:val="auto"/>
          <w:szCs w:val="21"/>
          <w:highlight w:val="none"/>
        </w:rPr>
        <w:t>储存</w:t>
      </w:r>
      <w:bookmarkEnd w:id="24"/>
      <w:r>
        <w:rPr>
          <w:rFonts w:hint="eastAsia" w:ascii="宋体" w:hAnsi="宋体"/>
          <w:bCs/>
          <w:color w:val="auto"/>
          <w:szCs w:val="21"/>
          <w:highlight w:val="none"/>
        </w:rPr>
        <w:t>。</w:t>
      </w:r>
    </w:p>
    <w:p>
      <w:pPr>
        <w:pStyle w:val="70"/>
        <w:numPr>
          <w:ilvl w:val="0"/>
          <w:numId w:val="34"/>
        </w:numPr>
        <w:tabs>
          <w:tab w:val="left" w:pos="360"/>
          <w:tab w:val="left" w:pos="567"/>
        </w:tabs>
        <w:autoSpaceDE w:val="0"/>
        <w:autoSpaceDN w:val="0"/>
        <w:spacing w:line="360" w:lineRule="auto"/>
        <w:ind w:left="567" w:hanging="567" w:firstLineChars="0"/>
        <w:jc w:val="left"/>
        <w:rPr>
          <w:rFonts w:asciiTheme="minorEastAsia" w:hAnsiTheme="minorEastAsia" w:eastAsiaTheme="minorEastAsia"/>
          <w:color w:val="auto"/>
          <w:highlight w:val="none"/>
        </w:rPr>
      </w:pPr>
      <w:bookmarkStart w:id="25" w:name="_Hlk90987241"/>
      <w:r>
        <w:rPr>
          <w:rFonts w:hint="eastAsia" w:ascii="宋体" w:hAnsi="宋体"/>
          <w:bCs/>
          <w:color w:val="auto"/>
          <w:szCs w:val="21"/>
          <w:highlight w:val="none"/>
        </w:rPr>
        <w:t>供应商应将响应文件（含正、副本）、电子响应文件一起密封包装一起密封包装，且在信封上标明“响应文件</w:t>
      </w:r>
      <w:r>
        <w:rPr>
          <w:rFonts w:ascii="宋体" w:hAnsi="宋体"/>
          <w:bCs/>
          <w:color w:val="auto"/>
          <w:szCs w:val="21"/>
          <w:highlight w:val="none"/>
        </w:rPr>
        <w:t>”</w:t>
      </w:r>
      <w:r>
        <w:rPr>
          <w:rFonts w:hint="eastAsia" w:ascii="宋体" w:hAnsi="宋体"/>
          <w:bCs/>
          <w:color w:val="auto"/>
          <w:szCs w:val="21"/>
          <w:highlight w:val="none"/>
        </w:rPr>
        <w:t>的字</w:t>
      </w:r>
      <w:r>
        <w:rPr>
          <w:rFonts w:hint="eastAsia" w:asciiTheme="minorEastAsia" w:hAnsiTheme="minorEastAsia" w:eastAsiaTheme="minorEastAsia"/>
          <w:bCs/>
          <w:color w:val="auto"/>
          <w:szCs w:val="21"/>
          <w:highlight w:val="none"/>
        </w:rPr>
        <w:t>样。</w:t>
      </w:r>
    </w:p>
    <w:bookmarkEnd w:id="25"/>
    <w:p>
      <w:pPr>
        <w:pStyle w:val="70"/>
        <w:widowControl/>
        <w:numPr>
          <w:ilvl w:val="0"/>
          <w:numId w:val="29"/>
        </w:numPr>
        <w:snapToGrid w:val="0"/>
        <w:spacing w:before="156" w:beforeLines="50" w:line="360" w:lineRule="auto"/>
        <w:ind w:left="442" w:hanging="442" w:firstLineChars="0"/>
        <w:contextualSpacing/>
        <w:jc w:val="left"/>
        <w:outlineLvl w:val="3"/>
        <w:rPr>
          <w:rFonts w:asciiTheme="minorEastAsia" w:hAnsiTheme="minorEastAsia" w:eastAsiaTheme="minorEastAsia"/>
          <w:b/>
          <w:bCs/>
          <w:color w:val="auto"/>
          <w:highlight w:val="none"/>
        </w:rPr>
      </w:pPr>
      <w:bookmarkStart w:id="26" w:name="_Toc416771344"/>
      <w:bookmarkStart w:id="27" w:name="_Toc410736157"/>
      <w:bookmarkStart w:id="28" w:name="_Toc416770234"/>
      <w:bookmarkStart w:id="29" w:name="_Toc410738957"/>
      <w:r>
        <w:rPr>
          <w:rFonts w:hint="eastAsia" w:asciiTheme="minorEastAsia" w:hAnsiTheme="minorEastAsia" w:eastAsiaTheme="minorEastAsia"/>
          <w:b/>
          <w:bCs/>
          <w:color w:val="auto"/>
          <w:highlight w:val="none"/>
        </w:rPr>
        <w:t>响应文件包装密封</w:t>
      </w:r>
    </w:p>
    <w:p>
      <w:pPr>
        <w:pStyle w:val="70"/>
        <w:numPr>
          <w:ilvl w:val="0"/>
          <w:numId w:val="35"/>
        </w:numPr>
        <w:tabs>
          <w:tab w:val="left" w:pos="360"/>
        </w:tabs>
        <w:autoSpaceDE w:val="0"/>
        <w:autoSpaceDN w:val="0"/>
        <w:spacing w:line="360" w:lineRule="auto"/>
        <w:ind w:left="567" w:hanging="567" w:firstLineChars="0"/>
        <w:jc w:val="left"/>
        <w:rPr>
          <w:rFonts w:ascii="宋体" w:hAnsi="宋体"/>
          <w:b/>
          <w:bCs/>
          <w:color w:val="auto"/>
          <w:highlight w:val="none"/>
        </w:rPr>
      </w:pPr>
      <w:r>
        <w:rPr>
          <w:rFonts w:hint="eastAsia" w:ascii="宋体" w:hAnsi="宋体"/>
          <w:bCs/>
          <w:color w:val="auto"/>
          <w:szCs w:val="21"/>
          <w:highlight w:val="none"/>
        </w:rPr>
        <w:t>供应商应将响应文件密封包装；</w:t>
      </w:r>
    </w:p>
    <w:p>
      <w:pPr>
        <w:pStyle w:val="70"/>
        <w:numPr>
          <w:ilvl w:val="0"/>
          <w:numId w:val="35"/>
        </w:numPr>
        <w:tabs>
          <w:tab w:val="left" w:pos="360"/>
        </w:tabs>
        <w:autoSpaceDE w:val="0"/>
        <w:autoSpaceDN w:val="0"/>
        <w:spacing w:line="360" w:lineRule="auto"/>
        <w:ind w:left="567" w:hanging="567" w:firstLineChars="0"/>
        <w:jc w:val="left"/>
        <w:rPr>
          <w:rFonts w:ascii="宋体" w:hAnsi="宋体"/>
          <w:b/>
          <w:bCs/>
          <w:color w:val="auto"/>
          <w:highlight w:val="none"/>
        </w:rPr>
      </w:pPr>
      <w:r>
        <w:rPr>
          <w:rFonts w:hint="eastAsia" w:ascii="宋体" w:hAnsi="宋体"/>
          <w:bCs/>
          <w:color w:val="auto"/>
          <w:szCs w:val="21"/>
          <w:highlight w:val="none"/>
        </w:rPr>
        <w:t>不足以造成响应文件可从外包装内散出而导致响应文件泄密的，不认定为响应文件未密封。</w:t>
      </w:r>
    </w:p>
    <w:p>
      <w:pPr>
        <w:pStyle w:val="70"/>
        <w:numPr>
          <w:ilvl w:val="0"/>
          <w:numId w:val="35"/>
        </w:numPr>
        <w:tabs>
          <w:tab w:val="left" w:pos="360"/>
        </w:tabs>
        <w:autoSpaceDE w:val="0"/>
        <w:autoSpaceDN w:val="0"/>
        <w:spacing w:line="360" w:lineRule="auto"/>
        <w:ind w:left="567" w:hanging="567" w:firstLineChars="0"/>
        <w:jc w:val="left"/>
        <w:rPr>
          <w:rFonts w:ascii="宋体" w:hAnsi="宋体"/>
          <w:b/>
          <w:bCs/>
          <w:color w:val="auto"/>
          <w:highlight w:val="none"/>
        </w:rPr>
      </w:pPr>
      <w:r>
        <w:rPr>
          <w:rFonts w:hint="eastAsia" w:ascii="宋体" w:hAnsi="宋体"/>
          <w:bCs/>
          <w:color w:val="auto"/>
          <w:szCs w:val="21"/>
          <w:highlight w:val="none"/>
        </w:rPr>
        <w:t>包装封套均应注明：</w:t>
      </w:r>
    </w:p>
    <w:p>
      <w:pPr>
        <w:autoSpaceDE w:val="0"/>
        <w:autoSpaceDN w:val="0"/>
        <w:spacing w:line="360" w:lineRule="auto"/>
        <w:ind w:firstLine="424" w:firstLineChars="202"/>
        <w:jc w:val="left"/>
        <w:rPr>
          <w:rFonts w:ascii="宋体" w:hAnsi="宋体"/>
          <w:bCs/>
          <w:color w:val="auto"/>
          <w:highlight w:val="none"/>
        </w:rPr>
      </w:pPr>
      <w:r>
        <w:rPr>
          <w:rFonts w:hint="eastAsia" w:ascii="宋体" w:hAnsi="宋体"/>
          <w:bCs/>
          <w:color w:val="auto"/>
          <w:highlight w:val="none"/>
        </w:rPr>
        <w:t>收件人名称：</w:t>
      </w:r>
      <w:r>
        <w:rPr>
          <w:rFonts w:hint="eastAsia" w:ascii="宋体" w:hAnsi="宋体"/>
          <w:bCs/>
          <w:color w:val="auto"/>
          <w:highlight w:val="none"/>
          <w:u w:val="single"/>
        </w:rPr>
        <w:t xml:space="preserve">广东智汇城市招标采购有限公司   </w:t>
      </w:r>
    </w:p>
    <w:p>
      <w:pPr>
        <w:autoSpaceDE w:val="0"/>
        <w:autoSpaceDN w:val="0"/>
        <w:spacing w:line="360" w:lineRule="auto"/>
        <w:ind w:firstLine="424" w:firstLineChars="202"/>
        <w:jc w:val="left"/>
        <w:rPr>
          <w:rFonts w:ascii="宋体" w:hAnsi="宋体"/>
          <w:bCs/>
          <w:color w:val="auto"/>
          <w:highlight w:val="none"/>
        </w:rPr>
      </w:pPr>
      <w:r>
        <w:rPr>
          <w:rFonts w:hint="eastAsia" w:ascii="宋体" w:hAnsi="宋体"/>
          <w:bCs/>
          <w:color w:val="auto"/>
          <w:highlight w:val="none"/>
        </w:rPr>
        <w:t>供应商名称：</w:t>
      </w:r>
      <w:r>
        <w:rPr>
          <w:rFonts w:hint="eastAsia" w:ascii="宋体" w:hAnsi="宋体"/>
          <w:bCs/>
          <w:color w:val="auto"/>
          <w:highlight w:val="none"/>
          <w:u w:val="single"/>
        </w:rPr>
        <w:t xml:space="preserve">                           </w:t>
      </w:r>
    </w:p>
    <w:p>
      <w:pPr>
        <w:autoSpaceDE w:val="0"/>
        <w:autoSpaceDN w:val="0"/>
        <w:spacing w:line="360" w:lineRule="auto"/>
        <w:ind w:firstLine="424" w:firstLineChars="202"/>
        <w:jc w:val="left"/>
        <w:rPr>
          <w:rFonts w:ascii="宋体" w:hAnsi="宋体"/>
          <w:bCs/>
          <w:color w:val="auto"/>
          <w:highlight w:val="none"/>
        </w:rPr>
      </w:pPr>
      <w:r>
        <w:rPr>
          <w:rFonts w:hint="eastAsia" w:ascii="宋体" w:hAnsi="宋体"/>
          <w:bCs/>
          <w:color w:val="auto"/>
          <w:highlight w:val="none"/>
        </w:rPr>
        <w:t>项目名称：</w:t>
      </w:r>
      <w:r>
        <w:rPr>
          <w:rFonts w:hint="eastAsia" w:ascii="宋体" w:hAnsi="宋体"/>
          <w:bCs/>
          <w:color w:val="auto"/>
          <w:highlight w:val="none"/>
          <w:u w:val="single"/>
        </w:rPr>
        <w:t xml:space="preserve">        （详见磋商邀请）         </w:t>
      </w:r>
    </w:p>
    <w:p>
      <w:pPr>
        <w:autoSpaceDE w:val="0"/>
        <w:autoSpaceDN w:val="0"/>
        <w:spacing w:line="360" w:lineRule="auto"/>
        <w:ind w:firstLine="424" w:firstLineChars="202"/>
        <w:jc w:val="left"/>
        <w:rPr>
          <w:rFonts w:ascii="宋体" w:hAnsi="宋体"/>
          <w:bCs/>
          <w:color w:val="auto"/>
          <w:highlight w:val="none"/>
        </w:rPr>
      </w:pPr>
      <w:r>
        <w:rPr>
          <w:rFonts w:hint="eastAsia" w:ascii="宋体" w:hAnsi="宋体"/>
          <w:bCs/>
          <w:color w:val="auto"/>
          <w:highlight w:val="none"/>
        </w:rPr>
        <w:t>项目编号：</w:t>
      </w:r>
      <w:r>
        <w:rPr>
          <w:rFonts w:hint="eastAsia" w:ascii="宋体" w:hAnsi="宋体"/>
          <w:bCs/>
          <w:color w:val="auto"/>
          <w:highlight w:val="none"/>
          <w:u w:val="single"/>
        </w:rPr>
        <w:t xml:space="preserve">        （详见磋商邀请）         </w:t>
      </w:r>
    </w:p>
    <w:p>
      <w:pPr>
        <w:autoSpaceDE w:val="0"/>
        <w:autoSpaceDN w:val="0"/>
        <w:spacing w:line="360" w:lineRule="auto"/>
        <w:ind w:firstLine="424" w:firstLineChars="202"/>
        <w:jc w:val="left"/>
        <w:rPr>
          <w:rFonts w:asciiTheme="minorEastAsia" w:hAnsiTheme="minorEastAsia" w:eastAsiaTheme="minorEastAsia"/>
          <w:bCs/>
          <w:color w:val="auto"/>
          <w:highlight w:val="none"/>
        </w:rPr>
      </w:pPr>
      <w:r>
        <w:rPr>
          <w:rFonts w:hint="eastAsia" w:ascii="宋体" w:hAnsi="宋体"/>
          <w:bCs/>
          <w:color w:val="auto"/>
          <w:highlight w:val="none"/>
        </w:rPr>
        <w:t>注明：“</w:t>
      </w:r>
      <w:r>
        <w:rPr>
          <w:rFonts w:hint="eastAsia" w:ascii="宋体" w:hAnsi="宋体"/>
          <w:bCs/>
          <w:color w:val="auto"/>
          <w:highlight w:val="none"/>
          <w:u w:val="single"/>
        </w:rPr>
        <w:t xml:space="preserve">于  年  月  日北京时间  ： </w:t>
      </w:r>
      <w:r>
        <w:rPr>
          <w:rFonts w:ascii="宋体" w:hAnsi="宋体"/>
          <w:bCs/>
          <w:color w:val="auto"/>
          <w:highlight w:val="none"/>
          <w:u w:val="single"/>
        </w:rPr>
        <w:t xml:space="preserve"> </w:t>
      </w:r>
      <w:r>
        <w:rPr>
          <w:rFonts w:hint="eastAsia" w:ascii="宋体" w:hAnsi="宋体"/>
          <w:bCs/>
          <w:color w:val="auto"/>
          <w:highlight w:val="none"/>
        </w:rPr>
        <w:t>（详见磋商邀请）之前不得启封”的字样。</w:t>
      </w:r>
    </w:p>
    <w:p>
      <w:pPr>
        <w:pStyle w:val="70"/>
        <w:numPr>
          <w:ilvl w:val="0"/>
          <w:numId w:val="35"/>
        </w:numPr>
        <w:tabs>
          <w:tab w:val="left" w:pos="360"/>
        </w:tabs>
        <w:autoSpaceDE w:val="0"/>
        <w:autoSpaceDN w:val="0"/>
        <w:spacing w:line="360" w:lineRule="auto"/>
        <w:ind w:left="567" w:hanging="567" w:firstLineChars="0"/>
        <w:jc w:val="left"/>
        <w:rPr>
          <w:rFonts w:asciiTheme="minorEastAsia" w:hAnsiTheme="minorEastAsia" w:eastAsiaTheme="minorEastAsia"/>
          <w:b/>
          <w:bCs/>
          <w:color w:val="auto"/>
          <w:highlight w:val="none"/>
        </w:rPr>
      </w:pPr>
      <w:r>
        <w:rPr>
          <w:rFonts w:hint="eastAsia" w:asciiTheme="minorEastAsia" w:hAnsiTheme="minorEastAsia" w:eastAsiaTheme="minorEastAsia"/>
          <w:bCs/>
          <w:color w:val="auto"/>
          <w:spacing w:val="-4"/>
          <w:szCs w:val="21"/>
          <w:highlight w:val="none"/>
        </w:rPr>
        <w:t>如果未按本须知上款要求加写标记和密封，采购代理机构对误投或提前启封概不负责。</w:t>
      </w:r>
    </w:p>
    <w:p>
      <w:pPr>
        <w:pStyle w:val="70"/>
        <w:widowControl/>
        <w:numPr>
          <w:ilvl w:val="0"/>
          <w:numId w:val="29"/>
        </w:numPr>
        <w:snapToGrid w:val="0"/>
        <w:spacing w:before="312" w:beforeLines="100" w:line="360" w:lineRule="auto"/>
        <w:ind w:left="442" w:hanging="442" w:firstLineChars="0"/>
        <w:contextualSpacing/>
        <w:jc w:val="left"/>
        <w:outlineLvl w:val="3"/>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响应文件递交截止期</w:t>
      </w:r>
      <w:bookmarkEnd w:id="26"/>
      <w:bookmarkEnd w:id="27"/>
      <w:bookmarkEnd w:id="28"/>
      <w:bookmarkEnd w:id="29"/>
    </w:p>
    <w:p>
      <w:pPr>
        <w:pStyle w:val="70"/>
        <w:numPr>
          <w:ilvl w:val="0"/>
          <w:numId w:val="36"/>
        </w:numPr>
        <w:tabs>
          <w:tab w:val="left" w:pos="567"/>
        </w:tabs>
        <w:autoSpaceDE w:val="0"/>
        <w:autoSpaceDN w:val="0"/>
        <w:spacing w:line="360" w:lineRule="auto"/>
        <w:ind w:left="426" w:hanging="426" w:firstLineChars="0"/>
        <w:jc w:val="left"/>
        <w:rPr>
          <w:rFonts w:asciiTheme="minorEastAsia" w:hAnsiTheme="minorEastAsia" w:eastAsiaTheme="minorEastAsia"/>
          <w:color w:val="auto"/>
          <w:highlight w:val="none"/>
        </w:rPr>
      </w:pPr>
      <w:r>
        <w:rPr>
          <w:rFonts w:hint="eastAsia" w:asciiTheme="minorEastAsia" w:hAnsiTheme="minorEastAsia" w:eastAsiaTheme="minorEastAsia"/>
          <w:bCs/>
          <w:color w:val="auto"/>
          <w:szCs w:val="21"/>
          <w:highlight w:val="none"/>
        </w:rPr>
        <w:t>供应商应在不迟于</w:t>
      </w:r>
      <w:r>
        <w:rPr>
          <w:rFonts w:hint="eastAsia" w:asciiTheme="minorEastAsia" w:hAnsiTheme="minorEastAsia" w:eastAsiaTheme="minorEastAsia"/>
          <w:b/>
          <w:bCs/>
          <w:color w:val="auto"/>
          <w:szCs w:val="21"/>
          <w:highlight w:val="none"/>
          <w:u w:val="single"/>
        </w:rPr>
        <w:t>磋商邀请</w:t>
      </w:r>
      <w:r>
        <w:rPr>
          <w:rFonts w:hint="eastAsia" w:asciiTheme="minorEastAsia" w:hAnsiTheme="minorEastAsia" w:eastAsiaTheme="minorEastAsia"/>
          <w:bCs/>
          <w:color w:val="auto"/>
          <w:szCs w:val="21"/>
          <w:highlight w:val="none"/>
        </w:rPr>
        <w:t>中规定的截止日期和时间将响应文件递交至采购代理机构，递交地点应是</w:t>
      </w:r>
      <w:r>
        <w:rPr>
          <w:rFonts w:hint="eastAsia" w:asciiTheme="minorEastAsia" w:hAnsiTheme="minorEastAsia" w:eastAsiaTheme="minorEastAsia"/>
          <w:b/>
          <w:bCs/>
          <w:color w:val="auto"/>
          <w:szCs w:val="21"/>
          <w:highlight w:val="none"/>
          <w:u w:val="single"/>
        </w:rPr>
        <w:t>磋商邀请</w:t>
      </w:r>
      <w:r>
        <w:rPr>
          <w:rFonts w:hint="eastAsia" w:asciiTheme="minorEastAsia" w:hAnsiTheme="minorEastAsia" w:eastAsiaTheme="minorEastAsia"/>
          <w:bCs/>
          <w:color w:val="auto"/>
          <w:szCs w:val="21"/>
          <w:highlight w:val="none"/>
        </w:rPr>
        <w:t>中指明的地址。</w:t>
      </w:r>
    </w:p>
    <w:p>
      <w:pPr>
        <w:pStyle w:val="70"/>
        <w:numPr>
          <w:ilvl w:val="0"/>
          <w:numId w:val="36"/>
        </w:numPr>
        <w:tabs>
          <w:tab w:val="left" w:pos="567"/>
        </w:tabs>
        <w:autoSpaceDE w:val="0"/>
        <w:autoSpaceDN w:val="0"/>
        <w:spacing w:line="360" w:lineRule="auto"/>
        <w:ind w:left="426" w:hanging="426" w:firstLineChars="0"/>
        <w:jc w:val="left"/>
        <w:rPr>
          <w:rFonts w:asciiTheme="minorEastAsia" w:hAnsiTheme="minorEastAsia" w:eastAsiaTheme="minorEastAsia"/>
          <w:color w:val="auto"/>
          <w:highlight w:val="none"/>
        </w:rPr>
      </w:pPr>
      <w:r>
        <w:rPr>
          <w:rFonts w:hint="eastAsia" w:asciiTheme="minorEastAsia" w:hAnsiTheme="minorEastAsia" w:eastAsiaTheme="minorEastAsia"/>
          <w:bCs/>
          <w:color w:val="auto"/>
          <w:szCs w:val="21"/>
          <w:highlight w:val="none"/>
        </w:rPr>
        <w:t>为使供应商准备磋商时有充分时间对磋商文件的修改部分进行研究，采购代理机构可适当推迟磋商截止期，但应发布公告并书面通知所有获取磋商文件的潜在供应商。在此情况下，采购人和供应商受磋商截止期制约的所有权利和义务均应延长至新的截止期。</w:t>
      </w:r>
    </w:p>
    <w:p>
      <w:pPr>
        <w:pStyle w:val="70"/>
        <w:numPr>
          <w:ilvl w:val="0"/>
          <w:numId w:val="36"/>
        </w:numPr>
        <w:tabs>
          <w:tab w:val="left" w:pos="567"/>
        </w:tabs>
        <w:autoSpaceDE w:val="0"/>
        <w:autoSpaceDN w:val="0"/>
        <w:spacing w:line="360" w:lineRule="auto"/>
        <w:ind w:left="426" w:hanging="426" w:firstLineChars="0"/>
        <w:jc w:val="left"/>
        <w:rPr>
          <w:rFonts w:asciiTheme="minorEastAsia" w:hAnsiTheme="minorEastAsia" w:eastAsiaTheme="minorEastAsia"/>
          <w:color w:val="auto"/>
          <w:highlight w:val="none"/>
        </w:rPr>
      </w:pPr>
      <w:r>
        <w:rPr>
          <w:rFonts w:hint="eastAsia" w:asciiTheme="minorEastAsia" w:hAnsiTheme="minorEastAsia" w:eastAsiaTheme="minorEastAsia"/>
          <w:bCs/>
          <w:color w:val="auto"/>
          <w:szCs w:val="21"/>
          <w:highlight w:val="none"/>
        </w:rPr>
        <w:t>采购代理机构将拒绝在规定的磋商截止期后收到的任何响应文件。</w:t>
      </w:r>
    </w:p>
    <w:p>
      <w:pPr>
        <w:pStyle w:val="70"/>
        <w:widowControl/>
        <w:numPr>
          <w:ilvl w:val="0"/>
          <w:numId w:val="29"/>
        </w:numPr>
        <w:snapToGrid w:val="0"/>
        <w:spacing w:before="156" w:beforeLines="50" w:line="360" w:lineRule="auto"/>
        <w:ind w:left="442" w:hanging="442" w:firstLineChars="0"/>
        <w:contextualSpacing/>
        <w:jc w:val="left"/>
        <w:outlineLvl w:val="3"/>
        <w:rPr>
          <w:rFonts w:ascii="宋体" w:hAnsi="宋体"/>
          <w:color w:val="auto"/>
          <w:kern w:val="0"/>
          <w:szCs w:val="21"/>
          <w:highlight w:val="none"/>
          <w:lang w:eastAsia="zh-Hans"/>
        </w:rPr>
      </w:pPr>
      <w:r>
        <w:rPr>
          <w:rFonts w:asciiTheme="minorEastAsia" w:hAnsiTheme="minorEastAsia" w:eastAsiaTheme="minorEastAsia"/>
          <w:b/>
          <w:bCs/>
          <w:color w:val="auto"/>
          <w:highlight w:val="none"/>
        </w:rPr>
        <w:t>响应文件的修改、撤回与撤销</w:t>
      </w:r>
    </w:p>
    <w:p>
      <w:pPr>
        <w:pStyle w:val="70"/>
        <w:widowControl/>
        <w:numPr>
          <w:ilvl w:val="0"/>
          <w:numId w:val="37"/>
        </w:numPr>
        <w:snapToGrid w:val="0"/>
        <w:spacing w:line="360" w:lineRule="auto"/>
        <w:ind w:left="426" w:hanging="426"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70"/>
        <w:widowControl/>
        <w:numPr>
          <w:ilvl w:val="0"/>
          <w:numId w:val="37"/>
        </w:numPr>
        <w:snapToGrid w:val="0"/>
        <w:spacing w:line="360" w:lineRule="auto"/>
        <w:ind w:left="426" w:hanging="426"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在提交响应文件截止时间后，供应商不得补充、修改和更换响应文件。</w:t>
      </w:r>
    </w:p>
    <w:p>
      <w:pPr>
        <w:pStyle w:val="70"/>
        <w:widowControl/>
        <w:numPr>
          <w:ilvl w:val="0"/>
          <w:numId w:val="29"/>
        </w:numPr>
        <w:snapToGrid w:val="0"/>
        <w:spacing w:before="156" w:beforeLines="50" w:line="360" w:lineRule="auto"/>
        <w:ind w:left="442" w:hanging="442"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响应保证金</w:t>
      </w:r>
      <w:r>
        <w:rPr>
          <w:rFonts w:hint="eastAsia"/>
          <w:b/>
          <w:color w:val="auto"/>
          <w:kern w:val="0"/>
          <w:szCs w:val="21"/>
          <w:highlight w:val="none"/>
        </w:rPr>
        <w:t>：本项目不收取</w:t>
      </w:r>
      <w:r>
        <w:rPr>
          <w:rFonts w:ascii="宋体" w:hAnsi="宋体"/>
          <w:b/>
          <w:color w:val="auto"/>
          <w:kern w:val="0"/>
          <w:szCs w:val="21"/>
          <w:highlight w:val="none"/>
          <w:lang w:eastAsia="zh-Hans"/>
        </w:rPr>
        <w:t>响应</w:t>
      </w:r>
      <w:r>
        <w:rPr>
          <w:rFonts w:hint="eastAsia"/>
          <w:b/>
          <w:color w:val="auto"/>
          <w:kern w:val="0"/>
          <w:szCs w:val="21"/>
          <w:highlight w:val="none"/>
        </w:rPr>
        <w:t>保证金。</w:t>
      </w:r>
    </w:p>
    <w:p>
      <w:pPr>
        <w:pStyle w:val="70"/>
        <w:widowControl/>
        <w:numPr>
          <w:ilvl w:val="0"/>
          <w:numId w:val="29"/>
        </w:numPr>
        <w:snapToGrid w:val="0"/>
        <w:spacing w:before="156" w:beforeLines="50" w:line="360" w:lineRule="auto"/>
        <w:ind w:left="442" w:hanging="442"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响应有效期</w:t>
      </w:r>
    </w:p>
    <w:p>
      <w:pPr>
        <w:pStyle w:val="70"/>
        <w:widowControl/>
        <w:numPr>
          <w:ilvl w:val="0"/>
          <w:numId w:val="38"/>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响应有效期内供应商撤销响应文件的，采购人或者采购代理机构可以不退还响应保证金（如有）。采用响应保函方式替代保证金的，采购人或者采购代理机构可以向担保机构索赔保证金。</w:t>
      </w:r>
    </w:p>
    <w:p>
      <w:pPr>
        <w:pStyle w:val="70"/>
        <w:widowControl/>
        <w:numPr>
          <w:ilvl w:val="0"/>
          <w:numId w:val="38"/>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70"/>
        <w:widowControl/>
        <w:numPr>
          <w:ilvl w:val="0"/>
          <w:numId w:val="29"/>
        </w:numPr>
        <w:snapToGrid w:val="0"/>
        <w:spacing w:before="156" w:beforeLines="50" w:line="360" w:lineRule="auto"/>
        <w:ind w:left="442" w:hanging="442"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样品（演示）</w:t>
      </w:r>
    </w:p>
    <w:p>
      <w:pPr>
        <w:pStyle w:val="70"/>
        <w:widowControl/>
        <w:numPr>
          <w:ilvl w:val="0"/>
          <w:numId w:val="39"/>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磋商文件规定供应商提交样品的，样品属于响应文件的组成部分。样品的生产、运输、安装、保全等一切费用由供应商自理。</w:t>
      </w:r>
    </w:p>
    <w:p>
      <w:pPr>
        <w:pStyle w:val="70"/>
        <w:widowControl/>
        <w:numPr>
          <w:ilvl w:val="0"/>
          <w:numId w:val="39"/>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递交响应文件截止时间前，供应商应将样品送达至指定地点。若需要现场演示的，供应商应提前做好演示准备（包括演示设备）。</w:t>
      </w:r>
    </w:p>
    <w:p>
      <w:pPr>
        <w:pStyle w:val="70"/>
        <w:widowControl/>
        <w:numPr>
          <w:ilvl w:val="0"/>
          <w:numId w:val="39"/>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70"/>
        <w:widowControl/>
        <w:numPr>
          <w:ilvl w:val="0"/>
          <w:numId w:val="29"/>
        </w:numPr>
        <w:snapToGrid w:val="0"/>
        <w:spacing w:before="156" w:beforeLines="50" w:line="360" w:lineRule="auto"/>
        <w:ind w:left="442" w:hanging="442"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除磋商文件另有规定外，有下列情形之一的，响应无效：</w:t>
      </w:r>
    </w:p>
    <w:p>
      <w:pPr>
        <w:pStyle w:val="70"/>
        <w:widowControl/>
        <w:numPr>
          <w:ilvl w:val="0"/>
          <w:numId w:val="4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响应文件未按照磋商文件要求签署、盖章；</w:t>
      </w:r>
    </w:p>
    <w:p>
      <w:pPr>
        <w:pStyle w:val="70"/>
        <w:widowControl/>
        <w:numPr>
          <w:ilvl w:val="0"/>
          <w:numId w:val="4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不符合磋商文件中规定的资格要求；</w:t>
      </w:r>
    </w:p>
    <w:p>
      <w:pPr>
        <w:pStyle w:val="70"/>
        <w:widowControl/>
        <w:numPr>
          <w:ilvl w:val="0"/>
          <w:numId w:val="4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磋商报价超过磋商文件中规定的预算金额或最高限价；</w:t>
      </w:r>
    </w:p>
    <w:p>
      <w:pPr>
        <w:pStyle w:val="70"/>
        <w:widowControl/>
        <w:numPr>
          <w:ilvl w:val="0"/>
          <w:numId w:val="4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响应文件含有采购人不能接受的附加条件；</w:t>
      </w:r>
    </w:p>
    <w:p>
      <w:pPr>
        <w:pStyle w:val="70"/>
        <w:widowControl/>
        <w:numPr>
          <w:ilvl w:val="0"/>
          <w:numId w:val="40"/>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有关法律、法规和规章及磋商文件规定的其他无效情形。</w:t>
      </w:r>
    </w:p>
    <w:p>
      <w:pPr>
        <w:pStyle w:val="70"/>
        <w:widowControl/>
        <w:numPr>
          <w:ilvl w:val="0"/>
          <w:numId w:val="19"/>
        </w:numPr>
        <w:snapToGrid w:val="0"/>
        <w:spacing w:line="360" w:lineRule="auto"/>
        <w:ind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磋商、评审和结果确定</w:t>
      </w:r>
    </w:p>
    <w:p>
      <w:pPr>
        <w:widowControl/>
        <w:snapToGrid w:val="0"/>
        <w:spacing w:line="360" w:lineRule="auto"/>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1.响应文件的开启</w:t>
      </w:r>
    </w:p>
    <w:p>
      <w:pPr>
        <w:pStyle w:val="70"/>
        <w:widowControl/>
        <w:numPr>
          <w:ilvl w:val="0"/>
          <w:numId w:val="41"/>
        </w:numPr>
        <w:snapToGrid w:val="0"/>
        <w:spacing w:line="360" w:lineRule="auto"/>
        <w:ind w:firstLineChars="0"/>
        <w:contextualSpacing/>
        <w:jc w:val="left"/>
        <w:rPr>
          <w:rFonts w:ascii="宋体" w:hAnsi="宋体"/>
          <w:color w:val="auto"/>
          <w:kern w:val="0"/>
          <w:szCs w:val="21"/>
          <w:highlight w:val="none"/>
          <w:lang w:eastAsia="zh-Hans"/>
        </w:rPr>
      </w:pPr>
      <w:r>
        <w:rPr>
          <w:rFonts w:hint="eastAsia" w:ascii="宋体" w:hAnsi="宋体"/>
          <w:color w:val="auto"/>
          <w:kern w:val="0"/>
          <w:szCs w:val="21"/>
          <w:highlight w:val="none"/>
          <w:lang w:eastAsia="zh-Hans"/>
        </w:rPr>
        <w:t>采购代理机构按磋商邀请中规定的日期、时间和地点组织公开开启。开启时邀请所有供应商代表参加。参加开启的法定代表人或其授权代表携带有效身份证签名报到以证明其出席。</w:t>
      </w:r>
    </w:p>
    <w:p>
      <w:pPr>
        <w:pStyle w:val="70"/>
        <w:widowControl/>
        <w:numPr>
          <w:ilvl w:val="0"/>
          <w:numId w:val="41"/>
        </w:numPr>
        <w:snapToGrid w:val="0"/>
        <w:spacing w:line="360" w:lineRule="auto"/>
        <w:ind w:firstLineChars="0"/>
        <w:contextualSpacing/>
        <w:jc w:val="left"/>
        <w:rPr>
          <w:rFonts w:ascii="宋体" w:hAnsi="宋体"/>
          <w:color w:val="auto"/>
          <w:kern w:val="0"/>
          <w:szCs w:val="21"/>
          <w:highlight w:val="none"/>
          <w:lang w:eastAsia="zh-Hans"/>
        </w:rPr>
      </w:pPr>
      <w:r>
        <w:rPr>
          <w:rFonts w:hint="eastAsia" w:ascii="宋体" w:hAnsi="宋体"/>
          <w:color w:val="auto"/>
          <w:kern w:val="0"/>
          <w:szCs w:val="21"/>
          <w:highlight w:val="none"/>
          <w:lang w:eastAsia="zh-Hans"/>
        </w:rPr>
        <w:t>响应文件递交截止时间后，由全体供应商对全部响应文件的密封情况进行检查。</w:t>
      </w:r>
    </w:p>
    <w:p>
      <w:pPr>
        <w:widowControl/>
        <w:snapToGrid w:val="0"/>
        <w:spacing w:line="360" w:lineRule="auto"/>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2.评审（详见第四章）</w:t>
      </w:r>
    </w:p>
    <w:p>
      <w:pPr>
        <w:widowControl/>
        <w:snapToGrid w:val="0"/>
        <w:spacing w:line="360" w:lineRule="auto"/>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3.成交</w:t>
      </w:r>
    </w:p>
    <w:p>
      <w:pPr>
        <w:pStyle w:val="70"/>
        <w:widowControl/>
        <w:numPr>
          <w:ilvl w:val="0"/>
          <w:numId w:val="42"/>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成交结果公告：</w:t>
      </w:r>
    </w:p>
    <w:p>
      <w:pPr>
        <w:pStyle w:val="70"/>
        <w:widowControl/>
        <w:numPr>
          <w:ilvl w:val="0"/>
          <w:numId w:val="43"/>
        </w:numPr>
        <w:tabs>
          <w:tab w:val="left" w:pos="567"/>
        </w:tabs>
        <w:snapToGrid w:val="0"/>
        <w:spacing w:line="360" w:lineRule="auto"/>
        <w:ind w:left="567" w:hanging="567"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成交供应商确定之日起2个工作日内，采购人或采购代理机构将在</w:t>
      </w:r>
      <w:r>
        <w:rPr>
          <w:rFonts w:hint="eastAsia" w:ascii="宋体" w:hAnsi="宋体"/>
          <w:color w:val="auto"/>
          <w:kern w:val="0"/>
          <w:szCs w:val="21"/>
          <w:highlight w:val="none"/>
          <w:lang w:eastAsia="zh-Hans"/>
        </w:rPr>
        <w:t>指定媒体</w:t>
      </w:r>
      <w:r>
        <w:rPr>
          <w:rFonts w:ascii="宋体" w:hAnsi="宋体"/>
          <w:color w:val="auto"/>
          <w:kern w:val="0"/>
          <w:szCs w:val="21"/>
          <w:highlight w:val="none"/>
          <w:lang w:eastAsia="zh-Hans"/>
        </w:rPr>
        <w:t>上以公告的形式发布成交结果，结果公告的公告期限为 1 个工作日。结果公告同时作为采购代理机构通知除成交供应商外的其他供应商没有成交的书面形式，采购代理机构不再以其它方式另行通知。</w:t>
      </w:r>
    </w:p>
    <w:p>
      <w:pPr>
        <w:pStyle w:val="70"/>
        <w:widowControl/>
        <w:numPr>
          <w:ilvl w:val="0"/>
          <w:numId w:val="42"/>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成交通知书：</w:t>
      </w:r>
    </w:p>
    <w:p>
      <w:pPr>
        <w:pStyle w:val="70"/>
        <w:widowControl/>
        <w:numPr>
          <w:ilvl w:val="0"/>
          <w:numId w:val="44"/>
        </w:numPr>
        <w:snapToGrid w:val="0"/>
        <w:spacing w:line="360" w:lineRule="auto"/>
        <w:ind w:left="567" w:hanging="567"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成交通知书发出后，采购人不得违法改变成交结果，成交供应商不得放弃成交。成交供应商放弃成交的，应当依法承担相应的法律责任。</w:t>
      </w:r>
    </w:p>
    <w:p>
      <w:pPr>
        <w:pStyle w:val="70"/>
        <w:widowControl/>
        <w:numPr>
          <w:ilvl w:val="0"/>
          <w:numId w:val="19"/>
        </w:numPr>
        <w:snapToGrid w:val="0"/>
        <w:spacing w:line="360" w:lineRule="auto"/>
        <w:ind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询问、质疑与投诉</w:t>
      </w:r>
    </w:p>
    <w:p>
      <w:pPr>
        <w:pStyle w:val="70"/>
        <w:widowControl/>
        <w:numPr>
          <w:ilvl w:val="3"/>
          <w:numId w:val="45"/>
        </w:numPr>
        <w:snapToGrid w:val="0"/>
        <w:spacing w:line="360" w:lineRule="auto"/>
        <w:ind w:left="426" w:hanging="426"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询问</w:t>
      </w:r>
    </w:p>
    <w:p>
      <w:pPr>
        <w:pStyle w:val="70"/>
        <w:numPr>
          <w:ilvl w:val="0"/>
          <w:numId w:val="46"/>
        </w:numPr>
        <w:snapToGrid w:val="0"/>
        <w:spacing w:line="360" w:lineRule="auto"/>
        <w:ind w:left="442" w:hanging="442" w:firstLineChars="0"/>
        <w:contextualSpacing/>
        <w:rPr>
          <w:rFonts w:ascii="宋体" w:hAnsi="宋体"/>
          <w:color w:val="auto"/>
          <w:highlight w:val="none"/>
        </w:rPr>
      </w:pPr>
      <w:r>
        <w:rPr>
          <w:rFonts w:ascii="宋体" w:hAnsi="宋体"/>
          <w:color w:val="auto"/>
          <w:highlight w:val="none"/>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第一章《磋商邀请》中“采购人、采购代理机构的名称、地址和联系方式”。</w:t>
      </w:r>
    </w:p>
    <w:p>
      <w:pPr>
        <w:pStyle w:val="70"/>
        <w:widowControl/>
        <w:numPr>
          <w:ilvl w:val="3"/>
          <w:numId w:val="45"/>
        </w:numPr>
        <w:snapToGrid w:val="0"/>
        <w:spacing w:line="360" w:lineRule="auto"/>
        <w:ind w:left="426" w:hanging="426"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质疑</w:t>
      </w:r>
    </w:p>
    <w:p>
      <w:pPr>
        <w:pStyle w:val="70"/>
        <w:widowControl/>
        <w:numPr>
          <w:ilvl w:val="0"/>
          <w:numId w:val="47"/>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70"/>
        <w:widowControl/>
        <w:numPr>
          <w:ilvl w:val="0"/>
          <w:numId w:val="48"/>
        </w:numPr>
        <w:tabs>
          <w:tab w:val="left" w:pos="709"/>
        </w:tabs>
        <w:snapToGrid w:val="0"/>
        <w:spacing w:line="360" w:lineRule="auto"/>
        <w:ind w:left="567" w:hanging="567"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对磋商文件提出质疑的，为获取磋商文件之日或者磋商文件公告期限届满之日；</w:t>
      </w:r>
    </w:p>
    <w:p>
      <w:pPr>
        <w:pStyle w:val="70"/>
        <w:widowControl/>
        <w:numPr>
          <w:ilvl w:val="0"/>
          <w:numId w:val="48"/>
        </w:numPr>
        <w:tabs>
          <w:tab w:val="left" w:pos="709"/>
        </w:tabs>
        <w:snapToGrid w:val="0"/>
        <w:spacing w:line="360" w:lineRule="auto"/>
        <w:ind w:left="567" w:hanging="567"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对采购过程提出质疑的，为各采购程序环节结束之日；</w:t>
      </w:r>
    </w:p>
    <w:p>
      <w:pPr>
        <w:pStyle w:val="70"/>
        <w:widowControl/>
        <w:numPr>
          <w:ilvl w:val="0"/>
          <w:numId w:val="48"/>
        </w:numPr>
        <w:tabs>
          <w:tab w:val="left" w:pos="709"/>
        </w:tabs>
        <w:snapToGrid w:val="0"/>
        <w:spacing w:line="360" w:lineRule="auto"/>
        <w:ind w:left="567" w:hanging="567"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对成交结果提出质疑的，为成交结果公告期限届满之日。</w:t>
      </w:r>
    </w:p>
    <w:p>
      <w:pPr>
        <w:pStyle w:val="70"/>
        <w:widowControl/>
        <w:numPr>
          <w:ilvl w:val="0"/>
          <w:numId w:val="47"/>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质疑函应当包括下列主要内容：</w:t>
      </w:r>
    </w:p>
    <w:p>
      <w:pPr>
        <w:pStyle w:val="70"/>
        <w:widowControl/>
        <w:numPr>
          <w:ilvl w:val="0"/>
          <w:numId w:val="49"/>
        </w:numPr>
        <w:tabs>
          <w:tab w:val="left" w:pos="284"/>
          <w:tab w:val="left" w:pos="567"/>
        </w:tabs>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质疑供应商和相关供应商的名称、地址、邮编、联系人及联系电话等；</w:t>
      </w:r>
    </w:p>
    <w:p>
      <w:pPr>
        <w:pStyle w:val="70"/>
        <w:widowControl/>
        <w:numPr>
          <w:ilvl w:val="0"/>
          <w:numId w:val="49"/>
        </w:numPr>
        <w:tabs>
          <w:tab w:val="left" w:pos="284"/>
          <w:tab w:val="left" w:pos="567"/>
        </w:tabs>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质疑项目名称及编号、具体明确的质疑事项和与质疑事项相关的请求；</w:t>
      </w:r>
    </w:p>
    <w:p>
      <w:pPr>
        <w:pStyle w:val="70"/>
        <w:widowControl/>
        <w:numPr>
          <w:ilvl w:val="0"/>
          <w:numId w:val="49"/>
        </w:numPr>
        <w:tabs>
          <w:tab w:val="left" w:pos="284"/>
          <w:tab w:val="left" w:pos="567"/>
        </w:tabs>
        <w:snapToGrid w:val="0"/>
        <w:spacing w:line="360" w:lineRule="auto"/>
        <w:ind w:left="567" w:hanging="567"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认为磋商文件、采购过程和成交结果使自己的合法权益受到损害的法律依据、事实依据、相关证明材料及证据来源；</w:t>
      </w:r>
    </w:p>
    <w:p>
      <w:pPr>
        <w:pStyle w:val="70"/>
        <w:widowControl/>
        <w:numPr>
          <w:ilvl w:val="0"/>
          <w:numId w:val="49"/>
        </w:numPr>
        <w:tabs>
          <w:tab w:val="left" w:pos="284"/>
          <w:tab w:val="left" w:pos="567"/>
        </w:tabs>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提出质疑的日期。</w:t>
      </w:r>
    </w:p>
    <w:p>
      <w:pPr>
        <w:pStyle w:val="70"/>
        <w:widowControl/>
        <w:numPr>
          <w:ilvl w:val="0"/>
          <w:numId w:val="47"/>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质疑函应当署名。质疑供应商为自然人的，应当由本人签字；质疑供应商为法人或者其他组织的，应当由法定代表人、主要负责人，或者其授权代表签字或者盖章，并加盖公章。</w:t>
      </w:r>
    </w:p>
    <w:p>
      <w:pPr>
        <w:pStyle w:val="70"/>
        <w:widowControl/>
        <w:numPr>
          <w:ilvl w:val="0"/>
          <w:numId w:val="47"/>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以联合体形式参加政府采购活动的，其质疑应当由联合体成员委托主体提出。</w:t>
      </w:r>
    </w:p>
    <w:p>
      <w:pPr>
        <w:pStyle w:val="70"/>
        <w:widowControl/>
        <w:numPr>
          <w:ilvl w:val="0"/>
          <w:numId w:val="47"/>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70"/>
        <w:widowControl/>
        <w:numPr>
          <w:ilvl w:val="0"/>
          <w:numId w:val="47"/>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质疑联系方式如下：</w:t>
      </w:r>
    </w:p>
    <w:p>
      <w:pPr>
        <w:widowControl/>
        <w:snapToGrid w:val="0"/>
        <w:spacing w:line="360" w:lineRule="auto"/>
        <w:ind w:firstLine="48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质疑联系人：</w:t>
      </w:r>
      <w:r>
        <w:rPr>
          <w:rFonts w:hint="eastAsia" w:ascii="宋体" w:hAnsi="宋体"/>
          <w:color w:val="auto"/>
          <w:kern w:val="0"/>
          <w:szCs w:val="21"/>
          <w:highlight w:val="none"/>
          <w:lang w:eastAsia="zh-Hans"/>
        </w:rPr>
        <w:t>薛小姐</w:t>
      </w:r>
    </w:p>
    <w:p>
      <w:pPr>
        <w:widowControl/>
        <w:snapToGrid w:val="0"/>
        <w:spacing w:line="360" w:lineRule="auto"/>
        <w:ind w:firstLine="48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电话：</w:t>
      </w:r>
      <w:r>
        <w:rPr>
          <w:rFonts w:hint="eastAsia" w:ascii="宋体" w:hAnsi="宋体"/>
          <w:color w:val="auto"/>
          <w:kern w:val="0"/>
          <w:szCs w:val="21"/>
          <w:highlight w:val="none"/>
          <w:lang w:eastAsia="zh-Hans"/>
        </w:rPr>
        <w:t>（0753）2595996</w:t>
      </w:r>
    </w:p>
    <w:p>
      <w:pPr>
        <w:widowControl/>
        <w:snapToGrid w:val="0"/>
        <w:spacing w:line="360" w:lineRule="auto"/>
        <w:ind w:firstLine="48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传真：/</w:t>
      </w:r>
    </w:p>
    <w:p>
      <w:pPr>
        <w:widowControl/>
        <w:snapToGrid w:val="0"/>
        <w:spacing w:line="360" w:lineRule="auto"/>
        <w:ind w:firstLine="48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邮箱：zhcsmz0753@163.com</w:t>
      </w:r>
    </w:p>
    <w:p>
      <w:pPr>
        <w:widowControl/>
        <w:snapToGrid w:val="0"/>
        <w:spacing w:line="360" w:lineRule="auto"/>
        <w:ind w:firstLine="48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地址：</w:t>
      </w:r>
      <w:r>
        <w:rPr>
          <w:rFonts w:hint="eastAsia" w:ascii="宋体" w:hAnsi="宋体"/>
          <w:color w:val="auto"/>
          <w:kern w:val="0"/>
          <w:szCs w:val="21"/>
          <w:highlight w:val="none"/>
          <w:lang w:eastAsia="zh-Hans"/>
        </w:rPr>
        <w:t>梅州市梅县区新县城剑英大道1号（研发楼B栋）301、323室</w:t>
      </w:r>
    </w:p>
    <w:p>
      <w:pPr>
        <w:widowControl/>
        <w:snapToGrid w:val="0"/>
        <w:spacing w:line="360" w:lineRule="auto"/>
        <w:ind w:firstLine="48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邮编：514781</w:t>
      </w:r>
    </w:p>
    <w:p>
      <w:pPr>
        <w:pStyle w:val="70"/>
        <w:widowControl/>
        <w:numPr>
          <w:ilvl w:val="3"/>
          <w:numId w:val="45"/>
        </w:numPr>
        <w:snapToGrid w:val="0"/>
        <w:spacing w:line="360" w:lineRule="auto"/>
        <w:ind w:left="426" w:hanging="426"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投诉</w:t>
      </w:r>
    </w:p>
    <w:p>
      <w:pPr>
        <w:widowControl/>
        <w:snapToGrid w:val="0"/>
        <w:spacing w:line="360" w:lineRule="auto"/>
        <w:ind w:firstLine="48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质疑人对采购人或采购代理机构的质疑答复不满意或在规定时间内未得到答复的，可以在答复期满后15个工作日内，向本项目监督管理部门提起投诉。</w:t>
      </w:r>
    </w:p>
    <w:p>
      <w:pPr>
        <w:pStyle w:val="70"/>
        <w:widowControl/>
        <w:numPr>
          <w:ilvl w:val="0"/>
          <w:numId w:val="19"/>
        </w:numPr>
        <w:snapToGrid w:val="0"/>
        <w:spacing w:before="156" w:beforeLines="50" w:line="360" w:lineRule="auto"/>
        <w:ind w:left="442" w:hanging="442" w:firstLineChars="0"/>
        <w:contextualSpacing/>
        <w:jc w:val="left"/>
        <w:outlineLvl w:val="3"/>
        <w:rPr>
          <w:rFonts w:ascii="宋体" w:hAnsi="宋体"/>
          <w:color w:val="auto"/>
          <w:kern w:val="0"/>
          <w:szCs w:val="21"/>
          <w:highlight w:val="none"/>
        </w:rPr>
      </w:pPr>
      <w:bookmarkStart w:id="30" w:name="_Hlk170405202"/>
      <w:r>
        <w:rPr>
          <w:rFonts w:ascii="宋体" w:hAnsi="宋体"/>
          <w:b/>
          <w:color w:val="auto"/>
          <w:kern w:val="0"/>
          <w:szCs w:val="21"/>
          <w:highlight w:val="none"/>
          <w:lang w:eastAsia="zh-Hans"/>
        </w:rPr>
        <w:t>履约担保</w:t>
      </w:r>
      <w:r>
        <w:rPr>
          <w:rFonts w:hint="eastAsia" w:ascii="宋体" w:hAnsi="宋体"/>
          <w:b/>
          <w:color w:val="auto"/>
          <w:kern w:val="0"/>
          <w:szCs w:val="21"/>
          <w:highlight w:val="none"/>
        </w:rPr>
        <w:t>：本项目不收取履约保证金。</w:t>
      </w:r>
    </w:p>
    <w:bookmarkEnd w:id="30"/>
    <w:p>
      <w:pPr>
        <w:pStyle w:val="70"/>
        <w:widowControl/>
        <w:numPr>
          <w:ilvl w:val="0"/>
          <w:numId w:val="19"/>
        </w:numPr>
        <w:snapToGrid w:val="0"/>
        <w:spacing w:before="156" w:beforeLines="50" w:line="360" w:lineRule="auto"/>
        <w:ind w:left="442" w:hanging="442"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合同签订和履行</w:t>
      </w:r>
    </w:p>
    <w:p>
      <w:pPr>
        <w:pStyle w:val="70"/>
        <w:widowControl/>
        <w:numPr>
          <w:ilvl w:val="3"/>
          <w:numId w:val="50"/>
        </w:numPr>
        <w:snapToGrid w:val="0"/>
        <w:spacing w:line="360" w:lineRule="auto"/>
        <w:ind w:left="426" w:hanging="426" w:firstLineChars="0"/>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合同签订</w:t>
      </w:r>
    </w:p>
    <w:p>
      <w:pPr>
        <w:pStyle w:val="70"/>
        <w:widowControl/>
        <w:numPr>
          <w:ilvl w:val="0"/>
          <w:numId w:val="51"/>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采购人应当自《成交通知书》发出之日起三十日内，按照磋商文件和成交供应商响应文件的约定，与成交供应商签订合同。所签订的合同不得对磋商文件和成交供应商响应文件作实质性修改。</w:t>
      </w:r>
    </w:p>
    <w:p>
      <w:pPr>
        <w:pStyle w:val="70"/>
        <w:widowControl/>
        <w:numPr>
          <w:ilvl w:val="0"/>
          <w:numId w:val="51"/>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采购人不得提出试用合格等任何不合理的要求作为签订合同的条件，且不得与成交供应商私下订立背离合同实质性内容的协议。</w:t>
      </w:r>
    </w:p>
    <w:p>
      <w:pPr>
        <w:pStyle w:val="70"/>
        <w:widowControl/>
        <w:numPr>
          <w:ilvl w:val="0"/>
          <w:numId w:val="51"/>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采购人应当自政府采购合同签订之日起2个工作日内，将政府采购合同在省级以上人民政府财政部门指定的媒体上公告，但政府采购合同中涉及国家秘密、商业秘密的内容除外。</w:t>
      </w:r>
    </w:p>
    <w:p>
      <w:pPr>
        <w:widowControl/>
        <w:snapToGrid w:val="0"/>
        <w:spacing w:line="360" w:lineRule="auto"/>
        <w:contextualSpacing/>
        <w:jc w:val="left"/>
        <w:outlineLvl w:val="3"/>
        <w:rPr>
          <w:rFonts w:ascii="宋体" w:hAnsi="宋体"/>
          <w:color w:val="auto"/>
          <w:kern w:val="0"/>
          <w:szCs w:val="21"/>
          <w:highlight w:val="none"/>
          <w:lang w:eastAsia="zh-Hans"/>
        </w:rPr>
      </w:pPr>
      <w:r>
        <w:rPr>
          <w:rFonts w:ascii="宋体" w:hAnsi="宋体"/>
          <w:b/>
          <w:color w:val="auto"/>
          <w:kern w:val="0"/>
          <w:szCs w:val="21"/>
          <w:highlight w:val="none"/>
          <w:lang w:eastAsia="zh-Hans"/>
        </w:rPr>
        <w:t>2.合同的履行</w:t>
      </w:r>
    </w:p>
    <w:p>
      <w:pPr>
        <w:pStyle w:val="70"/>
        <w:widowControl/>
        <w:numPr>
          <w:ilvl w:val="0"/>
          <w:numId w:val="52"/>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70"/>
        <w:widowControl/>
        <w:numPr>
          <w:ilvl w:val="0"/>
          <w:numId w:val="52"/>
        </w:numPr>
        <w:snapToGrid w:val="0"/>
        <w:spacing w:line="360" w:lineRule="auto"/>
        <w:ind w:firstLineChars="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政府采购合同履行中，采购人需追加与合同标的相同的货物、工程或者服务的，在不改变合同其他条款的前提下，可以与成交供应商签订补充合同，但所补充合同的采购金额不得超过原采购金额的10%。</w:t>
      </w:r>
      <w:r>
        <w:rPr>
          <w:rFonts w:hint="eastAsia" w:ascii="宋体" w:hAnsi="宋体"/>
          <w:color w:val="auto"/>
          <w:kern w:val="0"/>
          <w:szCs w:val="21"/>
          <w:highlight w:val="none"/>
          <w:lang w:eastAsia="zh-Hans"/>
        </w:rPr>
        <w:t>签订补充合同的必须按规定备案。</w:t>
      </w:r>
    </w:p>
    <w:p>
      <w:pPr>
        <w:rPr>
          <w:color w:val="auto"/>
          <w:highlight w:val="none"/>
        </w:rPr>
      </w:pPr>
    </w:p>
    <w:p>
      <w:pPr>
        <w:widowControl/>
        <w:snapToGrid w:val="0"/>
        <w:spacing w:line="360" w:lineRule="auto"/>
        <w:contextualSpacing/>
        <w:rPr>
          <w:rFonts w:hint="default"/>
          <w:b/>
          <w:color w:val="auto"/>
          <w:sz w:val="24"/>
          <w:highlight w:val="none"/>
        </w:rPr>
      </w:pPr>
    </w:p>
    <w:p>
      <w:pPr>
        <w:widowControl/>
        <w:snapToGrid w:val="0"/>
        <w:spacing w:line="360" w:lineRule="auto"/>
        <w:contextualSpacing/>
        <w:rPr>
          <w:rFonts w:hint="default"/>
          <w:b/>
          <w:color w:val="auto"/>
          <w:sz w:val="24"/>
          <w:highlight w:val="none"/>
        </w:rPr>
      </w:pPr>
    </w:p>
    <w:p>
      <w:pPr>
        <w:pStyle w:val="2"/>
        <w:keepNext w:val="0"/>
        <w:keepLines w:val="0"/>
        <w:pageBreakBefore/>
        <w:spacing w:after="240" w:line="360" w:lineRule="auto"/>
        <w:jc w:val="center"/>
        <w:rPr>
          <w:rFonts w:asciiTheme="minorEastAsia" w:hAnsiTheme="minorEastAsia" w:eastAsiaTheme="minorEastAsia"/>
          <w:color w:val="auto"/>
          <w:spacing w:val="20"/>
          <w:sz w:val="32"/>
          <w:szCs w:val="32"/>
          <w:highlight w:val="none"/>
        </w:rPr>
      </w:pPr>
      <w:bookmarkStart w:id="31" w:name="_Toc405313955"/>
      <w:bookmarkStart w:id="32" w:name="_Toc391627751"/>
      <w:bookmarkStart w:id="33" w:name="_Toc521951135"/>
      <w:bookmarkStart w:id="34" w:name="_Toc170228131"/>
      <w:r>
        <w:rPr>
          <w:rFonts w:hint="eastAsia" w:asciiTheme="minorEastAsia" w:hAnsiTheme="minorEastAsia" w:eastAsiaTheme="minorEastAsia"/>
          <w:color w:val="auto"/>
          <w:spacing w:val="20"/>
          <w:sz w:val="32"/>
          <w:szCs w:val="32"/>
          <w:highlight w:val="none"/>
        </w:rPr>
        <w:t>第</w:t>
      </w:r>
      <w:bookmarkEnd w:id="31"/>
      <w:bookmarkEnd w:id="32"/>
      <w:bookmarkEnd w:id="33"/>
      <w:bookmarkStart w:id="35" w:name="_Hlk46687785"/>
      <w:r>
        <w:rPr>
          <w:rFonts w:hint="eastAsia" w:asciiTheme="minorEastAsia" w:hAnsiTheme="minorEastAsia" w:eastAsiaTheme="minorEastAsia"/>
          <w:color w:val="auto"/>
          <w:spacing w:val="20"/>
          <w:sz w:val="32"/>
          <w:szCs w:val="32"/>
          <w:highlight w:val="none"/>
        </w:rPr>
        <w:t>四章 评审</w:t>
      </w:r>
      <w:bookmarkEnd w:id="34"/>
    </w:p>
    <w:bookmarkEnd w:id="35"/>
    <w:p>
      <w:pPr>
        <w:pStyle w:val="70"/>
        <w:numPr>
          <w:ilvl w:val="0"/>
          <w:numId w:val="53"/>
        </w:numPr>
        <w:snapToGrid w:val="0"/>
        <w:spacing w:line="360" w:lineRule="auto"/>
        <w:ind w:left="442" w:hanging="442" w:firstLineChars="0"/>
        <w:contextualSpacing/>
        <w:rPr>
          <w:b/>
          <w:bCs/>
          <w:color w:val="auto"/>
          <w:highlight w:val="none"/>
        </w:rPr>
      </w:pPr>
      <w:r>
        <w:rPr>
          <w:b/>
          <w:bCs/>
          <w:color w:val="auto"/>
          <w:highlight w:val="none"/>
        </w:rPr>
        <w:t>评审要求</w:t>
      </w:r>
    </w:p>
    <w:p>
      <w:pPr>
        <w:pStyle w:val="74"/>
        <w:numPr>
          <w:ilvl w:val="3"/>
          <w:numId w:val="54"/>
        </w:numPr>
        <w:snapToGrid w:val="0"/>
        <w:spacing w:line="360" w:lineRule="auto"/>
        <w:ind w:left="284" w:hanging="284"/>
        <w:contextualSpacing/>
        <w:outlineLvl w:val="3"/>
        <w:rPr>
          <w:rFonts w:hint="default" w:asciiTheme="minorEastAsia" w:hAnsiTheme="minorEastAsia"/>
          <w:color w:val="auto"/>
          <w:sz w:val="21"/>
          <w:szCs w:val="21"/>
          <w:highlight w:val="none"/>
        </w:rPr>
      </w:pPr>
      <w:r>
        <w:rPr>
          <w:rFonts w:asciiTheme="minorEastAsia" w:hAnsiTheme="minorEastAsia"/>
          <w:b/>
          <w:color w:val="auto"/>
          <w:sz w:val="21"/>
          <w:szCs w:val="21"/>
          <w:highlight w:val="none"/>
        </w:rPr>
        <w:t>评审方法</w:t>
      </w:r>
    </w:p>
    <w:p>
      <w:pPr>
        <w:pStyle w:val="74"/>
        <w:snapToGrid w:val="0"/>
        <w:spacing w:line="360" w:lineRule="auto"/>
        <w:ind w:firstLine="420" w:firstLineChars="200"/>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综合评分法,是指响应文件满足磋商文件全部实质性要求，且按照评审因素的量化指标评审得分最高的供应商为成交候选人的评标方法。（最低报价不是成交的唯一依据。）</w:t>
      </w:r>
    </w:p>
    <w:p>
      <w:pPr>
        <w:pStyle w:val="74"/>
        <w:numPr>
          <w:ilvl w:val="3"/>
          <w:numId w:val="54"/>
        </w:numPr>
        <w:snapToGrid w:val="0"/>
        <w:spacing w:line="360" w:lineRule="auto"/>
        <w:ind w:left="284" w:hanging="284"/>
        <w:contextualSpacing/>
        <w:outlineLvl w:val="3"/>
        <w:rPr>
          <w:rFonts w:hint="default"/>
          <w:color w:val="auto"/>
          <w:highlight w:val="none"/>
        </w:rPr>
      </w:pPr>
      <w:r>
        <w:rPr>
          <w:rFonts w:asciiTheme="minorEastAsia" w:hAnsiTheme="minorEastAsia"/>
          <w:b/>
          <w:color w:val="auto"/>
          <w:sz w:val="21"/>
          <w:szCs w:val="21"/>
          <w:highlight w:val="none"/>
        </w:rPr>
        <w:t>评审原则</w:t>
      </w:r>
    </w:p>
    <w:p>
      <w:pPr>
        <w:pStyle w:val="74"/>
        <w:numPr>
          <w:ilvl w:val="0"/>
          <w:numId w:val="55"/>
        </w:numPr>
        <w:snapToGrid w:val="0"/>
        <w:spacing w:line="360" w:lineRule="auto"/>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评审活动遵循公平、公正、科学和择优的原则，以磋商文件和响应文件为评审的基本依据，并按照磋商文件规定的评审方法和评审标准进行评审。</w:t>
      </w:r>
    </w:p>
    <w:p>
      <w:pPr>
        <w:pStyle w:val="74"/>
        <w:numPr>
          <w:ilvl w:val="0"/>
          <w:numId w:val="55"/>
        </w:numPr>
        <w:snapToGrid w:val="0"/>
        <w:spacing w:line="360" w:lineRule="auto"/>
        <w:contextualSpacing/>
        <w:rPr>
          <w:rFonts w:hint="default"/>
          <w:color w:val="auto"/>
          <w:highlight w:val="none"/>
        </w:rPr>
      </w:pPr>
      <w:r>
        <w:rPr>
          <w:rFonts w:ascii="宋体" w:hAnsi="宋体" w:eastAsia="宋体"/>
          <w:color w:val="auto"/>
          <w:sz w:val="21"/>
          <w:szCs w:val="21"/>
          <w:highlight w:val="none"/>
        </w:rPr>
        <w:t>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74"/>
        <w:numPr>
          <w:ilvl w:val="3"/>
          <w:numId w:val="54"/>
        </w:numPr>
        <w:snapToGrid w:val="0"/>
        <w:spacing w:line="360" w:lineRule="auto"/>
        <w:ind w:left="284" w:hanging="284"/>
        <w:contextualSpacing/>
        <w:outlineLvl w:val="3"/>
        <w:rPr>
          <w:rFonts w:hint="default" w:ascii="宋体" w:hAnsi="宋体" w:eastAsia="宋体"/>
          <w:color w:val="auto"/>
          <w:highlight w:val="none"/>
        </w:rPr>
      </w:pPr>
      <w:r>
        <w:rPr>
          <w:rFonts w:ascii="宋体" w:hAnsi="宋体" w:eastAsia="宋体"/>
          <w:b/>
          <w:color w:val="auto"/>
          <w:sz w:val="21"/>
          <w:szCs w:val="21"/>
          <w:highlight w:val="none"/>
        </w:rPr>
        <w:t>磋商小组</w:t>
      </w:r>
    </w:p>
    <w:p>
      <w:pPr>
        <w:pStyle w:val="74"/>
        <w:numPr>
          <w:ilvl w:val="0"/>
          <w:numId w:val="56"/>
        </w:numPr>
        <w:snapToGrid w:val="0"/>
        <w:spacing w:line="360" w:lineRule="auto"/>
        <w:ind w:left="442" w:hanging="442"/>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磋商小组由采购人代表和评审专家组成，成员人数应当为3人及以上单数，其中技术、经济等方面的评审专家不得少于成员总数的三分之二。</w:t>
      </w:r>
    </w:p>
    <w:p>
      <w:pPr>
        <w:pStyle w:val="74"/>
        <w:numPr>
          <w:ilvl w:val="0"/>
          <w:numId w:val="56"/>
        </w:numPr>
        <w:snapToGrid w:val="0"/>
        <w:spacing w:line="360" w:lineRule="auto"/>
        <w:ind w:left="442" w:hanging="442"/>
        <w:contextualSpacing/>
        <w:rPr>
          <w:rFonts w:hint="default" w:asciiTheme="minorEastAsia" w:hAnsiTheme="minorEastAsia"/>
          <w:bCs/>
          <w:color w:val="auto"/>
          <w:sz w:val="21"/>
          <w:szCs w:val="21"/>
          <w:highlight w:val="none"/>
        </w:rPr>
      </w:pPr>
      <w:r>
        <w:rPr>
          <w:rFonts w:cs="宋体" w:asciiTheme="minorEastAsia" w:hAnsiTheme="minorEastAsia"/>
          <w:color w:val="auto"/>
          <w:sz w:val="21"/>
          <w:szCs w:val="21"/>
          <w:highlight w:val="none"/>
          <w:lang w:eastAsia="zh-TW"/>
        </w:rPr>
        <w:t>磋商小组成员名单在</w:t>
      </w:r>
      <w:r>
        <w:rPr>
          <w:rFonts w:cs="宋体" w:asciiTheme="minorEastAsia" w:hAnsiTheme="minorEastAsia"/>
          <w:color w:val="auto"/>
          <w:sz w:val="21"/>
          <w:szCs w:val="21"/>
          <w:highlight w:val="none"/>
        </w:rPr>
        <w:t>成交结果</w:t>
      </w:r>
      <w:r>
        <w:rPr>
          <w:rFonts w:cs="宋体" w:asciiTheme="minorEastAsia" w:hAnsiTheme="minorEastAsia"/>
          <w:color w:val="auto"/>
          <w:sz w:val="21"/>
          <w:szCs w:val="21"/>
          <w:highlight w:val="none"/>
          <w:lang w:eastAsia="zh-TW"/>
        </w:rPr>
        <w:t>公告前应当保密。</w:t>
      </w:r>
      <w:r>
        <w:rPr>
          <w:rFonts w:asciiTheme="minorEastAsia" w:hAnsiTheme="minorEastAsia"/>
          <w:bCs/>
          <w:color w:val="auto"/>
          <w:sz w:val="21"/>
          <w:szCs w:val="21"/>
          <w:highlight w:val="none"/>
        </w:rPr>
        <w:t>评审专家有下列情形之一的，受到邀请应主动提出回避，采购当事人也可以要求该评审专家回避：</w:t>
      </w:r>
    </w:p>
    <w:p>
      <w:pPr>
        <w:pStyle w:val="32"/>
        <w:numPr>
          <w:ilvl w:val="2"/>
          <w:numId w:val="57"/>
        </w:numPr>
        <w:tabs>
          <w:tab w:val="left" w:pos="709"/>
        </w:tabs>
        <w:snapToGrid w:val="0"/>
        <w:spacing w:line="360" w:lineRule="auto"/>
        <w:ind w:firstLineChars="0"/>
        <w:contextualSpacing/>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Cs w:val="21"/>
          <w:highlight w:val="none"/>
          <w:lang w:eastAsia="zh-TW"/>
        </w:rPr>
        <w:t>参加采购活动前</w:t>
      </w:r>
      <w:r>
        <w:rPr>
          <w:rFonts w:cs="宋体" w:asciiTheme="minorEastAsia" w:hAnsiTheme="minorEastAsia" w:eastAsiaTheme="minorEastAsia"/>
          <w:color w:val="auto"/>
          <w:szCs w:val="21"/>
          <w:highlight w:val="none"/>
          <w:lang w:eastAsia="zh-TW"/>
        </w:rPr>
        <w:t>3年内与供应商存在劳动关系</w:t>
      </w:r>
      <w:r>
        <w:rPr>
          <w:rFonts w:hint="eastAsia" w:cs="宋体" w:asciiTheme="minorEastAsia" w:hAnsiTheme="minorEastAsia" w:eastAsiaTheme="minorEastAsia"/>
          <w:color w:val="auto"/>
          <w:szCs w:val="21"/>
          <w:highlight w:val="none"/>
          <w:lang w:eastAsia="zh-TW"/>
        </w:rPr>
        <w:t>；</w:t>
      </w:r>
    </w:p>
    <w:p>
      <w:pPr>
        <w:pStyle w:val="32"/>
        <w:numPr>
          <w:ilvl w:val="2"/>
          <w:numId w:val="57"/>
        </w:numPr>
        <w:tabs>
          <w:tab w:val="left" w:pos="709"/>
        </w:tabs>
        <w:snapToGrid w:val="0"/>
        <w:spacing w:line="360" w:lineRule="auto"/>
        <w:ind w:firstLineChars="0"/>
        <w:contextualSpacing/>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Cs w:val="21"/>
          <w:highlight w:val="none"/>
          <w:lang w:eastAsia="zh-TW"/>
        </w:rPr>
        <w:t>参加采购活动前</w:t>
      </w:r>
      <w:r>
        <w:rPr>
          <w:rFonts w:cs="宋体" w:asciiTheme="minorEastAsia" w:hAnsiTheme="minorEastAsia" w:eastAsiaTheme="minorEastAsia"/>
          <w:color w:val="auto"/>
          <w:szCs w:val="21"/>
          <w:highlight w:val="none"/>
          <w:lang w:eastAsia="zh-TW"/>
        </w:rPr>
        <w:t>3年内担任供应商的董事、监事；</w:t>
      </w:r>
    </w:p>
    <w:p>
      <w:pPr>
        <w:pStyle w:val="32"/>
        <w:numPr>
          <w:ilvl w:val="2"/>
          <w:numId w:val="57"/>
        </w:numPr>
        <w:tabs>
          <w:tab w:val="left" w:pos="709"/>
        </w:tabs>
        <w:snapToGrid w:val="0"/>
        <w:spacing w:line="360" w:lineRule="auto"/>
        <w:ind w:firstLineChars="0"/>
        <w:contextualSpacing/>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参加采购活动前</w:t>
      </w:r>
      <w:r>
        <w:rPr>
          <w:rFonts w:asciiTheme="minorEastAsia" w:hAnsiTheme="minorEastAsia" w:eastAsiaTheme="minorEastAsia"/>
          <w:bCs/>
          <w:color w:val="auto"/>
          <w:szCs w:val="21"/>
          <w:highlight w:val="none"/>
        </w:rPr>
        <w:t>3年内是供应商的控股股东或者实际控制人</w:t>
      </w:r>
      <w:r>
        <w:rPr>
          <w:rFonts w:hint="eastAsia" w:asciiTheme="minorEastAsia" w:hAnsiTheme="minorEastAsia" w:eastAsiaTheme="minorEastAsia"/>
          <w:bCs/>
          <w:color w:val="auto"/>
          <w:szCs w:val="21"/>
          <w:highlight w:val="none"/>
        </w:rPr>
        <w:t>；</w:t>
      </w:r>
    </w:p>
    <w:p>
      <w:pPr>
        <w:pStyle w:val="32"/>
        <w:numPr>
          <w:ilvl w:val="2"/>
          <w:numId w:val="57"/>
        </w:numPr>
        <w:tabs>
          <w:tab w:val="left" w:pos="709"/>
        </w:tabs>
        <w:snapToGrid w:val="0"/>
        <w:spacing w:line="360" w:lineRule="auto"/>
        <w:ind w:firstLineChars="0"/>
        <w:contextualSpacing/>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与供应商的法定代表人或者负责人有夫妻、直系血亲、三代以内旁系血亲或者近姻亲关系</w:t>
      </w:r>
      <w:r>
        <w:rPr>
          <w:rFonts w:hint="eastAsia" w:asciiTheme="minorEastAsia" w:hAnsiTheme="minorEastAsia" w:eastAsiaTheme="minorEastAsia"/>
          <w:bCs/>
          <w:color w:val="auto"/>
          <w:spacing w:val="-4"/>
          <w:szCs w:val="21"/>
          <w:highlight w:val="none"/>
        </w:rPr>
        <w:t>；</w:t>
      </w:r>
    </w:p>
    <w:p>
      <w:pPr>
        <w:pStyle w:val="32"/>
        <w:numPr>
          <w:ilvl w:val="2"/>
          <w:numId w:val="57"/>
        </w:numPr>
        <w:tabs>
          <w:tab w:val="left" w:pos="709"/>
        </w:tabs>
        <w:snapToGrid w:val="0"/>
        <w:spacing w:line="360" w:lineRule="auto"/>
        <w:ind w:firstLineChars="0"/>
        <w:contextualSpacing/>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Cs w:val="21"/>
          <w:highlight w:val="none"/>
          <w:lang w:eastAsia="zh-TW"/>
        </w:rPr>
        <w:t>与供应商有其他可能影响政府采购活动公平、公正进行的关系。</w:t>
      </w:r>
    </w:p>
    <w:p>
      <w:pPr>
        <w:pStyle w:val="74"/>
        <w:numPr>
          <w:ilvl w:val="0"/>
          <w:numId w:val="56"/>
        </w:numPr>
        <w:snapToGrid w:val="0"/>
        <w:spacing w:line="360" w:lineRule="auto"/>
        <w:ind w:left="442" w:hanging="442"/>
        <w:contextualSpacing/>
        <w:rPr>
          <w:rFonts w:hint="default" w:asciiTheme="minorEastAsia" w:hAnsiTheme="minorEastAsia"/>
          <w:bCs/>
          <w:color w:val="auto"/>
          <w:sz w:val="21"/>
          <w:szCs w:val="21"/>
          <w:highlight w:val="none"/>
        </w:rPr>
      </w:pPr>
      <w:r>
        <w:rPr>
          <w:rFonts w:asciiTheme="minorEastAsia" w:hAnsiTheme="minorEastAsia"/>
          <w:bCs/>
          <w:color w:val="auto"/>
          <w:sz w:val="21"/>
          <w:szCs w:val="21"/>
          <w:highlight w:val="none"/>
        </w:rPr>
        <w:t>磋商小组成员和参与评审的有关工作人员不得透露对响应文件的评审和比较、成交候选人的推荐情况以及与评审有关的其他情况。</w:t>
      </w:r>
    </w:p>
    <w:p>
      <w:pPr>
        <w:pStyle w:val="74"/>
        <w:numPr>
          <w:ilvl w:val="0"/>
          <w:numId w:val="56"/>
        </w:numPr>
        <w:snapToGrid w:val="0"/>
        <w:spacing w:line="360" w:lineRule="auto"/>
        <w:ind w:left="442" w:hanging="442"/>
        <w:contextualSpacing/>
        <w:rPr>
          <w:rFonts w:hint="default" w:asciiTheme="minorEastAsia" w:hAnsiTheme="minorEastAsia"/>
          <w:bCs/>
          <w:color w:val="auto"/>
          <w:sz w:val="21"/>
          <w:szCs w:val="21"/>
          <w:highlight w:val="none"/>
        </w:rPr>
      </w:pPr>
      <w:r>
        <w:rPr>
          <w:rFonts w:asciiTheme="minorEastAsia" w:hAnsiTheme="minorEastAsia"/>
          <w:bCs/>
          <w:color w:val="auto"/>
          <w:sz w:val="21"/>
          <w:szCs w:val="21"/>
          <w:highlight w:val="none"/>
        </w:rPr>
        <w:t>磋商小组负责具体评审事务，并独立履行下列职责：</w:t>
      </w:r>
    </w:p>
    <w:p>
      <w:pPr>
        <w:pStyle w:val="32"/>
        <w:widowControl/>
        <w:numPr>
          <w:ilvl w:val="2"/>
          <w:numId w:val="58"/>
        </w:numPr>
        <w:tabs>
          <w:tab w:val="left" w:pos="709"/>
        </w:tabs>
        <w:snapToGrid w:val="0"/>
        <w:spacing w:line="360" w:lineRule="auto"/>
        <w:ind w:firstLineChars="0"/>
        <w:contextualSpacing/>
        <w:jc w:val="left"/>
        <w:rPr>
          <w:rFonts w:cs="宋体" w:asciiTheme="minorEastAsia" w:hAnsiTheme="minorEastAsia" w:eastAsiaTheme="minorEastAsia"/>
          <w:color w:val="auto"/>
          <w:szCs w:val="21"/>
          <w:highlight w:val="none"/>
          <w:lang w:eastAsia="zh-TW"/>
        </w:rPr>
      </w:pPr>
      <w:r>
        <w:rPr>
          <w:rFonts w:hint="eastAsia" w:cs="宋体" w:asciiTheme="minorEastAsia" w:hAnsiTheme="minorEastAsia" w:eastAsiaTheme="minorEastAsia"/>
          <w:color w:val="auto"/>
          <w:szCs w:val="21"/>
          <w:highlight w:val="none"/>
          <w:lang w:eastAsia="zh-TW"/>
        </w:rPr>
        <w:t>审查、评价响应文件是否符合磋商文件的商务、技术等实质性要求；</w:t>
      </w:r>
    </w:p>
    <w:p>
      <w:pPr>
        <w:pStyle w:val="32"/>
        <w:widowControl/>
        <w:numPr>
          <w:ilvl w:val="2"/>
          <w:numId w:val="58"/>
        </w:numPr>
        <w:tabs>
          <w:tab w:val="left" w:pos="709"/>
        </w:tabs>
        <w:snapToGrid w:val="0"/>
        <w:spacing w:line="360" w:lineRule="auto"/>
        <w:ind w:firstLineChars="0"/>
        <w:contextualSpacing/>
        <w:jc w:val="left"/>
        <w:rPr>
          <w:rFonts w:cs="宋体" w:asciiTheme="minorEastAsia" w:hAnsiTheme="minorEastAsia" w:eastAsiaTheme="minorEastAsia"/>
          <w:color w:val="auto"/>
          <w:szCs w:val="21"/>
          <w:highlight w:val="none"/>
          <w:lang w:eastAsia="zh-TW"/>
        </w:rPr>
      </w:pPr>
      <w:r>
        <w:rPr>
          <w:rFonts w:hint="eastAsia" w:cs="宋体" w:asciiTheme="minorEastAsia" w:hAnsiTheme="minorEastAsia" w:eastAsiaTheme="minorEastAsia"/>
          <w:color w:val="auto"/>
          <w:szCs w:val="21"/>
          <w:highlight w:val="none"/>
          <w:lang w:eastAsia="zh-TW"/>
        </w:rPr>
        <w:t>要求供应商对响应文件有关事项作出澄清或者说明；</w:t>
      </w:r>
    </w:p>
    <w:p>
      <w:pPr>
        <w:pStyle w:val="32"/>
        <w:widowControl/>
        <w:numPr>
          <w:ilvl w:val="2"/>
          <w:numId w:val="58"/>
        </w:numPr>
        <w:tabs>
          <w:tab w:val="left" w:pos="709"/>
        </w:tabs>
        <w:snapToGrid w:val="0"/>
        <w:spacing w:line="360" w:lineRule="auto"/>
        <w:ind w:firstLineChars="0"/>
        <w:contextualSpacing/>
        <w:jc w:val="left"/>
        <w:rPr>
          <w:rFonts w:cs="宋体" w:asciiTheme="minorEastAsia" w:hAnsiTheme="minorEastAsia" w:eastAsiaTheme="minorEastAsia"/>
          <w:color w:val="auto"/>
          <w:szCs w:val="21"/>
          <w:highlight w:val="none"/>
          <w:lang w:eastAsia="zh-TW"/>
        </w:rPr>
      </w:pPr>
      <w:r>
        <w:rPr>
          <w:rFonts w:hint="eastAsia" w:cs="宋体" w:asciiTheme="minorEastAsia" w:hAnsiTheme="minorEastAsia" w:eastAsiaTheme="minorEastAsia"/>
          <w:color w:val="auto"/>
          <w:szCs w:val="21"/>
          <w:highlight w:val="none"/>
          <w:lang w:eastAsia="zh-TW"/>
        </w:rPr>
        <w:t>对响应文件进行比较和评价；</w:t>
      </w:r>
    </w:p>
    <w:p>
      <w:pPr>
        <w:pStyle w:val="32"/>
        <w:widowControl/>
        <w:numPr>
          <w:ilvl w:val="2"/>
          <w:numId w:val="58"/>
        </w:numPr>
        <w:tabs>
          <w:tab w:val="left" w:pos="709"/>
        </w:tabs>
        <w:snapToGrid w:val="0"/>
        <w:spacing w:line="360" w:lineRule="auto"/>
        <w:ind w:firstLineChars="0"/>
        <w:contextualSpacing/>
        <w:jc w:val="left"/>
        <w:rPr>
          <w:rFonts w:cs="宋体" w:asciiTheme="minorEastAsia" w:hAnsiTheme="minorEastAsia" w:eastAsiaTheme="minorEastAsia"/>
          <w:color w:val="auto"/>
          <w:szCs w:val="21"/>
          <w:highlight w:val="none"/>
          <w:lang w:eastAsia="zh-TW"/>
        </w:rPr>
      </w:pPr>
      <w:r>
        <w:rPr>
          <w:rFonts w:hint="eastAsia" w:cs="宋体" w:asciiTheme="minorEastAsia" w:hAnsiTheme="minorEastAsia" w:eastAsiaTheme="minorEastAsia"/>
          <w:color w:val="auto"/>
          <w:szCs w:val="21"/>
          <w:highlight w:val="none"/>
          <w:lang w:eastAsia="zh-TW"/>
        </w:rPr>
        <w:t>确定</w:t>
      </w:r>
      <w:r>
        <w:rPr>
          <w:rFonts w:hint="eastAsia" w:cs="宋体" w:asciiTheme="minorEastAsia" w:hAnsiTheme="minorEastAsia" w:eastAsiaTheme="minorEastAsia"/>
          <w:color w:val="auto"/>
          <w:szCs w:val="21"/>
          <w:highlight w:val="none"/>
        </w:rPr>
        <w:t>成交</w:t>
      </w:r>
      <w:r>
        <w:rPr>
          <w:rFonts w:hint="eastAsia" w:cs="宋体" w:asciiTheme="minorEastAsia" w:hAnsiTheme="minorEastAsia" w:eastAsiaTheme="minorEastAsia"/>
          <w:color w:val="auto"/>
          <w:szCs w:val="21"/>
          <w:highlight w:val="none"/>
          <w:lang w:eastAsia="zh-TW"/>
        </w:rPr>
        <w:t>候选人名单，以及根据采购人委托直接确定成交人；</w:t>
      </w:r>
    </w:p>
    <w:p>
      <w:pPr>
        <w:pStyle w:val="32"/>
        <w:widowControl/>
        <w:numPr>
          <w:ilvl w:val="2"/>
          <w:numId w:val="58"/>
        </w:numPr>
        <w:tabs>
          <w:tab w:val="left" w:pos="709"/>
        </w:tabs>
        <w:snapToGrid w:val="0"/>
        <w:spacing w:line="360" w:lineRule="auto"/>
        <w:ind w:firstLineChars="0"/>
        <w:contextualSpacing/>
        <w:jc w:val="left"/>
        <w:rPr>
          <w:rFonts w:cs="宋体" w:asciiTheme="minorEastAsia" w:hAnsiTheme="minorEastAsia" w:eastAsiaTheme="minorEastAsia"/>
          <w:color w:val="auto"/>
          <w:szCs w:val="21"/>
          <w:highlight w:val="none"/>
          <w:lang w:eastAsia="zh-TW"/>
        </w:rPr>
      </w:pPr>
      <w:r>
        <w:rPr>
          <w:rFonts w:hint="eastAsia" w:cs="宋体" w:asciiTheme="minorEastAsia" w:hAnsiTheme="minorEastAsia" w:eastAsiaTheme="minorEastAsia"/>
          <w:color w:val="auto"/>
          <w:szCs w:val="21"/>
          <w:highlight w:val="none"/>
          <w:lang w:eastAsia="zh-TW"/>
        </w:rPr>
        <w:t>向采购人、采购代理机构或者有关部门报告</w:t>
      </w:r>
      <w:r>
        <w:rPr>
          <w:rFonts w:hint="eastAsia" w:cs="宋体" w:asciiTheme="minorEastAsia" w:hAnsiTheme="minorEastAsia" w:eastAsiaTheme="minorEastAsia"/>
          <w:color w:val="auto"/>
          <w:szCs w:val="21"/>
          <w:highlight w:val="none"/>
        </w:rPr>
        <w:t>评审</w:t>
      </w:r>
      <w:r>
        <w:rPr>
          <w:rFonts w:hint="eastAsia" w:cs="宋体" w:asciiTheme="minorEastAsia" w:hAnsiTheme="minorEastAsia" w:eastAsiaTheme="minorEastAsia"/>
          <w:color w:val="auto"/>
          <w:szCs w:val="21"/>
          <w:highlight w:val="none"/>
          <w:lang w:eastAsia="zh-TW"/>
        </w:rPr>
        <w:t>中发现的违法行为。</w:t>
      </w:r>
    </w:p>
    <w:p>
      <w:pPr>
        <w:pStyle w:val="74"/>
        <w:numPr>
          <w:ilvl w:val="0"/>
          <w:numId w:val="56"/>
        </w:numPr>
        <w:snapToGrid w:val="0"/>
        <w:spacing w:line="360" w:lineRule="auto"/>
        <w:ind w:left="442" w:hanging="442"/>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4"/>
        <w:numPr>
          <w:ilvl w:val="0"/>
          <w:numId w:val="56"/>
        </w:numPr>
        <w:snapToGrid w:val="0"/>
        <w:spacing w:line="360" w:lineRule="auto"/>
        <w:ind w:left="442" w:hanging="442"/>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74"/>
        <w:numPr>
          <w:ilvl w:val="0"/>
          <w:numId w:val="56"/>
        </w:numPr>
        <w:snapToGrid w:val="0"/>
        <w:spacing w:line="360" w:lineRule="auto"/>
        <w:ind w:left="442" w:hanging="442"/>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 </w:t>
      </w:r>
    </w:p>
    <w:p>
      <w:pPr>
        <w:pStyle w:val="74"/>
        <w:numPr>
          <w:ilvl w:val="0"/>
          <w:numId w:val="56"/>
        </w:numPr>
        <w:snapToGrid w:val="0"/>
        <w:spacing w:line="360" w:lineRule="auto"/>
        <w:ind w:left="442" w:hanging="442"/>
        <w:contextualSpacing/>
        <w:rPr>
          <w:rFonts w:hint="default"/>
          <w:color w:val="auto"/>
          <w:highlight w:val="none"/>
        </w:rPr>
      </w:pPr>
      <w:r>
        <w:rPr>
          <w:rFonts w:ascii="宋体" w:hAnsi="宋体" w:eastAsia="宋体"/>
          <w:color w:val="auto"/>
          <w:sz w:val="21"/>
          <w:szCs w:val="21"/>
          <w:highlight w:val="none"/>
        </w:rPr>
        <w:t>参与评审工作的所有人员必须遵守《中华人民共和国政府采购法》、《中华人民共和国政府采购法实施条例》、《政府采购竞争性磋商采购方式管理暂行办法》及相关法律、法规的规定，以确保评审的公平、公正。</w:t>
      </w:r>
    </w:p>
    <w:p>
      <w:pPr>
        <w:pStyle w:val="74"/>
        <w:numPr>
          <w:ilvl w:val="3"/>
          <w:numId w:val="54"/>
        </w:numPr>
        <w:snapToGrid w:val="0"/>
        <w:spacing w:line="360" w:lineRule="auto"/>
        <w:ind w:left="284" w:hanging="284"/>
        <w:contextualSpacing/>
        <w:outlineLvl w:val="3"/>
        <w:rPr>
          <w:rFonts w:hint="default"/>
          <w:color w:val="auto"/>
          <w:highlight w:val="none"/>
        </w:rPr>
      </w:pPr>
      <w:r>
        <w:rPr>
          <w:rFonts w:ascii="宋体" w:hAnsi="宋体" w:eastAsia="宋体"/>
          <w:b/>
          <w:color w:val="auto"/>
          <w:sz w:val="21"/>
          <w:szCs w:val="21"/>
          <w:highlight w:val="none"/>
        </w:rPr>
        <w:t>有下列情形之一的，视为供应商串通响应，其响应无效</w:t>
      </w:r>
    </w:p>
    <w:p>
      <w:pPr>
        <w:pStyle w:val="70"/>
        <w:numPr>
          <w:ilvl w:val="0"/>
          <w:numId w:val="59"/>
        </w:numPr>
        <w:snapToGrid w:val="0"/>
        <w:spacing w:line="360" w:lineRule="auto"/>
        <w:ind w:firstLineChars="0"/>
        <w:contextualSpacing/>
        <w:rPr>
          <w:color w:val="auto"/>
          <w:highlight w:val="none"/>
        </w:rPr>
      </w:pPr>
      <w:r>
        <w:rPr>
          <w:color w:val="auto"/>
          <w:highlight w:val="none"/>
        </w:rPr>
        <w:t>不同供应商的响应文件由同一单位或者个人编制；</w:t>
      </w:r>
    </w:p>
    <w:p>
      <w:pPr>
        <w:pStyle w:val="70"/>
        <w:numPr>
          <w:ilvl w:val="0"/>
          <w:numId w:val="59"/>
        </w:numPr>
        <w:snapToGrid w:val="0"/>
        <w:spacing w:line="360" w:lineRule="auto"/>
        <w:ind w:firstLineChars="0"/>
        <w:contextualSpacing/>
        <w:rPr>
          <w:color w:val="auto"/>
          <w:highlight w:val="none"/>
        </w:rPr>
      </w:pPr>
      <w:r>
        <w:rPr>
          <w:color w:val="auto"/>
          <w:highlight w:val="none"/>
        </w:rPr>
        <w:t>不同供应商委托同一单位或者个人办理响应事宜；</w:t>
      </w:r>
    </w:p>
    <w:p>
      <w:pPr>
        <w:pStyle w:val="70"/>
        <w:numPr>
          <w:ilvl w:val="0"/>
          <w:numId w:val="59"/>
        </w:numPr>
        <w:snapToGrid w:val="0"/>
        <w:spacing w:line="360" w:lineRule="auto"/>
        <w:ind w:firstLineChars="0"/>
        <w:contextualSpacing/>
        <w:rPr>
          <w:color w:val="auto"/>
          <w:highlight w:val="none"/>
        </w:rPr>
      </w:pPr>
      <w:r>
        <w:rPr>
          <w:color w:val="auto"/>
          <w:highlight w:val="none"/>
        </w:rPr>
        <w:t>不同供应商的响应文件载明的项目管理成员或者联系人员为同一人；</w:t>
      </w:r>
    </w:p>
    <w:p>
      <w:pPr>
        <w:pStyle w:val="70"/>
        <w:numPr>
          <w:ilvl w:val="0"/>
          <w:numId w:val="59"/>
        </w:numPr>
        <w:snapToGrid w:val="0"/>
        <w:spacing w:line="360" w:lineRule="auto"/>
        <w:ind w:firstLineChars="0"/>
        <w:contextualSpacing/>
        <w:rPr>
          <w:color w:val="auto"/>
          <w:highlight w:val="none"/>
        </w:rPr>
      </w:pPr>
      <w:r>
        <w:rPr>
          <w:color w:val="auto"/>
          <w:highlight w:val="none"/>
        </w:rPr>
        <w:t>不同供应商的响应文件异常一致或者响应报价呈规律性差异；</w:t>
      </w:r>
    </w:p>
    <w:p>
      <w:pPr>
        <w:pStyle w:val="70"/>
        <w:numPr>
          <w:ilvl w:val="0"/>
          <w:numId w:val="59"/>
        </w:numPr>
        <w:snapToGrid w:val="0"/>
        <w:spacing w:line="360" w:lineRule="auto"/>
        <w:ind w:firstLineChars="0"/>
        <w:contextualSpacing/>
        <w:rPr>
          <w:color w:val="auto"/>
          <w:highlight w:val="none"/>
        </w:rPr>
      </w:pPr>
      <w:r>
        <w:rPr>
          <w:color w:val="auto"/>
          <w:highlight w:val="none"/>
        </w:rPr>
        <w:t>不同供应商的响应文件相互混装；</w:t>
      </w:r>
    </w:p>
    <w:p>
      <w:pPr>
        <w:pStyle w:val="70"/>
        <w:numPr>
          <w:ilvl w:val="0"/>
          <w:numId w:val="59"/>
        </w:numPr>
        <w:snapToGrid w:val="0"/>
        <w:spacing w:line="360" w:lineRule="auto"/>
        <w:ind w:firstLineChars="0"/>
        <w:contextualSpacing/>
        <w:rPr>
          <w:color w:val="auto"/>
          <w:highlight w:val="none"/>
        </w:rPr>
      </w:pPr>
      <w:r>
        <w:rPr>
          <w:color w:val="auto"/>
          <w:highlight w:val="none"/>
        </w:rPr>
        <w:t>不同供应商的响应保证金支付款为从同一单位或个人的账户转出。</w:t>
      </w:r>
    </w:p>
    <w:p>
      <w:pPr>
        <w:pStyle w:val="74"/>
        <w:numPr>
          <w:ilvl w:val="3"/>
          <w:numId w:val="54"/>
        </w:numPr>
        <w:snapToGrid w:val="0"/>
        <w:spacing w:line="360" w:lineRule="auto"/>
        <w:ind w:left="284" w:hanging="284"/>
        <w:contextualSpacing/>
        <w:outlineLvl w:val="3"/>
        <w:rPr>
          <w:rFonts w:hint="default"/>
          <w:color w:val="auto"/>
          <w:highlight w:val="none"/>
        </w:rPr>
      </w:pPr>
      <w:r>
        <w:rPr>
          <w:rFonts w:ascii="宋体" w:hAnsi="宋体" w:eastAsia="宋体"/>
          <w:b/>
          <w:color w:val="auto"/>
          <w:sz w:val="21"/>
          <w:szCs w:val="21"/>
          <w:highlight w:val="none"/>
        </w:rPr>
        <w:t>有下列情形之一的，属于恶意串通响应：</w:t>
      </w:r>
    </w:p>
    <w:p>
      <w:pPr>
        <w:pStyle w:val="70"/>
        <w:numPr>
          <w:ilvl w:val="0"/>
          <w:numId w:val="60"/>
        </w:numPr>
        <w:snapToGrid w:val="0"/>
        <w:spacing w:line="360" w:lineRule="auto"/>
        <w:ind w:left="442" w:hanging="442" w:firstLineChars="0"/>
        <w:contextualSpacing/>
        <w:rPr>
          <w:color w:val="auto"/>
          <w:highlight w:val="none"/>
        </w:rPr>
      </w:pPr>
      <w:r>
        <w:rPr>
          <w:color w:val="auto"/>
          <w:highlight w:val="none"/>
        </w:rPr>
        <w:t>供应商直接或者间接从采购人或者采购代理机构处获得其他供应商的相关情况并修改其响应文件；</w:t>
      </w:r>
    </w:p>
    <w:p>
      <w:pPr>
        <w:pStyle w:val="70"/>
        <w:numPr>
          <w:ilvl w:val="0"/>
          <w:numId w:val="60"/>
        </w:numPr>
        <w:snapToGrid w:val="0"/>
        <w:spacing w:line="360" w:lineRule="auto"/>
        <w:ind w:left="442" w:hanging="442" w:firstLineChars="0"/>
        <w:contextualSpacing/>
        <w:rPr>
          <w:color w:val="auto"/>
          <w:highlight w:val="none"/>
        </w:rPr>
      </w:pPr>
      <w:r>
        <w:rPr>
          <w:color w:val="auto"/>
          <w:highlight w:val="none"/>
        </w:rPr>
        <w:t>供应商按照采购人或者采购代理机构的授意撤换、修改响应文件；</w:t>
      </w:r>
    </w:p>
    <w:p>
      <w:pPr>
        <w:pStyle w:val="70"/>
        <w:numPr>
          <w:ilvl w:val="0"/>
          <w:numId w:val="60"/>
        </w:numPr>
        <w:snapToGrid w:val="0"/>
        <w:spacing w:line="360" w:lineRule="auto"/>
        <w:ind w:left="442" w:hanging="442" w:firstLineChars="0"/>
        <w:contextualSpacing/>
        <w:rPr>
          <w:color w:val="auto"/>
          <w:highlight w:val="none"/>
        </w:rPr>
      </w:pPr>
      <w:r>
        <w:rPr>
          <w:color w:val="auto"/>
          <w:highlight w:val="none"/>
        </w:rPr>
        <w:t>供应商之间协商报价、技术方案等响应文件的实质性内容；</w:t>
      </w:r>
    </w:p>
    <w:p>
      <w:pPr>
        <w:pStyle w:val="70"/>
        <w:numPr>
          <w:ilvl w:val="0"/>
          <w:numId w:val="60"/>
        </w:numPr>
        <w:snapToGrid w:val="0"/>
        <w:spacing w:line="360" w:lineRule="auto"/>
        <w:ind w:left="442" w:hanging="442" w:firstLineChars="0"/>
        <w:contextualSpacing/>
        <w:rPr>
          <w:color w:val="auto"/>
          <w:highlight w:val="none"/>
        </w:rPr>
      </w:pPr>
      <w:r>
        <w:rPr>
          <w:color w:val="auto"/>
          <w:highlight w:val="none"/>
        </w:rPr>
        <w:t>属于同一集团、协会、商会等组织成员的供应商按照该组织要求协同参加政府采购活动；</w:t>
      </w:r>
    </w:p>
    <w:p>
      <w:pPr>
        <w:pStyle w:val="70"/>
        <w:numPr>
          <w:ilvl w:val="0"/>
          <w:numId w:val="60"/>
        </w:numPr>
        <w:snapToGrid w:val="0"/>
        <w:spacing w:line="360" w:lineRule="auto"/>
        <w:ind w:left="442" w:hanging="442" w:firstLineChars="0"/>
        <w:contextualSpacing/>
        <w:rPr>
          <w:color w:val="auto"/>
          <w:highlight w:val="none"/>
        </w:rPr>
      </w:pPr>
      <w:r>
        <w:rPr>
          <w:color w:val="auto"/>
          <w:highlight w:val="none"/>
        </w:rPr>
        <w:t>供应商之间事先约定由某一特定供应商成交；</w:t>
      </w:r>
    </w:p>
    <w:p>
      <w:pPr>
        <w:pStyle w:val="70"/>
        <w:numPr>
          <w:ilvl w:val="0"/>
          <w:numId w:val="60"/>
        </w:numPr>
        <w:snapToGrid w:val="0"/>
        <w:spacing w:line="360" w:lineRule="auto"/>
        <w:ind w:left="442" w:hanging="442" w:firstLineChars="0"/>
        <w:contextualSpacing/>
        <w:rPr>
          <w:color w:val="auto"/>
          <w:highlight w:val="none"/>
        </w:rPr>
      </w:pPr>
      <w:r>
        <w:rPr>
          <w:color w:val="auto"/>
          <w:highlight w:val="none"/>
        </w:rPr>
        <w:t>供应商之间商定部分供应商放弃参加政府采购活动或者放弃成交；</w:t>
      </w:r>
    </w:p>
    <w:p>
      <w:pPr>
        <w:pStyle w:val="70"/>
        <w:numPr>
          <w:ilvl w:val="0"/>
          <w:numId w:val="60"/>
        </w:numPr>
        <w:snapToGrid w:val="0"/>
        <w:spacing w:line="360" w:lineRule="auto"/>
        <w:ind w:left="442" w:hanging="442" w:firstLineChars="0"/>
        <w:contextualSpacing/>
        <w:rPr>
          <w:color w:val="auto"/>
          <w:highlight w:val="none"/>
        </w:rPr>
      </w:pPr>
      <w:r>
        <w:rPr>
          <w:color w:val="auto"/>
          <w:highlight w:val="none"/>
        </w:rPr>
        <w:t>供应商与采购人或者采购代理机构之间、供应商相互之间，为谋求特定供应商成交或者排斥其他供应商的其他串通行为。</w:t>
      </w:r>
    </w:p>
    <w:p>
      <w:pPr>
        <w:pStyle w:val="74"/>
        <w:numPr>
          <w:ilvl w:val="3"/>
          <w:numId w:val="54"/>
        </w:numPr>
        <w:snapToGrid w:val="0"/>
        <w:spacing w:line="360" w:lineRule="auto"/>
        <w:ind w:left="284" w:hanging="284"/>
        <w:contextualSpacing/>
        <w:outlineLvl w:val="3"/>
        <w:rPr>
          <w:rFonts w:hint="default"/>
          <w:color w:val="auto"/>
          <w:highlight w:val="none"/>
        </w:rPr>
      </w:pPr>
      <w:r>
        <w:rPr>
          <w:rFonts w:ascii="宋体" w:hAnsi="宋体" w:eastAsia="宋体"/>
          <w:b/>
          <w:color w:val="auto"/>
          <w:sz w:val="21"/>
          <w:szCs w:val="21"/>
          <w:highlight w:val="none"/>
        </w:rPr>
        <w:t>其他响应无效的情形</w:t>
      </w:r>
    </w:p>
    <w:p>
      <w:pPr>
        <w:snapToGrid w:val="0"/>
        <w:spacing w:line="360" w:lineRule="auto"/>
        <w:ind w:firstLine="420" w:firstLineChars="200"/>
        <w:contextualSpacing/>
        <w:rPr>
          <w:color w:val="auto"/>
          <w:highlight w:val="none"/>
        </w:rPr>
      </w:pPr>
      <w:r>
        <w:rPr>
          <w:rFonts w:hint="eastAsia"/>
          <w:color w:val="auto"/>
          <w:highlight w:val="none"/>
        </w:rPr>
        <w:t>详见资格性审查、符合性审查和磋商文件其他响应无效条款。</w:t>
      </w:r>
    </w:p>
    <w:p>
      <w:pPr>
        <w:pStyle w:val="74"/>
        <w:numPr>
          <w:ilvl w:val="3"/>
          <w:numId w:val="54"/>
        </w:numPr>
        <w:snapToGrid w:val="0"/>
        <w:spacing w:line="360" w:lineRule="auto"/>
        <w:ind w:left="284" w:hanging="284"/>
        <w:contextualSpacing/>
        <w:outlineLvl w:val="3"/>
        <w:rPr>
          <w:rFonts w:hint="default"/>
          <w:color w:val="auto"/>
          <w:highlight w:val="none"/>
        </w:rPr>
      </w:pPr>
      <w:r>
        <w:rPr>
          <w:rFonts w:ascii="宋体" w:hAnsi="宋体" w:eastAsia="宋体"/>
          <w:b/>
          <w:color w:val="auto"/>
          <w:sz w:val="21"/>
          <w:szCs w:val="21"/>
          <w:highlight w:val="none"/>
        </w:rPr>
        <w:t>终止竞争性磋商采购活动的情形</w:t>
      </w:r>
    </w:p>
    <w:p>
      <w:pPr>
        <w:pStyle w:val="70"/>
        <w:numPr>
          <w:ilvl w:val="0"/>
          <w:numId w:val="61"/>
        </w:numPr>
        <w:snapToGrid w:val="0"/>
        <w:spacing w:line="360" w:lineRule="auto"/>
        <w:ind w:firstLineChars="0"/>
        <w:contextualSpacing/>
        <w:rPr>
          <w:rFonts w:ascii="宋体" w:hAnsi="宋体"/>
          <w:color w:val="auto"/>
          <w:highlight w:val="none"/>
        </w:rPr>
      </w:pPr>
      <w:r>
        <w:rPr>
          <w:rFonts w:hint="eastAsia" w:ascii="宋体" w:hAnsi="宋体"/>
          <w:color w:val="auto"/>
          <w:highlight w:val="none"/>
        </w:rPr>
        <w:t>出现下列情形之一的，采购人或者采购代理机构应当终止竞争性磋商采购活动，发布项目终止公告并说明原因，重新开展采购活动：</w:t>
      </w:r>
    </w:p>
    <w:p>
      <w:pPr>
        <w:pStyle w:val="70"/>
        <w:numPr>
          <w:ilvl w:val="0"/>
          <w:numId w:val="62"/>
        </w:numPr>
        <w:snapToGrid w:val="0"/>
        <w:spacing w:line="360" w:lineRule="auto"/>
        <w:ind w:left="567" w:hanging="567" w:firstLineChars="0"/>
        <w:contextualSpacing/>
        <w:rPr>
          <w:rFonts w:ascii="宋体" w:hAnsi="宋体"/>
          <w:color w:val="auto"/>
          <w:highlight w:val="none"/>
        </w:rPr>
      </w:pPr>
      <w:r>
        <w:rPr>
          <w:rFonts w:ascii="宋体" w:hAnsi="宋体"/>
          <w:color w:val="auto"/>
          <w:highlight w:val="none"/>
        </w:rPr>
        <w:t>因情况变化，不再符合规定的竞争性磋商采购方式适用情形的；</w:t>
      </w:r>
    </w:p>
    <w:p>
      <w:pPr>
        <w:pStyle w:val="70"/>
        <w:numPr>
          <w:ilvl w:val="0"/>
          <w:numId w:val="62"/>
        </w:numPr>
        <w:snapToGrid w:val="0"/>
        <w:spacing w:line="360" w:lineRule="auto"/>
        <w:ind w:left="567" w:hanging="567" w:firstLineChars="0"/>
        <w:contextualSpacing/>
        <w:rPr>
          <w:rFonts w:ascii="宋体" w:hAnsi="宋体"/>
          <w:color w:val="auto"/>
          <w:highlight w:val="none"/>
        </w:rPr>
      </w:pPr>
      <w:r>
        <w:rPr>
          <w:rFonts w:ascii="宋体" w:hAnsi="宋体"/>
          <w:color w:val="auto"/>
          <w:highlight w:val="none"/>
        </w:rPr>
        <w:t>出现影响采购公正的违法、违规行为的；</w:t>
      </w:r>
    </w:p>
    <w:p>
      <w:pPr>
        <w:pStyle w:val="70"/>
        <w:numPr>
          <w:ilvl w:val="0"/>
          <w:numId w:val="62"/>
        </w:numPr>
        <w:snapToGrid w:val="0"/>
        <w:spacing w:line="360" w:lineRule="auto"/>
        <w:ind w:left="567" w:hanging="567" w:firstLineChars="0"/>
        <w:contextualSpacing/>
        <w:rPr>
          <w:color w:val="auto"/>
          <w:highlight w:val="none"/>
        </w:rPr>
      </w:pPr>
      <w:r>
        <w:rPr>
          <w:rFonts w:ascii="宋体" w:hAnsi="宋体"/>
          <w:color w:val="auto"/>
          <w:highlight w:val="none"/>
        </w:rPr>
        <w:t>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w:t>
      </w:r>
      <w:r>
        <w:rPr>
          <w:rFonts w:hint="eastAsia" w:ascii="宋体" w:hAnsi="宋体"/>
          <w:color w:val="auto"/>
          <w:highlight w:val="none"/>
        </w:rPr>
        <w:t>（或最高限价）</w:t>
      </w:r>
      <w:r>
        <w:rPr>
          <w:rFonts w:ascii="宋体" w:hAnsi="宋体"/>
          <w:color w:val="auto"/>
          <w:highlight w:val="none"/>
        </w:rPr>
        <w:t>的供应商不足3家的；</w:t>
      </w:r>
    </w:p>
    <w:p>
      <w:pPr>
        <w:pStyle w:val="70"/>
        <w:numPr>
          <w:ilvl w:val="0"/>
          <w:numId w:val="62"/>
        </w:numPr>
        <w:snapToGrid w:val="0"/>
        <w:spacing w:line="360" w:lineRule="auto"/>
        <w:ind w:left="567" w:hanging="567" w:firstLineChars="0"/>
        <w:contextualSpacing/>
        <w:rPr>
          <w:color w:val="auto"/>
          <w:highlight w:val="none"/>
        </w:rPr>
      </w:pPr>
      <w:r>
        <w:rPr>
          <w:color w:val="auto"/>
          <w:highlight w:val="none"/>
        </w:rPr>
        <w:t>法律、法规以及磋商文件规定其他情形。</w:t>
      </w:r>
    </w:p>
    <w:p>
      <w:pPr>
        <w:pStyle w:val="74"/>
        <w:numPr>
          <w:ilvl w:val="3"/>
          <w:numId w:val="54"/>
        </w:numPr>
        <w:snapToGrid w:val="0"/>
        <w:spacing w:line="360" w:lineRule="auto"/>
        <w:ind w:left="284" w:hanging="284"/>
        <w:contextualSpacing/>
        <w:outlineLvl w:val="3"/>
        <w:rPr>
          <w:rFonts w:hint="default"/>
          <w:color w:val="auto"/>
          <w:highlight w:val="none"/>
        </w:rPr>
      </w:pPr>
      <w:r>
        <w:rPr>
          <w:rFonts w:ascii="宋体" w:hAnsi="宋体" w:eastAsia="宋体"/>
          <w:b/>
          <w:color w:val="auto"/>
          <w:sz w:val="21"/>
          <w:szCs w:val="21"/>
          <w:highlight w:val="none"/>
        </w:rPr>
        <w:t>确定成交供应商</w:t>
      </w:r>
    </w:p>
    <w:p>
      <w:pPr>
        <w:snapToGrid w:val="0"/>
        <w:spacing w:line="360" w:lineRule="auto"/>
        <w:ind w:firstLine="420" w:firstLineChars="200"/>
        <w:contextualSpacing/>
        <w:rPr>
          <w:color w:val="auto"/>
          <w:highlight w:val="none"/>
        </w:rPr>
      </w:pPr>
      <w:r>
        <w:rPr>
          <w:rFonts w:hint="eastAsia"/>
          <w:color w:val="auto"/>
          <w:highlight w:val="none"/>
        </w:rPr>
        <w:t>磋商小组按照磋商文件确定的评审方法、步骤、标准，对响应文件进行评审。评审结束后，对供应商的评审名次进行排序，确定成交供应商或者推荐成交候选供应商。</w:t>
      </w:r>
    </w:p>
    <w:p>
      <w:pPr>
        <w:pStyle w:val="74"/>
        <w:numPr>
          <w:ilvl w:val="3"/>
          <w:numId w:val="54"/>
        </w:numPr>
        <w:snapToGrid w:val="0"/>
        <w:spacing w:line="360" w:lineRule="auto"/>
        <w:ind w:left="284" w:hanging="284"/>
        <w:contextualSpacing/>
        <w:outlineLvl w:val="3"/>
        <w:rPr>
          <w:rFonts w:hint="default"/>
          <w:color w:val="auto"/>
          <w:highlight w:val="none"/>
        </w:rPr>
      </w:pPr>
      <w:r>
        <w:rPr>
          <w:rFonts w:ascii="宋体" w:hAnsi="宋体" w:eastAsia="宋体"/>
          <w:b/>
          <w:color w:val="auto"/>
          <w:sz w:val="21"/>
          <w:szCs w:val="21"/>
          <w:highlight w:val="none"/>
        </w:rPr>
        <w:t>价格修正</w:t>
      </w:r>
    </w:p>
    <w:p>
      <w:pPr>
        <w:pStyle w:val="70"/>
        <w:numPr>
          <w:ilvl w:val="0"/>
          <w:numId w:val="63"/>
        </w:numPr>
        <w:snapToGrid w:val="0"/>
        <w:spacing w:line="360" w:lineRule="auto"/>
        <w:ind w:firstLineChars="0"/>
        <w:contextualSpacing/>
        <w:rPr>
          <w:color w:val="auto"/>
          <w:highlight w:val="none"/>
        </w:rPr>
      </w:pPr>
      <w:r>
        <w:rPr>
          <w:rFonts w:hint="eastAsia"/>
          <w:color w:val="auto"/>
          <w:highlight w:val="none"/>
        </w:rPr>
        <w:t>对报价的计算错误按以下原则修正：</w:t>
      </w:r>
    </w:p>
    <w:p>
      <w:pPr>
        <w:pStyle w:val="70"/>
        <w:numPr>
          <w:ilvl w:val="0"/>
          <w:numId w:val="64"/>
        </w:numPr>
        <w:snapToGrid w:val="0"/>
        <w:spacing w:line="360" w:lineRule="auto"/>
        <w:ind w:left="709" w:hanging="709" w:firstLineChars="0"/>
        <w:contextualSpacing/>
        <w:rPr>
          <w:color w:val="auto"/>
          <w:highlight w:val="none"/>
        </w:rPr>
      </w:pPr>
      <w:r>
        <w:rPr>
          <w:color w:val="auto"/>
          <w:highlight w:val="none"/>
        </w:rPr>
        <w:t>响应文件中首次报价表（报价表）内容与响应文件中相应内容不一致的，以首次报价表（报价表）为准；</w:t>
      </w:r>
    </w:p>
    <w:p>
      <w:pPr>
        <w:pStyle w:val="70"/>
        <w:numPr>
          <w:ilvl w:val="0"/>
          <w:numId w:val="64"/>
        </w:numPr>
        <w:snapToGrid w:val="0"/>
        <w:spacing w:line="360" w:lineRule="auto"/>
        <w:ind w:left="709" w:hanging="709" w:firstLineChars="0"/>
        <w:contextualSpacing/>
        <w:rPr>
          <w:color w:val="auto"/>
          <w:highlight w:val="none"/>
        </w:rPr>
      </w:pPr>
      <w:r>
        <w:rPr>
          <w:color w:val="auto"/>
          <w:highlight w:val="none"/>
        </w:rPr>
        <w:t>大写金额和小写金额不一致的，以大写金额为准；</w:t>
      </w:r>
    </w:p>
    <w:p>
      <w:pPr>
        <w:pStyle w:val="70"/>
        <w:numPr>
          <w:ilvl w:val="0"/>
          <w:numId w:val="64"/>
        </w:numPr>
        <w:snapToGrid w:val="0"/>
        <w:spacing w:line="360" w:lineRule="auto"/>
        <w:ind w:left="709" w:hanging="709" w:firstLineChars="0"/>
        <w:contextualSpacing/>
        <w:rPr>
          <w:color w:val="auto"/>
          <w:highlight w:val="none"/>
        </w:rPr>
      </w:pPr>
      <w:r>
        <w:rPr>
          <w:color w:val="auto"/>
          <w:highlight w:val="none"/>
        </w:rPr>
        <w:t>单价金额小数点或者百分比有明显错位的，以首次报价表的总价为准，并修改单价；</w:t>
      </w:r>
    </w:p>
    <w:p>
      <w:pPr>
        <w:pStyle w:val="70"/>
        <w:numPr>
          <w:ilvl w:val="0"/>
          <w:numId w:val="64"/>
        </w:numPr>
        <w:snapToGrid w:val="0"/>
        <w:spacing w:line="360" w:lineRule="auto"/>
        <w:ind w:left="709" w:hanging="709" w:firstLineChars="0"/>
        <w:contextualSpacing/>
        <w:rPr>
          <w:color w:val="auto"/>
          <w:highlight w:val="none"/>
        </w:rPr>
      </w:pPr>
      <w:r>
        <w:rPr>
          <w:color w:val="auto"/>
          <w:highlight w:val="none"/>
        </w:rPr>
        <w:t>总价金额与按单价汇总金额不一致的，以单价金额计算结果为准。但是单价金额计算结果超过预算价的，对其按无效响应处理；</w:t>
      </w:r>
    </w:p>
    <w:p>
      <w:pPr>
        <w:snapToGrid w:val="0"/>
        <w:spacing w:line="360" w:lineRule="auto"/>
        <w:contextualSpacing/>
        <w:rPr>
          <w:color w:val="auto"/>
          <w:highlight w:val="none"/>
        </w:rPr>
      </w:pPr>
      <w:r>
        <w:rPr>
          <w:rFonts w:hint="eastAsia"/>
          <w:color w:val="auto"/>
          <w:highlight w:val="none"/>
        </w:rPr>
        <w:t>注：同时出现2种以上不一致的，按照前款规定的顺序修正。修正后的报价应当采用书面形式，并加盖公章，或者由法定代表人或其授权的代表签字，经供应商确认后产生约束力，供应商不确认的，其响应无效。</w:t>
      </w:r>
    </w:p>
    <w:p>
      <w:pPr>
        <w:pStyle w:val="70"/>
        <w:numPr>
          <w:ilvl w:val="0"/>
          <w:numId w:val="53"/>
        </w:numPr>
        <w:snapToGrid w:val="0"/>
        <w:spacing w:line="360" w:lineRule="auto"/>
        <w:ind w:left="442" w:hanging="442" w:firstLineChars="0"/>
        <w:contextualSpacing/>
        <w:rPr>
          <w:rFonts w:asciiTheme="minorEastAsia" w:hAnsiTheme="minorEastAsia"/>
          <w:b/>
          <w:bCs/>
          <w:color w:val="auto"/>
          <w:szCs w:val="21"/>
          <w:highlight w:val="none"/>
        </w:rPr>
      </w:pPr>
      <w:r>
        <w:rPr>
          <w:b/>
          <w:bCs/>
          <w:color w:val="auto"/>
          <w:highlight w:val="none"/>
        </w:rPr>
        <w:t>政府采购政策</w:t>
      </w:r>
    </w:p>
    <w:p>
      <w:pPr>
        <w:numPr>
          <w:ilvl w:val="1"/>
          <w:numId w:val="65"/>
        </w:num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价格分应当采用低价优先法计算，即满足磋商文件要求且最后报价最低的供应商的价格为磋商基准价，其价格分为满分。其他供应商的价格分统一按照下列公式计算：</w:t>
      </w:r>
    </w:p>
    <w:p>
      <w:pPr>
        <w:pStyle w:val="32"/>
        <w:spacing w:line="360" w:lineRule="auto"/>
        <w:ind w:firstLineChars="0"/>
        <w:jc w:val="left"/>
        <w:rPr>
          <w:rFonts w:asciiTheme="minorEastAsia" w:hAnsiTheme="minorEastAsia" w:eastAsiaTheme="minorEastAsia"/>
          <w:color w:val="auto"/>
          <w:highlight w:val="none"/>
        </w:rPr>
      </w:pPr>
      <w:r>
        <w:rPr>
          <w:rFonts w:hint="eastAsia" w:asciiTheme="minorEastAsia" w:hAnsiTheme="minorEastAsia" w:eastAsiaTheme="minorEastAsia"/>
          <w:bCs/>
          <w:color w:val="auto"/>
          <w:szCs w:val="21"/>
          <w:highlight w:val="none"/>
        </w:rPr>
        <w:t>磋商报价得分</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磋商</w:t>
      </w:r>
      <w:r>
        <w:rPr>
          <w:rFonts w:asciiTheme="minorEastAsia" w:hAnsiTheme="minorEastAsia" w:eastAsiaTheme="minorEastAsia"/>
          <w:bCs/>
          <w:color w:val="auto"/>
          <w:szCs w:val="21"/>
          <w:highlight w:val="none"/>
        </w:rPr>
        <w:t>基准价／</w:t>
      </w:r>
      <w:r>
        <w:rPr>
          <w:rFonts w:hint="eastAsia" w:asciiTheme="minorEastAsia" w:hAnsiTheme="minorEastAsia" w:eastAsiaTheme="minorEastAsia"/>
          <w:bCs/>
          <w:color w:val="auto"/>
          <w:szCs w:val="21"/>
          <w:highlight w:val="none"/>
        </w:rPr>
        <w:t>最后磋商报价</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价格权值×</w:t>
      </w:r>
      <w:r>
        <w:rPr>
          <w:rFonts w:hint="eastAsia" w:asciiTheme="minorEastAsia" w:hAnsiTheme="minorEastAsia" w:eastAsiaTheme="minorEastAsia"/>
          <w:color w:val="auto"/>
          <w:highlight w:val="none"/>
        </w:rPr>
        <w:t>100</w:t>
      </w:r>
    </w:p>
    <w:p>
      <w:pPr>
        <w:pStyle w:val="32"/>
        <w:spacing w:line="360" w:lineRule="auto"/>
        <w:ind w:left="-2" w:leftChars="-1" w:firstLine="0" w:firstLineChars="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注：因落实政府采购政策进行价格调整的，以调整后的价格计算磋商</w:t>
      </w:r>
      <w:r>
        <w:rPr>
          <w:rFonts w:asciiTheme="minorEastAsia" w:hAnsiTheme="minorEastAsia" w:eastAsiaTheme="minorEastAsia"/>
          <w:bCs/>
          <w:color w:val="auto"/>
          <w:szCs w:val="21"/>
          <w:highlight w:val="none"/>
        </w:rPr>
        <w:t>基准价</w:t>
      </w:r>
      <w:r>
        <w:rPr>
          <w:rFonts w:hint="eastAsia" w:asciiTheme="minorEastAsia" w:hAnsiTheme="minorEastAsia" w:eastAsiaTheme="minorEastAsia"/>
          <w:bCs/>
          <w:color w:val="auto"/>
          <w:szCs w:val="21"/>
          <w:highlight w:val="none"/>
        </w:rPr>
        <w:t>和最后磋商报价。</w:t>
      </w:r>
    </w:p>
    <w:p>
      <w:pPr>
        <w:pStyle w:val="32"/>
        <w:numPr>
          <w:ilvl w:val="0"/>
          <w:numId w:val="66"/>
        </w:numPr>
        <w:tabs>
          <w:tab w:val="left" w:pos="426"/>
        </w:tabs>
        <w:spacing w:before="156" w:beforeLines="50" w:after="156" w:afterLines="50" w:line="360" w:lineRule="auto"/>
        <w:ind w:firstLineChars="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商务技术及价格评分权值分配</w:t>
      </w:r>
    </w:p>
    <w:tbl>
      <w:tblPr>
        <w:tblStyle w:val="22"/>
        <w:tblW w:w="500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814"/>
        <w:gridCol w:w="2011"/>
        <w:gridCol w:w="2009"/>
        <w:gridCol w:w="2009"/>
        <w:gridCol w:w="14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6" w:type="pct"/>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评分项目</w:t>
            </w:r>
          </w:p>
        </w:tc>
        <w:tc>
          <w:tcPr>
            <w:tcW w:w="1082" w:type="pct"/>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价格部分</w:t>
            </w:r>
          </w:p>
        </w:tc>
        <w:tc>
          <w:tcPr>
            <w:tcW w:w="1081" w:type="pct"/>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商务部分</w:t>
            </w:r>
          </w:p>
        </w:tc>
        <w:tc>
          <w:tcPr>
            <w:tcW w:w="1081" w:type="pct"/>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技术部分</w:t>
            </w:r>
          </w:p>
        </w:tc>
        <w:tc>
          <w:tcPr>
            <w:tcW w:w="780" w:type="pct"/>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76" w:type="pct"/>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权值（%）</w:t>
            </w:r>
          </w:p>
        </w:tc>
        <w:tc>
          <w:tcPr>
            <w:tcW w:w="1082" w:type="pct"/>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20</w:t>
            </w:r>
            <w:r>
              <w:rPr>
                <w:rFonts w:hint="eastAsia" w:asciiTheme="minorEastAsia" w:hAnsiTheme="minorEastAsia" w:eastAsiaTheme="minorEastAsia"/>
                <w:color w:val="auto"/>
                <w:highlight w:val="none"/>
              </w:rPr>
              <w:t>%</w:t>
            </w:r>
          </w:p>
        </w:tc>
        <w:tc>
          <w:tcPr>
            <w:tcW w:w="1081" w:type="pct"/>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30</w:t>
            </w:r>
            <w:r>
              <w:rPr>
                <w:rFonts w:hint="eastAsia" w:asciiTheme="minorEastAsia" w:hAnsiTheme="minorEastAsia" w:eastAsiaTheme="minorEastAsia"/>
                <w:color w:val="auto"/>
                <w:highlight w:val="none"/>
              </w:rPr>
              <w:t>%</w:t>
            </w:r>
          </w:p>
        </w:tc>
        <w:tc>
          <w:tcPr>
            <w:tcW w:w="1081" w:type="pct"/>
            <w:vAlign w:val="center"/>
          </w:tcPr>
          <w:p>
            <w:pPr>
              <w:jc w:val="center"/>
              <w:rPr>
                <w:rFonts w:asciiTheme="minorEastAsia" w:hAnsiTheme="minorEastAsia" w:eastAsiaTheme="minorEastAsia"/>
                <w:i/>
                <w:color w:val="auto"/>
                <w:highlight w:val="none"/>
              </w:rPr>
            </w:pPr>
            <w:r>
              <w:rPr>
                <w:rFonts w:asciiTheme="minorEastAsia" w:hAnsiTheme="minorEastAsia" w:eastAsiaTheme="minorEastAsia"/>
                <w:color w:val="auto"/>
                <w:highlight w:val="none"/>
              </w:rPr>
              <w:t>50</w:t>
            </w:r>
            <w:r>
              <w:rPr>
                <w:rFonts w:hint="eastAsia" w:asciiTheme="minorEastAsia" w:hAnsiTheme="minorEastAsia" w:eastAsiaTheme="minorEastAsia"/>
                <w:color w:val="auto"/>
                <w:highlight w:val="none"/>
              </w:rPr>
              <w:t>%</w:t>
            </w:r>
          </w:p>
        </w:tc>
        <w:tc>
          <w:tcPr>
            <w:tcW w:w="780" w:type="pct"/>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100</w:t>
            </w:r>
            <w:r>
              <w:rPr>
                <w:rFonts w:hint="eastAsia" w:asciiTheme="minorEastAsia" w:hAnsiTheme="minorEastAsia" w:eastAsiaTheme="minorEastAsia"/>
                <w:color w:val="auto"/>
                <w:highlight w:val="none"/>
              </w:rPr>
              <w:t>%</w:t>
            </w:r>
          </w:p>
        </w:tc>
      </w:tr>
    </w:tbl>
    <w:p>
      <w:pPr>
        <w:pStyle w:val="32"/>
        <w:numPr>
          <w:ilvl w:val="0"/>
          <w:numId w:val="67"/>
        </w:numPr>
        <w:spacing w:before="156" w:beforeLines="50" w:line="360" w:lineRule="auto"/>
        <w:ind w:firstLineChars="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综合得分＝商务得分＋技术得分＋价格得分</w:t>
      </w:r>
    </w:p>
    <w:p>
      <w:pPr>
        <w:widowControl/>
        <w:snapToGrid w:val="0"/>
        <w:spacing w:line="360" w:lineRule="auto"/>
        <w:contextualSpacing/>
        <w:rPr>
          <w:rFonts w:hint="default"/>
          <w:b/>
          <w:color w:val="auto"/>
          <w:sz w:val="24"/>
          <w:highlight w:val="none"/>
        </w:rPr>
      </w:pPr>
    </w:p>
    <w:p>
      <w:pPr>
        <w:pStyle w:val="70"/>
        <w:numPr>
          <w:ilvl w:val="0"/>
          <w:numId w:val="53"/>
        </w:numPr>
        <w:snapToGrid w:val="0"/>
        <w:spacing w:line="360" w:lineRule="auto"/>
        <w:ind w:left="442" w:hanging="442" w:firstLineChars="0"/>
        <w:contextualSpacing/>
        <w:rPr>
          <w:color w:val="auto"/>
          <w:highlight w:val="none"/>
        </w:rPr>
      </w:pPr>
      <w:r>
        <w:rPr>
          <w:b/>
          <w:bCs/>
          <w:color w:val="auto"/>
          <w:highlight w:val="none"/>
        </w:rPr>
        <w:t>评审程序</w:t>
      </w:r>
    </w:p>
    <w:p>
      <w:pPr>
        <w:pStyle w:val="74"/>
        <w:numPr>
          <w:ilvl w:val="0"/>
          <w:numId w:val="68"/>
        </w:numPr>
        <w:snapToGrid w:val="0"/>
        <w:spacing w:line="360" w:lineRule="auto"/>
        <w:ind w:left="284" w:hanging="284"/>
        <w:contextualSpacing/>
        <w:outlineLvl w:val="3"/>
        <w:rPr>
          <w:rFonts w:hint="default" w:ascii="宋体" w:hAnsi="宋体" w:eastAsia="宋体"/>
          <w:color w:val="auto"/>
          <w:sz w:val="21"/>
          <w:szCs w:val="21"/>
          <w:highlight w:val="none"/>
        </w:rPr>
      </w:pPr>
      <w:r>
        <w:rPr>
          <w:rFonts w:ascii="宋体" w:hAnsi="宋体" w:eastAsia="宋体"/>
          <w:b/>
          <w:color w:val="auto"/>
          <w:sz w:val="21"/>
          <w:szCs w:val="21"/>
          <w:highlight w:val="none"/>
        </w:rPr>
        <w:t>资格性审查和符合性审查</w:t>
      </w:r>
    </w:p>
    <w:p>
      <w:pPr>
        <w:pStyle w:val="74"/>
        <w:numPr>
          <w:ilvl w:val="0"/>
          <w:numId w:val="69"/>
        </w:numPr>
        <w:snapToGrid w:val="0"/>
        <w:spacing w:line="360" w:lineRule="auto"/>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74"/>
        <w:numPr>
          <w:ilvl w:val="0"/>
          <w:numId w:val="69"/>
        </w:numPr>
        <w:snapToGrid w:val="0"/>
        <w:spacing w:line="360" w:lineRule="auto"/>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磋商小组对各磋商供应商进行资格性和符合性审查过程中，对初步被认定为初审不合格或无效响应者应实行及时告知，由磋商小组组长或采购人代表将集体意见及时告知报价当事人。</w:t>
      </w:r>
    </w:p>
    <w:p>
      <w:pPr>
        <w:pStyle w:val="74"/>
        <w:snapToGrid w:val="0"/>
        <w:spacing w:line="360" w:lineRule="auto"/>
        <w:contextualSpacing/>
        <w:rPr>
          <w:rFonts w:hint="default"/>
          <w:b/>
          <w:bCs/>
          <w:color w:val="auto"/>
          <w:highlight w:val="none"/>
        </w:rPr>
      </w:pPr>
      <w:r>
        <w:rPr>
          <w:rFonts w:ascii="宋体" w:hAnsi="宋体" w:eastAsia="宋体"/>
          <w:b/>
          <w:bCs/>
          <w:color w:val="auto"/>
          <w:sz w:val="21"/>
          <w:szCs w:val="21"/>
          <w:highlight w:val="none"/>
        </w:rPr>
        <w:t>表一资格性审查表：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565"/>
        <w:gridCol w:w="5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60" w:type="pct"/>
            <w:vAlign w:val="center"/>
          </w:tcPr>
          <w:p>
            <w:pPr>
              <w:widowControl/>
              <w:snapToGrid w:val="0"/>
              <w:spacing w:line="360" w:lineRule="auto"/>
              <w:contextualSpacing/>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序号</w:t>
            </w:r>
          </w:p>
        </w:tc>
        <w:tc>
          <w:tcPr>
            <w:tcW w:w="4540" w:type="pct"/>
            <w:gridSpan w:val="2"/>
            <w:vAlign w:val="center"/>
          </w:tcPr>
          <w:p>
            <w:pPr>
              <w:widowControl/>
              <w:snapToGrid w:val="0"/>
              <w:spacing w:line="360" w:lineRule="auto"/>
              <w:contextualSpacing/>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资格审查内容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60" w:type="pct"/>
            <w:vAlign w:val="center"/>
          </w:tcPr>
          <w:p>
            <w:pPr>
              <w:widowControl/>
              <w:snapToGrid w:val="0"/>
              <w:spacing w:line="360" w:lineRule="auto"/>
              <w:contextualSpacing/>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4540" w:type="pct"/>
            <w:gridSpan w:val="2"/>
            <w:vAlign w:val="center"/>
          </w:tcPr>
          <w:p>
            <w:pPr>
              <w:widowControl/>
              <w:snapToGrid w:val="0"/>
              <w:spacing w:line="360" w:lineRule="auto"/>
              <w:contextualSpacing/>
              <w:rPr>
                <w:rFonts w:ascii="宋体" w:hAnsi="宋体"/>
                <w:color w:val="auto"/>
                <w:kern w:val="0"/>
                <w:szCs w:val="21"/>
                <w:highlight w:val="none"/>
              </w:rPr>
            </w:pPr>
            <w:r>
              <w:rPr>
                <w:rFonts w:hint="eastAsia" w:ascii="宋体" w:hAnsi="宋体"/>
                <w:color w:val="auto"/>
                <w:kern w:val="0"/>
                <w:szCs w:val="21"/>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Align w:val="center"/>
          </w:tcPr>
          <w:p>
            <w:pPr>
              <w:widowControl/>
              <w:snapToGrid w:val="0"/>
              <w:spacing w:line="360" w:lineRule="auto"/>
              <w:contextualSpacing/>
              <w:jc w:val="center"/>
              <w:rPr>
                <w:rFonts w:ascii="宋体" w:hAnsi="宋体"/>
                <w:color w:val="auto"/>
                <w:kern w:val="0"/>
                <w:szCs w:val="21"/>
                <w:highlight w:val="none"/>
              </w:rPr>
            </w:pPr>
            <w:r>
              <w:rPr>
                <w:rFonts w:ascii="宋体" w:hAnsi="宋体"/>
                <w:color w:val="auto"/>
                <w:kern w:val="0"/>
                <w:szCs w:val="21"/>
                <w:highlight w:val="none"/>
                <w:lang w:eastAsia="zh-Hans"/>
              </w:rPr>
              <w:t>1</w:t>
            </w:r>
            <w:r>
              <w:rPr>
                <w:rFonts w:hint="eastAsia" w:ascii="宋体" w:hAnsi="宋体"/>
                <w:color w:val="auto"/>
                <w:kern w:val="0"/>
                <w:szCs w:val="21"/>
                <w:highlight w:val="none"/>
              </w:rPr>
              <w:t>.1</w:t>
            </w:r>
          </w:p>
        </w:tc>
        <w:tc>
          <w:tcPr>
            <w:tcW w:w="1381" w:type="pct"/>
            <w:vAlign w:val="center"/>
          </w:tcPr>
          <w:p>
            <w:pPr>
              <w:widowControl/>
              <w:snapToGrid w:val="0"/>
              <w:spacing w:line="360" w:lineRule="auto"/>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具有独立承担民事责任的能力</w:t>
            </w:r>
          </w:p>
        </w:tc>
        <w:tc>
          <w:tcPr>
            <w:tcW w:w="3159" w:type="pct"/>
            <w:vAlign w:val="center"/>
          </w:tcPr>
          <w:p>
            <w:pPr>
              <w:widowControl/>
              <w:snapToGrid w:val="0"/>
              <w:spacing w:line="360" w:lineRule="auto"/>
              <w:contextualSpacing/>
              <w:rPr>
                <w:rFonts w:ascii="宋体" w:hAnsi="宋体"/>
                <w:color w:val="auto"/>
                <w:kern w:val="0"/>
                <w:szCs w:val="21"/>
                <w:highlight w:val="none"/>
                <w:lang w:eastAsia="zh-Hans"/>
              </w:rPr>
            </w:pPr>
            <w:r>
              <w:rPr>
                <w:rFonts w:hint="eastAsia" w:ascii="宋体" w:hAnsi="宋体" w:cs="宋体"/>
                <w:color w:val="auto"/>
                <w:kern w:val="0"/>
                <w:szCs w:val="21"/>
                <w:highlight w:val="none"/>
              </w:rPr>
              <w:t>提供在中华人民共和国境内注册的法人或其他组织的营业执照或事业单位法人证书或社会团体法人登记证书复印件，如供应商为自然人的提供自然人身份证明复印件；如国家另有规定的，则从其规定。（分支机构响应，须取得具有法人资格的总公司（总所）出具给分支机构的授权书，并提供总公司（总所）和分支机构的营业执照（执业许可证）复印件。已由总公司（总所）授权的 ，总公司（总所）取得的相关资质证书对分支机构有效，法律法规或者行业另有规定的除外。）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Align w:val="center"/>
          </w:tcPr>
          <w:p>
            <w:pPr>
              <w:widowControl/>
              <w:snapToGrid w:val="0"/>
              <w:spacing w:line="360" w:lineRule="auto"/>
              <w:contextualSpacing/>
              <w:jc w:val="center"/>
              <w:rPr>
                <w:rFonts w:ascii="宋体" w:hAnsi="宋体"/>
                <w:color w:val="auto"/>
                <w:kern w:val="0"/>
                <w:szCs w:val="21"/>
                <w:highlight w:val="none"/>
              </w:rPr>
            </w:pPr>
            <w:r>
              <w:rPr>
                <w:rFonts w:hint="eastAsia" w:ascii="宋体" w:hAnsi="宋体"/>
                <w:color w:val="auto"/>
                <w:kern w:val="0"/>
                <w:szCs w:val="21"/>
                <w:highlight w:val="none"/>
              </w:rPr>
              <w:t>1.2</w:t>
            </w:r>
          </w:p>
        </w:tc>
        <w:tc>
          <w:tcPr>
            <w:tcW w:w="1381" w:type="pct"/>
            <w:vAlign w:val="center"/>
          </w:tcPr>
          <w:p>
            <w:pPr>
              <w:widowControl/>
              <w:snapToGrid w:val="0"/>
              <w:spacing w:line="360" w:lineRule="auto"/>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具有良好的商业信誉和健全的财务会计制度</w:t>
            </w:r>
          </w:p>
        </w:tc>
        <w:tc>
          <w:tcPr>
            <w:tcW w:w="3159" w:type="pct"/>
            <w:vAlign w:val="center"/>
          </w:tcPr>
          <w:p>
            <w:pPr>
              <w:widowControl/>
              <w:snapToGrid w:val="0"/>
              <w:spacing w:line="360" w:lineRule="auto"/>
              <w:contextualSpacing/>
              <w:rPr>
                <w:rFonts w:ascii="宋体" w:hAnsi="宋体"/>
                <w:color w:val="auto"/>
                <w:kern w:val="0"/>
                <w:szCs w:val="21"/>
                <w:highlight w:val="none"/>
                <w:lang w:eastAsia="zh-Hans"/>
              </w:rPr>
            </w:pPr>
            <w:r>
              <w:rPr>
                <w:rFonts w:hint="eastAsia" w:ascii="宋体" w:hAnsi="宋体"/>
                <w:bCs/>
                <w:color w:val="auto"/>
                <w:kern w:val="0"/>
                <w:szCs w:val="21"/>
                <w:highlight w:val="none"/>
              </w:rPr>
              <w:t>提供</w:t>
            </w:r>
            <w:r>
              <w:rPr>
                <w:rFonts w:ascii="宋体" w:hAnsi="宋体"/>
                <w:bCs/>
                <w:color w:val="auto"/>
                <w:kern w:val="0"/>
                <w:szCs w:val="21"/>
                <w:highlight w:val="none"/>
              </w:rPr>
              <w:t>2022年或2023年财务状况报告或者基本户开户银行出具的资信证明或提供资格条件承诺函（详见</w:t>
            </w:r>
            <w:r>
              <w:rPr>
                <w:rFonts w:hint="eastAsia" w:ascii="宋体" w:hAnsi="宋体"/>
                <w:bCs/>
                <w:color w:val="auto"/>
                <w:kern w:val="0"/>
                <w:szCs w:val="21"/>
                <w:highlight w:val="none"/>
              </w:rPr>
              <w:t>响应</w:t>
            </w:r>
            <w:r>
              <w:rPr>
                <w:rFonts w:ascii="宋体" w:hAnsi="宋体"/>
                <w:bCs/>
                <w:color w:val="auto"/>
                <w:kern w:val="0"/>
                <w:szCs w:val="21"/>
                <w:highlight w:val="none"/>
              </w:rPr>
              <w:t>文件格式）</w:t>
            </w:r>
            <w:r>
              <w:rPr>
                <w:rFonts w:hint="eastAsia" w:ascii="宋体" w:hAnsi="宋体"/>
                <w:bCs/>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Align w:val="center"/>
          </w:tcPr>
          <w:p>
            <w:pPr>
              <w:widowControl/>
              <w:snapToGrid w:val="0"/>
              <w:spacing w:line="360" w:lineRule="auto"/>
              <w:contextualSpacing/>
              <w:jc w:val="center"/>
              <w:rPr>
                <w:rFonts w:ascii="宋体" w:hAnsi="宋体"/>
                <w:color w:val="auto"/>
                <w:kern w:val="0"/>
                <w:szCs w:val="21"/>
                <w:highlight w:val="none"/>
              </w:rPr>
            </w:pPr>
            <w:r>
              <w:rPr>
                <w:rFonts w:hint="eastAsia" w:ascii="宋体" w:hAnsi="宋体"/>
                <w:color w:val="auto"/>
                <w:kern w:val="0"/>
                <w:szCs w:val="21"/>
                <w:highlight w:val="none"/>
              </w:rPr>
              <w:t>1.3</w:t>
            </w:r>
          </w:p>
        </w:tc>
        <w:tc>
          <w:tcPr>
            <w:tcW w:w="1381" w:type="pct"/>
            <w:vAlign w:val="center"/>
          </w:tcPr>
          <w:p>
            <w:pPr>
              <w:widowControl/>
              <w:snapToGrid w:val="0"/>
              <w:spacing w:line="360" w:lineRule="auto"/>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履行合同所必需的设备和专业技术能力</w:t>
            </w:r>
          </w:p>
        </w:tc>
        <w:tc>
          <w:tcPr>
            <w:tcW w:w="3159" w:type="pct"/>
            <w:vAlign w:val="center"/>
          </w:tcPr>
          <w:p>
            <w:pPr>
              <w:widowControl/>
              <w:snapToGrid w:val="0"/>
              <w:spacing w:line="360" w:lineRule="auto"/>
              <w:contextualSpacing/>
              <w:rPr>
                <w:rFonts w:ascii="宋体" w:hAnsi="宋体"/>
                <w:color w:val="auto"/>
                <w:kern w:val="0"/>
                <w:szCs w:val="21"/>
                <w:highlight w:val="none"/>
                <w:lang w:eastAsia="zh-Hans"/>
              </w:rPr>
            </w:pPr>
            <w:r>
              <w:rPr>
                <w:rFonts w:hint="eastAsia" w:ascii="宋体" w:hAnsi="宋体"/>
                <w:bCs/>
                <w:color w:val="auto"/>
                <w:kern w:val="0"/>
                <w:szCs w:val="21"/>
                <w:highlight w:val="none"/>
              </w:rPr>
              <w:t>提供资格条件承诺函（</w:t>
            </w:r>
            <w:r>
              <w:rPr>
                <w:rFonts w:ascii="宋体" w:hAnsi="宋体"/>
                <w:bCs/>
                <w:color w:val="auto"/>
                <w:kern w:val="0"/>
                <w:szCs w:val="21"/>
                <w:highlight w:val="none"/>
              </w:rPr>
              <w:t>详见</w:t>
            </w:r>
            <w:r>
              <w:rPr>
                <w:rFonts w:hint="eastAsia" w:ascii="宋体" w:hAnsi="宋体"/>
                <w:bCs/>
                <w:color w:val="auto"/>
                <w:kern w:val="0"/>
                <w:szCs w:val="21"/>
                <w:highlight w:val="none"/>
              </w:rPr>
              <w:t>响应</w:t>
            </w:r>
            <w:r>
              <w:rPr>
                <w:rFonts w:ascii="宋体" w:hAnsi="宋体"/>
                <w:bCs/>
                <w:color w:val="auto"/>
                <w:kern w:val="0"/>
                <w:szCs w:val="21"/>
                <w:highlight w:val="none"/>
              </w:rPr>
              <w:t>文件格式</w:t>
            </w:r>
            <w:r>
              <w:rPr>
                <w:rFonts w:hint="eastAsia" w:ascii="宋体" w:hAnsi="宋体"/>
                <w:bCs/>
                <w:color w:val="auto"/>
                <w:kern w:val="0"/>
                <w:szCs w:val="21"/>
                <w:highlight w:val="none"/>
              </w:rPr>
              <w:t>）</w:t>
            </w:r>
            <w:r>
              <w:rPr>
                <w:rFonts w:ascii="宋体" w:hAnsi="宋体"/>
                <w:color w:val="auto"/>
                <w:kern w:val="0"/>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Align w:val="center"/>
          </w:tcPr>
          <w:p>
            <w:pPr>
              <w:widowControl/>
              <w:snapToGrid w:val="0"/>
              <w:spacing w:line="360" w:lineRule="auto"/>
              <w:contextualSpacing/>
              <w:jc w:val="center"/>
              <w:rPr>
                <w:rFonts w:ascii="宋体" w:hAnsi="宋体"/>
                <w:color w:val="auto"/>
                <w:kern w:val="0"/>
                <w:szCs w:val="21"/>
                <w:highlight w:val="none"/>
              </w:rPr>
            </w:pPr>
            <w:r>
              <w:rPr>
                <w:rFonts w:hint="eastAsia" w:ascii="宋体" w:hAnsi="宋体"/>
                <w:color w:val="auto"/>
                <w:kern w:val="0"/>
                <w:szCs w:val="21"/>
                <w:highlight w:val="none"/>
              </w:rPr>
              <w:t>1.4</w:t>
            </w:r>
          </w:p>
        </w:tc>
        <w:tc>
          <w:tcPr>
            <w:tcW w:w="1381" w:type="pct"/>
            <w:vAlign w:val="center"/>
          </w:tcPr>
          <w:p>
            <w:pPr>
              <w:widowControl/>
              <w:snapToGrid w:val="0"/>
              <w:spacing w:line="360" w:lineRule="auto"/>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有依法缴纳税收和社会保障资金的良好记录</w:t>
            </w:r>
          </w:p>
        </w:tc>
        <w:tc>
          <w:tcPr>
            <w:tcW w:w="3159" w:type="pct"/>
            <w:vAlign w:val="center"/>
          </w:tcPr>
          <w:p>
            <w:pPr>
              <w:widowControl/>
              <w:snapToGrid w:val="0"/>
              <w:spacing w:line="360" w:lineRule="auto"/>
              <w:contextualSpacing/>
              <w:rPr>
                <w:rFonts w:ascii="宋体" w:hAnsi="宋体"/>
                <w:color w:val="auto"/>
                <w:kern w:val="0"/>
                <w:szCs w:val="21"/>
                <w:highlight w:val="none"/>
                <w:lang w:eastAsia="zh-Hans"/>
              </w:rPr>
            </w:pPr>
            <w:r>
              <w:rPr>
                <w:rFonts w:hint="eastAsia" w:ascii="宋体" w:hAnsi="宋体"/>
                <w:bCs/>
                <w:color w:val="auto"/>
                <w:kern w:val="0"/>
                <w:szCs w:val="21"/>
                <w:highlight w:val="none"/>
              </w:rPr>
              <w:t>提供响应截止日前</w:t>
            </w:r>
            <w:r>
              <w:rPr>
                <w:rFonts w:ascii="宋体" w:hAnsi="宋体"/>
                <w:bCs/>
                <w:color w:val="auto"/>
                <w:kern w:val="0"/>
                <w:szCs w:val="21"/>
                <w:highlight w:val="none"/>
              </w:rPr>
              <w:t>6个月内任意1个月依法缴纳税收和社会保障资金的相关材料；如依法免税或不需要缴纳社会保障资金的，提供相应证明材料。或提供资格条件承诺函（详见</w:t>
            </w:r>
            <w:r>
              <w:rPr>
                <w:rFonts w:hint="eastAsia" w:ascii="宋体" w:hAnsi="宋体"/>
                <w:bCs/>
                <w:color w:val="auto"/>
                <w:kern w:val="0"/>
                <w:szCs w:val="21"/>
                <w:highlight w:val="none"/>
              </w:rPr>
              <w:t>响应</w:t>
            </w:r>
            <w:r>
              <w:rPr>
                <w:rFonts w:ascii="宋体" w:hAnsi="宋体"/>
                <w:bCs/>
                <w:color w:val="auto"/>
                <w:kern w:val="0"/>
                <w:szCs w:val="21"/>
                <w:highlight w:val="none"/>
              </w:rPr>
              <w:t>文件格式</w:t>
            </w:r>
            <w:r>
              <w:rPr>
                <w:rFonts w:ascii="宋体" w:hAnsi="宋体"/>
                <w:color w:val="auto"/>
                <w:kern w:val="0"/>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Align w:val="center"/>
          </w:tcPr>
          <w:p>
            <w:pPr>
              <w:widowControl/>
              <w:snapToGrid w:val="0"/>
              <w:spacing w:line="360" w:lineRule="auto"/>
              <w:contextualSpacing/>
              <w:jc w:val="center"/>
              <w:rPr>
                <w:rFonts w:ascii="宋体" w:hAnsi="宋体"/>
                <w:color w:val="auto"/>
                <w:kern w:val="0"/>
                <w:szCs w:val="21"/>
                <w:highlight w:val="none"/>
              </w:rPr>
            </w:pPr>
            <w:r>
              <w:rPr>
                <w:rFonts w:hint="eastAsia" w:ascii="宋体" w:hAnsi="宋体"/>
                <w:color w:val="auto"/>
                <w:kern w:val="0"/>
                <w:szCs w:val="21"/>
                <w:highlight w:val="none"/>
              </w:rPr>
              <w:t>1.5</w:t>
            </w:r>
          </w:p>
        </w:tc>
        <w:tc>
          <w:tcPr>
            <w:tcW w:w="1381" w:type="pct"/>
            <w:vAlign w:val="center"/>
          </w:tcPr>
          <w:p>
            <w:pPr>
              <w:widowControl/>
              <w:snapToGrid w:val="0"/>
              <w:spacing w:line="360" w:lineRule="auto"/>
              <w:contextualSpacing/>
              <w:rPr>
                <w:rFonts w:ascii="宋体" w:hAnsi="宋体"/>
                <w:color w:val="auto"/>
                <w:kern w:val="0"/>
                <w:szCs w:val="21"/>
                <w:highlight w:val="none"/>
                <w:lang w:eastAsia="zh-Hans"/>
              </w:rPr>
            </w:pPr>
            <w:r>
              <w:rPr>
                <w:rFonts w:ascii="宋体" w:hAnsi="宋体"/>
                <w:color w:val="auto"/>
                <w:kern w:val="0"/>
                <w:szCs w:val="21"/>
                <w:highlight w:val="none"/>
                <w:lang w:eastAsia="zh-Hans"/>
              </w:rPr>
              <w:t>参加采购活动前3年内，在经营活动中没有重大违法记录</w:t>
            </w:r>
          </w:p>
        </w:tc>
        <w:tc>
          <w:tcPr>
            <w:tcW w:w="3159" w:type="pct"/>
            <w:vAlign w:val="center"/>
          </w:tcPr>
          <w:p>
            <w:pPr>
              <w:widowControl/>
              <w:snapToGrid w:val="0"/>
              <w:spacing w:line="360" w:lineRule="auto"/>
              <w:contextualSpacing/>
              <w:rPr>
                <w:rFonts w:ascii="宋体" w:hAnsi="宋体"/>
                <w:color w:val="auto"/>
                <w:kern w:val="0"/>
                <w:szCs w:val="21"/>
                <w:highlight w:val="none"/>
              </w:rPr>
            </w:pPr>
            <w:r>
              <w:rPr>
                <w:rFonts w:hint="eastAsia" w:ascii="宋体" w:hAnsi="宋体" w:cs="宋体"/>
                <w:bCs/>
                <w:color w:val="auto"/>
                <w:kern w:val="0"/>
                <w:szCs w:val="21"/>
                <w:highlight w:val="none"/>
              </w:rPr>
              <w:t>提供资格条件承诺函（</w:t>
            </w:r>
            <w:r>
              <w:rPr>
                <w:rFonts w:ascii="宋体" w:hAnsi="宋体" w:cs="宋体"/>
                <w:bCs/>
                <w:color w:val="auto"/>
                <w:kern w:val="0"/>
                <w:szCs w:val="21"/>
                <w:highlight w:val="none"/>
              </w:rPr>
              <w:t>详见</w:t>
            </w:r>
            <w:r>
              <w:rPr>
                <w:rFonts w:hint="eastAsia" w:ascii="宋体" w:hAnsi="宋体" w:cs="宋体"/>
                <w:bCs/>
                <w:color w:val="auto"/>
                <w:kern w:val="0"/>
                <w:szCs w:val="21"/>
                <w:highlight w:val="none"/>
              </w:rPr>
              <w:t>响应</w:t>
            </w:r>
            <w:r>
              <w:rPr>
                <w:rFonts w:ascii="宋体" w:hAnsi="宋体" w:cs="宋体"/>
                <w:bCs/>
                <w:color w:val="auto"/>
                <w:kern w:val="0"/>
                <w:szCs w:val="21"/>
                <w:highlight w:val="none"/>
              </w:rPr>
              <w:t>文件格式</w:t>
            </w:r>
            <w:r>
              <w:rPr>
                <w:rFonts w:hint="eastAsia" w:ascii="宋体" w:hAnsi="宋体" w:cs="宋体"/>
                <w:bCs/>
                <w:color w:val="auto"/>
                <w:kern w:val="0"/>
                <w:szCs w:val="21"/>
                <w:highlight w:val="none"/>
              </w:rPr>
              <w:t>）</w:t>
            </w:r>
            <w:r>
              <w:rPr>
                <w:rFonts w:ascii="宋体" w:hAnsi="宋体" w:cs="宋体"/>
                <w:bCs/>
                <w:color w:val="auto"/>
                <w:kern w:val="0"/>
                <w:szCs w:val="21"/>
                <w:highlight w:val="none"/>
              </w:rPr>
              <w:t>。</w:t>
            </w:r>
          </w:p>
          <w:p>
            <w:pPr>
              <w:widowControl/>
              <w:snapToGrid w:val="0"/>
              <w:spacing w:line="360" w:lineRule="auto"/>
              <w:contextualSpacing/>
              <w:rPr>
                <w:rFonts w:hint="eastAsia" w:ascii="宋体" w:hAnsi="宋体" w:eastAsia="宋体"/>
                <w:color w:val="auto"/>
                <w:kern w:val="0"/>
                <w:szCs w:val="21"/>
                <w:highlight w:val="none"/>
                <w:lang w:val="en-US" w:eastAsia="zh-CN"/>
              </w:rPr>
            </w:pPr>
            <w:r>
              <w:rPr>
                <w:rFonts w:hint="eastAsia" w:ascii="宋体" w:hAnsi="宋体" w:cs="宋体"/>
                <w:bCs/>
                <w:color w:val="auto"/>
                <w:kern w:val="0"/>
                <w:szCs w:val="21"/>
                <w:highlight w:val="none"/>
              </w:rPr>
              <w:t>重大违法记录，是指供应商因违法经营受到刑事处罚或者责令停产停业、吊销许可证或者执照、较大数额罚款等行政处罚。（根据财库〔</w:t>
            </w:r>
            <w:r>
              <w:rPr>
                <w:rFonts w:ascii="宋体" w:hAnsi="宋体" w:cs="宋体"/>
                <w:bCs/>
                <w:color w:val="auto"/>
                <w:kern w:val="0"/>
                <w:szCs w:val="21"/>
                <w:highlight w:val="none"/>
              </w:rPr>
              <w:t>2022〕3号文，“较大数额罚款”认定为200万元以上的罚款，法律、行政法规以及国务院有关部门明确规定相关领域“较大数额罚款”标准高于200万元的，从其规定。</w:t>
            </w:r>
            <w:r>
              <w:rPr>
                <w:rFonts w:hint="eastAsia" w:ascii="宋体" w:hAnsi="宋体" w:cs="宋体"/>
                <w:bCs/>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Align w:val="center"/>
          </w:tcPr>
          <w:p>
            <w:pPr>
              <w:widowControl/>
              <w:snapToGrid w:val="0"/>
              <w:spacing w:line="360" w:lineRule="auto"/>
              <w:contextualSpacing/>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1381" w:type="pct"/>
            <w:vAlign w:val="center"/>
          </w:tcPr>
          <w:p>
            <w:pPr>
              <w:widowControl/>
              <w:snapToGrid w:val="0"/>
              <w:spacing w:line="360" w:lineRule="auto"/>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落实政府采购政策需满足的资格要求</w:t>
            </w:r>
          </w:p>
        </w:tc>
        <w:tc>
          <w:tcPr>
            <w:tcW w:w="3159" w:type="pct"/>
            <w:vAlign w:val="center"/>
          </w:tcPr>
          <w:p>
            <w:pPr>
              <w:widowControl/>
              <w:snapToGrid w:val="0"/>
              <w:spacing w:line="360" w:lineRule="auto"/>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本项目专门面向中小企业采购，供应商应为中小微企业、监狱企业、残疾人福利性单位。（提供《中小企业声明函》或属于监狱企业的证明材料或《残疾人福利性单位声明函》）详见投标文件格式。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60" w:type="pct"/>
            <w:vAlign w:val="center"/>
          </w:tcPr>
          <w:p>
            <w:pPr>
              <w:widowControl/>
              <w:snapToGrid w:val="0"/>
              <w:spacing w:line="360" w:lineRule="auto"/>
              <w:contextualSpacing/>
              <w:jc w:val="center"/>
              <w:rPr>
                <w:rFonts w:ascii="宋体" w:hAnsi="宋体"/>
                <w:color w:val="auto"/>
                <w:kern w:val="0"/>
                <w:szCs w:val="21"/>
                <w:highlight w:val="none"/>
              </w:rPr>
            </w:pPr>
            <w:r>
              <w:rPr>
                <w:rFonts w:hint="eastAsia" w:ascii="宋体" w:hAnsi="宋体"/>
                <w:color w:val="auto"/>
                <w:kern w:val="0"/>
                <w:szCs w:val="21"/>
                <w:highlight w:val="none"/>
              </w:rPr>
              <w:t>3</w:t>
            </w:r>
          </w:p>
        </w:tc>
        <w:tc>
          <w:tcPr>
            <w:tcW w:w="4540" w:type="pct"/>
            <w:gridSpan w:val="2"/>
            <w:vAlign w:val="center"/>
          </w:tcPr>
          <w:p>
            <w:pPr>
              <w:widowControl/>
              <w:snapToGrid w:val="0"/>
              <w:spacing w:line="360" w:lineRule="auto"/>
              <w:contextualSpacing/>
              <w:rPr>
                <w:rFonts w:ascii="宋体" w:hAnsi="宋体"/>
                <w:color w:val="auto"/>
                <w:kern w:val="0"/>
                <w:szCs w:val="21"/>
                <w:highlight w:val="none"/>
              </w:rPr>
            </w:pPr>
            <w:r>
              <w:rPr>
                <w:rFonts w:hint="eastAsia" w:ascii="宋体" w:hAnsi="宋体"/>
                <w:color w:val="auto"/>
                <w:kern w:val="0"/>
                <w:szCs w:val="21"/>
                <w:highlight w:val="none"/>
                <w:lang w:eastAsia="zh-Hans"/>
              </w:rPr>
              <w:t>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Align w:val="center"/>
          </w:tcPr>
          <w:p>
            <w:pPr>
              <w:widowControl/>
              <w:snapToGrid w:val="0"/>
              <w:spacing w:line="360" w:lineRule="auto"/>
              <w:contextualSpacing/>
              <w:jc w:val="center"/>
              <w:rPr>
                <w:rFonts w:ascii="宋体" w:hAnsi="宋体"/>
                <w:color w:val="auto"/>
                <w:kern w:val="0"/>
                <w:szCs w:val="21"/>
                <w:highlight w:val="none"/>
              </w:rPr>
            </w:pPr>
            <w:r>
              <w:rPr>
                <w:rFonts w:hint="eastAsia" w:ascii="宋体" w:hAnsi="宋体"/>
                <w:color w:val="auto"/>
                <w:kern w:val="0"/>
                <w:szCs w:val="21"/>
                <w:highlight w:val="none"/>
              </w:rPr>
              <w:t>3.1</w:t>
            </w:r>
          </w:p>
        </w:tc>
        <w:tc>
          <w:tcPr>
            <w:tcW w:w="1381" w:type="pct"/>
            <w:vAlign w:val="center"/>
          </w:tcPr>
          <w:p>
            <w:pPr>
              <w:widowControl/>
              <w:snapToGrid w:val="0"/>
              <w:spacing w:line="360" w:lineRule="auto"/>
              <w:contextualSpacing/>
              <w:rPr>
                <w:rFonts w:ascii="宋体" w:hAnsi="宋体"/>
                <w:color w:val="auto"/>
                <w:kern w:val="0"/>
                <w:szCs w:val="21"/>
                <w:highlight w:val="none"/>
              </w:rPr>
            </w:pPr>
            <w:r>
              <w:rPr>
                <w:rFonts w:hint="eastAsia" w:ascii="宋体" w:hAnsi="宋体"/>
                <w:color w:val="auto"/>
                <w:kern w:val="0"/>
                <w:szCs w:val="21"/>
                <w:highlight w:val="none"/>
                <w:lang w:eastAsia="zh-Hans"/>
              </w:rPr>
              <w:t>供应商信用记录</w:t>
            </w:r>
          </w:p>
        </w:tc>
        <w:tc>
          <w:tcPr>
            <w:tcW w:w="3159" w:type="pct"/>
            <w:vAlign w:val="center"/>
          </w:tcPr>
          <w:p>
            <w:pPr>
              <w:widowControl/>
              <w:snapToGrid w:val="0"/>
              <w:spacing w:line="360" w:lineRule="auto"/>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Align w:val="center"/>
          </w:tcPr>
          <w:p>
            <w:pPr>
              <w:widowControl/>
              <w:snapToGrid w:val="0"/>
              <w:spacing w:line="360" w:lineRule="auto"/>
              <w:contextualSpacing/>
              <w:jc w:val="center"/>
              <w:rPr>
                <w:rFonts w:ascii="宋体" w:hAnsi="宋体"/>
                <w:color w:val="auto"/>
                <w:kern w:val="0"/>
                <w:szCs w:val="21"/>
                <w:highlight w:val="none"/>
              </w:rPr>
            </w:pPr>
            <w:r>
              <w:rPr>
                <w:rFonts w:hint="eastAsia" w:ascii="宋体" w:hAnsi="宋体"/>
                <w:color w:val="auto"/>
                <w:kern w:val="0"/>
                <w:szCs w:val="21"/>
                <w:highlight w:val="none"/>
              </w:rPr>
              <w:t>3.2</w:t>
            </w:r>
          </w:p>
        </w:tc>
        <w:tc>
          <w:tcPr>
            <w:tcW w:w="1381" w:type="pct"/>
            <w:vAlign w:val="center"/>
          </w:tcPr>
          <w:p>
            <w:pPr>
              <w:widowControl/>
              <w:snapToGrid w:val="0"/>
              <w:spacing w:line="360" w:lineRule="auto"/>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供应商必须符合法律、行政法规规定的其他条件</w:t>
            </w:r>
          </w:p>
        </w:tc>
        <w:tc>
          <w:tcPr>
            <w:tcW w:w="3159" w:type="pct"/>
            <w:vAlign w:val="center"/>
          </w:tcPr>
          <w:p>
            <w:pPr>
              <w:widowControl/>
              <w:snapToGrid w:val="0"/>
              <w:spacing w:line="360" w:lineRule="auto"/>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单位负责人为同一人或者存在直接控股、管理关系的不同供应商，不得同时参加本采购项目（或采购包）投标（响应）。为本项目提供整体设计、规范编制或者项目管理、监理、检测等服务的供应商，不得再参与本项目投标（响应）。提供资格条件承诺函（详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Align w:val="center"/>
          </w:tcPr>
          <w:p>
            <w:pPr>
              <w:widowControl/>
              <w:snapToGrid w:val="0"/>
              <w:spacing w:line="360" w:lineRule="auto"/>
              <w:contextualSpacing/>
              <w:jc w:val="center"/>
              <w:rPr>
                <w:rFonts w:ascii="宋体" w:hAnsi="宋体"/>
                <w:color w:val="auto"/>
                <w:kern w:val="0"/>
                <w:szCs w:val="21"/>
                <w:highlight w:val="none"/>
              </w:rPr>
            </w:pPr>
            <w:r>
              <w:rPr>
                <w:rFonts w:hint="eastAsia" w:ascii="宋体" w:hAnsi="宋体"/>
                <w:color w:val="auto"/>
                <w:kern w:val="0"/>
                <w:szCs w:val="21"/>
                <w:highlight w:val="none"/>
              </w:rPr>
              <w:t>3.3</w:t>
            </w:r>
          </w:p>
        </w:tc>
        <w:tc>
          <w:tcPr>
            <w:tcW w:w="1381" w:type="pct"/>
            <w:vAlign w:val="center"/>
          </w:tcPr>
          <w:p>
            <w:pPr>
              <w:widowControl/>
              <w:snapToGrid w:val="0"/>
              <w:spacing w:line="360" w:lineRule="auto"/>
              <w:contextualSpacing/>
              <w:rPr>
                <w:rFonts w:ascii="宋体" w:hAnsi="宋体"/>
                <w:color w:val="auto"/>
                <w:kern w:val="0"/>
                <w:szCs w:val="21"/>
                <w:highlight w:val="none"/>
              </w:rPr>
            </w:pPr>
            <w:r>
              <w:rPr>
                <w:rFonts w:hint="eastAsia" w:ascii="宋体" w:hAnsi="宋体"/>
                <w:color w:val="auto"/>
                <w:kern w:val="0"/>
                <w:szCs w:val="21"/>
                <w:highlight w:val="none"/>
                <w:lang w:eastAsia="zh-Hans"/>
              </w:rPr>
              <w:t>其他特定资格要求：</w:t>
            </w:r>
          </w:p>
        </w:tc>
        <w:tc>
          <w:tcPr>
            <w:tcW w:w="3159" w:type="pct"/>
            <w:vAlign w:val="center"/>
          </w:tcPr>
          <w:p>
            <w:pPr>
              <w:widowControl/>
              <w:rPr>
                <w:rFonts w:ascii="宋体" w:hAnsi="宋体"/>
                <w:color w:val="auto"/>
                <w:kern w:val="0"/>
                <w:szCs w:val="21"/>
                <w:highlight w:val="none"/>
                <w:lang w:eastAsia="zh-Hans"/>
              </w:rPr>
            </w:pPr>
            <w:r>
              <w:rPr>
                <w:rFonts w:hint="eastAsia" w:ascii="宋体" w:hAnsi="宋体"/>
                <w:color w:val="auto"/>
                <w:kern w:val="0"/>
                <w:szCs w:val="21"/>
                <w:highlight w:val="none"/>
              </w:rPr>
              <w:t>投标人</w:t>
            </w:r>
            <w:r>
              <w:rPr>
                <w:rFonts w:hint="eastAsia" w:ascii="宋体" w:hAnsi="宋体"/>
                <w:color w:val="auto"/>
                <w:kern w:val="0"/>
                <w:szCs w:val="21"/>
                <w:highlight w:val="none"/>
                <w:lang w:eastAsia="zh-Hans"/>
              </w:rPr>
              <w:t>须具有由国家建设主管部门颁发的有效期内的建筑工程施工总承包三级或以上（或建筑装修装饰工程专业承包二级或以上）资质证书，且须具有由国家建设主管部门或安全生产监督管理部门颁发的有效期内的《安全生产许可证》（注：须提供证书复印件加盖</w:t>
            </w:r>
            <w:r>
              <w:rPr>
                <w:rFonts w:hint="eastAsia" w:ascii="宋体" w:hAnsi="宋体"/>
                <w:color w:val="auto"/>
                <w:kern w:val="0"/>
                <w:szCs w:val="21"/>
                <w:highlight w:val="none"/>
              </w:rPr>
              <w:t>投标人</w:t>
            </w:r>
            <w:r>
              <w:rPr>
                <w:rFonts w:hint="eastAsia" w:ascii="宋体" w:hAnsi="宋体"/>
                <w:color w:val="auto"/>
                <w:kern w:val="0"/>
                <w:szCs w:val="21"/>
                <w:highlight w:val="none"/>
                <w:lang w:eastAsia="zh-Hans"/>
              </w:rPr>
              <w:t>公章）。</w:t>
            </w:r>
          </w:p>
          <w:p>
            <w:pPr>
              <w:widowControl/>
              <w:rPr>
                <w:rFonts w:ascii="宋体" w:hAnsi="宋体"/>
                <w:color w:val="auto"/>
                <w:kern w:val="0"/>
                <w:szCs w:val="21"/>
                <w:highlight w:val="none"/>
                <w:lang w:eastAsia="zh-Hans"/>
              </w:rPr>
            </w:pPr>
            <w:r>
              <w:rPr>
                <w:rFonts w:hint="eastAsia" w:ascii="宋体" w:hAnsi="宋体"/>
                <w:color w:val="auto"/>
                <w:kern w:val="0"/>
                <w:szCs w:val="21"/>
                <w:highlight w:val="none"/>
                <w:lang w:eastAsia="zh-Hans"/>
              </w:rPr>
              <w:t>项目负责人须具有：建筑工程专业二级或</w:t>
            </w:r>
            <w:r>
              <w:rPr>
                <w:rFonts w:hint="eastAsia" w:ascii="宋体" w:hAnsi="宋体"/>
                <w:color w:val="auto"/>
                <w:kern w:val="0"/>
                <w:szCs w:val="21"/>
                <w:highlight w:val="none"/>
              </w:rPr>
              <w:t>以上</w:t>
            </w:r>
            <w:r>
              <w:rPr>
                <w:rFonts w:hint="eastAsia" w:ascii="宋体" w:hAnsi="宋体"/>
                <w:color w:val="auto"/>
                <w:kern w:val="0"/>
                <w:szCs w:val="21"/>
                <w:highlight w:val="none"/>
                <w:lang w:eastAsia="zh-Hans"/>
              </w:rPr>
              <w:t>注册建造师以及安全生产考核合格证（即“建安</w:t>
            </w:r>
            <w:r>
              <w:rPr>
                <w:rFonts w:ascii="宋体" w:hAnsi="宋体"/>
                <w:color w:val="auto"/>
                <w:kern w:val="0"/>
                <w:szCs w:val="21"/>
                <w:highlight w:val="none"/>
                <w:lang w:eastAsia="zh-Hans"/>
              </w:rPr>
              <w:t>B”类证）（注：须提供证书复印件加盖</w:t>
            </w:r>
            <w:r>
              <w:rPr>
                <w:rFonts w:hint="eastAsia" w:ascii="宋体" w:hAnsi="宋体"/>
                <w:color w:val="auto"/>
                <w:kern w:val="0"/>
                <w:szCs w:val="21"/>
                <w:highlight w:val="none"/>
              </w:rPr>
              <w:t>投标人</w:t>
            </w:r>
            <w:r>
              <w:rPr>
                <w:rFonts w:ascii="宋体" w:hAnsi="宋体"/>
                <w:color w:val="auto"/>
                <w:kern w:val="0"/>
                <w:szCs w:val="21"/>
                <w:highlight w:val="none"/>
                <w:lang w:eastAsia="zh-Hans"/>
              </w:rPr>
              <w:t>公章）。</w:t>
            </w:r>
          </w:p>
          <w:p>
            <w:pPr>
              <w:widowControl/>
              <w:snapToGrid w:val="0"/>
              <w:spacing w:line="360" w:lineRule="auto"/>
              <w:contextualSpacing/>
              <w:rPr>
                <w:rFonts w:ascii="宋体" w:hAnsi="宋体"/>
                <w:color w:val="auto"/>
                <w:kern w:val="0"/>
                <w:szCs w:val="21"/>
                <w:highlight w:val="none"/>
                <w:lang w:eastAsia="zh-Hans"/>
              </w:rPr>
            </w:pPr>
            <w:r>
              <w:rPr>
                <w:rFonts w:hint="eastAsia" w:ascii="宋体" w:hAnsi="宋体"/>
                <w:color w:val="auto"/>
                <w:kern w:val="0"/>
                <w:szCs w:val="21"/>
                <w:highlight w:val="none"/>
                <w:lang w:eastAsia="zh-Hans"/>
              </w:rPr>
              <w:t>项目负责人未在其他任何在建工程中任职项目负责人。</w:t>
            </w:r>
          </w:p>
        </w:tc>
      </w:tr>
    </w:tbl>
    <w:p>
      <w:pPr>
        <w:widowControl/>
        <w:snapToGrid w:val="0"/>
        <w:spacing w:line="360" w:lineRule="auto"/>
        <w:contextualSpacing/>
        <w:rPr>
          <w:rFonts w:hint="default"/>
          <w:b/>
          <w:color w:val="auto"/>
          <w:sz w:val="24"/>
          <w:highlight w:val="none"/>
        </w:rPr>
      </w:pPr>
    </w:p>
    <w:p>
      <w:pP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表二符合性审查表：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widowControl/>
              <w:spacing w:line="360" w:lineRule="auto"/>
              <w:jc w:val="left"/>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序号</w:t>
            </w:r>
          </w:p>
        </w:tc>
        <w:tc>
          <w:tcPr>
            <w:tcW w:w="4621" w:type="pct"/>
            <w:vAlign w:val="center"/>
          </w:tcPr>
          <w:p>
            <w:pPr>
              <w:widowControl/>
              <w:spacing w:line="360" w:lineRule="auto"/>
              <w:jc w:val="left"/>
              <w:rPr>
                <w:rFonts w:ascii="宋体" w:hAnsi="宋体"/>
                <w:b/>
                <w:bCs/>
                <w:color w:val="auto"/>
                <w:kern w:val="0"/>
                <w:szCs w:val="21"/>
                <w:highlight w:val="none"/>
                <w:lang w:eastAsia="zh-Hans"/>
              </w:rPr>
            </w:pPr>
            <w:r>
              <w:rPr>
                <w:rFonts w:hint="eastAsia" w:ascii="宋体" w:hAnsi="宋体"/>
                <w:b/>
                <w:bCs/>
                <w:color w:val="auto"/>
                <w:kern w:val="0"/>
                <w:szCs w:val="21"/>
                <w:highlight w:val="none"/>
                <w:lang w:eastAsia="zh-Hans"/>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widowControl/>
              <w:spacing w:line="360" w:lineRule="auto"/>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1</w:t>
            </w:r>
          </w:p>
        </w:tc>
        <w:tc>
          <w:tcPr>
            <w:tcW w:w="4621" w:type="pct"/>
          </w:tcPr>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lang w:eastAsia="zh-Hans"/>
              </w:rPr>
              <w:t>报价符合本项目报价要求。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widowControl/>
              <w:spacing w:line="360" w:lineRule="auto"/>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2</w:t>
            </w:r>
          </w:p>
        </w:tc>
        <w:tc>
          <w:tcPr>
            <w:tcW w:w="4621" w:type="pct"/>
          </w:tcPr>
          <w:p>
            <w:pPr>
              <w:widowControl/>
              <w:spacing w:line="360" w:lineRule="auto"/>
              <w:jc w:val="left"/>
              <w:rPr>
                <w:rFonts w:ascii="宋体" w:hAnsi="宋体"/>
                <w:color w:val="auto"/>
                <w:kern w:val="0"/>
                <w:szCs w:val="21"/>
                <w:highlight w:val="none"/>
              </w:rPr>
            </w:pPr>
            <w:r>
              <w:rPr>
                <w:rFonts w:ascii="宋体" w:hAnsi="宋体"/>
                <w:color w:val="auto"/>
                <w:kern w:val="0"/>
                <w:szCs w:val="21"/>
                <w:highlight w:val="none"/>
                <w:lang w:eastAsia="zh-Hans"/>
              </w:rPr>
              <w:t>法人授权委托证明。(</w:t>
            </w:r>
            <w:r>
              <w:rPr>
                <w:rFonts w:hint="eastAsia" w:ascii="宋体" w:hAnsi="宋体"/>
                <w:color w:val="auto"/>
                <w:kern w:val="0"/>
                <w:szCs w:val="21"/>
                <w:highlight w:val="none"/>
                <w:lang w:eastAsia="zh-Hans"/>
              </w:rPr>
              <w:t>供应商</w:t>
            </w:r>
            <w:r>
              <w:rPr>
                <w:rFonts w:ascii="宋体" w:hAnsi="宋体"/>
                <w:color w:val="auto"/>
                <w:kern w:val="0"/>
                <w:szCs w:val="21"/>
                <w:highlight w:val="none"/>
                <w:lang w:eastAsia="zh-Hans"/>
              </w:rPr>
              <w:t>代表为法定代表人的除外)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widowControl/>
              <w:spacing w:line="360" w:lineRule="auto"/>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3</w:t>
            </w:r>
          </w:p>
        </w:tc>
        <w:tc>
          <w:tcPr>
            <w:tcW w:w="4621" w:type="pct"/>
          </w:tcPr>
          <w:p>
            <w:pPr>
              <w:widowControl/>
              <w:spacing w:line="360" w:lineRule="auto"/>
              <w:jc w:val="left"/>
              <w:rPr>
                <w:rFonts w:ascii="宋体" w:hAnsi="宋体"/>
                <w:color w:val="auto"/>
                <w:spacing w:val="-4"/>
                <w:kern w:val="0"/>
                <w:szCs w:val="21"/>
                <w:highlight w:val="none"/>
              </w:rPr>
            </w:pPr>
            <w:r>
              <w:rPr>
                <w:rFonts w:hint="eastAsia" w:ascii="宋体" w:hAnsi="宋体"/>
                <w:color w:val="auto"/>
                <w:spacing w:val="-4"/>
                <w:kern w:val="0"/>
                <w:szCs w:val="21"/>
                <w:highlight w:val="none"/>
                <w:lang w:eastAsia="zh-Hans"/>
              </w:rPr>
              <w:t>磋商</w:t>
            </w:r>
            <w:r>
              <w:rPr>
                <w:rFonts w:ascii="宋体" w:hAnsi="宋体"/>
                <w:color w:val="auto"/>
                <w:spacing w:val="-4"/>
                <w:kern w:val="0"/>
                <w:szCs w:val="21"/>
                <w:highlight w:val="none"/>
                <w:lang w:eastAsia="zh-Hans"/>
              </w:rPr>
              <w:t>函已提交并符合</w:t>
            </w:r>
            <w:r>
              <w:rPr>
                <w:rFonts w:hint="eastAsia" w:ascii="宋体" w:hAnsi="宋体"/>
                <w:color w:val="auto"/>
                <w:spacing w:val="-4"/>
                <w:kern w:val="0"/>
                <w:szCs w:val="21"/>
                <w:highlight w:val="none"/>
                <w:lang w:eastAsia="zh-Hans"/>
              </w:rPr>
              <w:t>磋商</w:t>
            </w:r>
            <w:r>
              <w:rPr>
                <w:rFonts w:ascii="宋体" w:hAnsi="宋体"/>
                <w:color w:val="auto"/>
                <w:spacing w:val="-4"/>
                <w:kern w:val="0"/>
                <w:szCs w:val="21"/>
                <w:highlight w:val="none"/>
                <w:lang w:eastAsia="zh-Hans"/>
              </w:rPr>
              <w:t>文件要求的，且</w:t>
            </w:r>
            <w:r>
              <w:rPr>
                <w:rFonts w:hint="eastAsia" w:ascii="宋体" w:hAnsi="宋体"/>
                <w:color w:val="auto"/>
                <w:spacing w:val="-4"/>
                <w:kern w:val="0"/>
                <w:szCs w:val="21"/>
                <w:highlight w:val="none"/>
                <w:lang w:eastAsia="zh-Hans"/>
              </w:rPr>
              <w:t>响应</w:t>
            </w:r>
            <w:r>
              <w:rPr>
                <w:rFonts w:ascii="宋体" w:hAnsi="宋体"/>
                <w:color w:val="auto"/>
                <w:spacing w:val="-4"/>
                <w:kern w:val="0"/>
                <w:szCs w:val="21"/>
                <w:highlight w:val="none"/>
                <w:lang w:eastAsia="zh-Hans"/>
              </w:rPr>
              <w:t>有效期不少于</w:t>
            </w:r>
            <w:r>
              <w:rPr>
                <w:rFonts w:hint="eastAsia" w:ascii="宋体" w:hAnsi="宋体"/>
                <w:color w:val="auto"/>
                <w:spacing w:val="-4"/>
                <w:kern w:val="0"/>
                <w:szCs w:val="21"/>
                <w:highlight w:val="none"/>
                <w:lang w:eastAsia="zh-Hans"/>
              </w:rPr>
              <w:t>磋商</w:t>
            </w:r>
            <w:r>
              <w:rPr>
                <w:rFonts w:ascii="宋体" w:hAnsi="宋体"/>
                <w:color w:val="auto"/>
                <w:spacing w:val="-4"/>
                <w:kern w:val="0"/>
                <w:szCs w:val="21"/>
                <w:highlight w:val="none"/>
                <w:lang w:eastAsia="zh-Hans"/>
              </w:rPr>
              <w:t>文件中载明的</w:t>
            </w:r>
            <w:r>
              <w:rPr>
                <w:rFonts w:hint="eastAsia" w:ascii="宋体" w:hAnsi="宋体"/>
                <w:color w:val="auto"/>
                <w:spacing w:val="-4"/>
                <w:kern w:val="0"/>
                <w:szCs w:val="21"/>
                <w:highlight w:val="none"/>
                <w:lang w:eastAsia="zh-Hans"/>
              </w:rPr>
              <w:t>响应</w:t>
            </w:r>
            <w:r>
              <w:rPr>
                <w:rFonts w:ascii="宋体" w:hAnsi="宋体"/>
                <w:color w:val="auto"/>
                <w:spacing w:val="-4"/>
                <w:kern w:val="0"/>
                <w:szCs w:val="21"/>
                <w:highlight w:val="none"/>
                <w:lang w:eastAsia="zh-Hans"/>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widowControl/>
              <w:spacing w:line="360" w:lineRule="auto"/>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4</w:t>
            </w:r>
          </w:p>
        </w:tc>
        <w:tc>
          <w:tcPr>
            <w:tcW w:w="4621" w:type="pct"/>
          </w:tcPr>
          <w:p>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文件的签署、盖章符合</w:t>
            </w:r>
            <w:r>
              <w:rPr>
                <w:rFonts w:hint="eastAsia" w:ascii="宋体" w:hAnsi="宋体"/>
                <w:color w:val="auto"/>
                <w:kern w:val="0"/>
                <w:szCs w:val="21"/>
                <w:highlight w:val="none"/>
                <w:lang w:eastAsia="zh-Hans"/>
              </w:rPr>
              <w:t>磋商</w:t>
            </w:r>
            <w:r>
              <w:rPr>
                <w:rFonts w:ascii="宋体" w:hAnsi="宋体"/>
                <w:color w:val="auto"/>
                <w:kern w:val="0"/>
                <w:szCs w:val="21"/>
                <w:highlight w:val="none"/>
                <w:lang w:eastAsia="zh-Hans"/>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widowControl/>
              <w:spacing w:line="360" w:lineRule="auto"/>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5</w:t>
            </w:r>
          </w:p>
        </w:tc>
        <w:tc>
          <w:tcPr>
            <w:tcW w:w="4621" w:type="pct"/>
          </w:tcPr>
          <w:p>
            <w:pPr>
              <w:widowControl/>
              <w:spacing w:line="36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采购需求当中的</w:t>
            </w:r>
            <w:r>
              <w:rPr>
                <w:rFonts w:ascii="宋体" w:hAnsi="宋体" w:cs="Segoe UI Symbol"/>
                <w:color w:val="auto"/>
                <w:kern w:val="0"/>
                <w:szCs w:val="21"/>
                <w:highlight w:val="none"/>
                <w:lang w:eastAsia="zh-Hans"/>
              </w:rPr>
              <w:t>★</w:t>
            </w:r>
            <w:r>
              <w:rPr>
                <w:rFonts w:ascii="宋体" w:hAnsi="宋体"/>
                <w:color w:val="auto"/>
                <w:kern w:val="0"/>
                <w:szCs w:val="21"/>
                <w:highlight w:val="none"/>
                <w:lang w:eastAsia="zh-Hans"/>
              </w:rPr>
              <w:t>条款满足要求。(若本项目无</w:t>
            </w:r>
            <w:r>
              <w:rPr>
                <w:rFonts w:ascii="宋体" w:hAnsi="宋体" w:cs="Segoe UI Symbol"/>
                <w:color w:val="auto"/>
                <w:kern w:val="0"/>
                <w:szCs w:val="21"/>
                <w:highlight w:val="none"/>
                <w:lang w:eastAsia="zh-Hans"/>
              </w:rPr>
              <w:t>★</w:t>
            </w:r>
            <w:r>
              <w:rPr>
                <w:rFonts w:ascii="宋体" w:hAnsi="宋体"/>
                <w:color w:val="auto"/>
                <w:kern w:val="0"/>
                <w:szCs w:val="21"/>
                <w:highlight w:val="none"/>
                <w:lang w:eastAsia="zh-Hans"/>
              </w:rPr>
              <w:t>条款，此项通过)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widowControl/>
              <w:spacing w:line="360" w:lineRule="auto"/>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6</w:t>
            </w:r>
          </w:p>
        </w:tc>
        <w:tc>
          <w:tcPr>
            <w:tcW w:w="4621" w:type="pct"/>
          </w:tcPr>
          <w:p>
            <w:pPr>
              <w:widowControl/>
              <w:spacing w:line="360" w:lineRule="auto"/>
              <w:jc w:val="left"/>
              <w:rPr>
                <w:rFonts w:ascii="宋体" w:hAnsi="宋体"/>
                <w:color w:val="auto"/>
                <w:kern w:val="0"/>
                <w:szCs w:val="21"/>
                <w:highlight w:val="none"/>
                <w:lang w:eastAsia="zh-Hans"/>
              </w:rPr>
            </w:pP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文件未出现选择性报价或有附加条件报价的情形。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widowControl/>
              <w:spacing w:line="360" w:lineRule="auto"/>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7</w:t>
            </w:r>
          </w:p>
        </w:tc>
        <w:tc>
          <w:tcPr>
            <w:tcW w:w="4621" w:type="pct"/>
          </w:tcPr>
          <w:p>
            <w:pPr>
              <w:widowControl/>
              <w:spacing w:line="360" w:lineRule="auto"/>
              <w:jc w:val="left"/>
              <w:rPr>
                <w:rFonts w:ascii="宋体" w:hAnsi="宋体"/>
                <w:color w:val="auto"/>
                <w:kern w:val="0"/>
                <w:szCs w:val="21"/>
                <w:highlight w:val="none"/>
                <w:lang w:eastAsia="zh-Hans"/>
              </w:rPr>
            </w:pP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文件没有</w:t>
            </w:r>
            <w:r>
              <w:rPr>
                <w:rFonts w:hint="eastAsia" w:ascii="宋体" w:hAnsi="宋体"/>
                <w:color w:val="auto"/>
                <w:kern w:val="0"/>
                <w:szCs w:val="21"/>
                <w:highlight w:val="none"/>
                <w:lang w:eastAsia="zh-Hans"/>
              </w:rPr>
              <w:t>磋商</w:t>
            </w:r>
            <w:r>
              <w:rPr>
                <w:rFonts w:ascii="宋体" w:hAnsi="宋体"/>
                <w:color w:val="auto"/>
                <w:kern w:val="0"/>
                <w:szCs w:val="21"/>
                <w:highlight w:val="none"/>
                <w:lang w:eastAsia="zh-Hans"/>
              </w:rPr>
              <w:t>文件中规定的其它无效</w:t>
            </w: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条款的。</w:t>
            </w:r>
          </w:p>
        </w:tc>
      </w:tr>
    </w:tbl>
    <w:p>
      <w:pPr>
        <w:widowControl/>
        <w:spacing w:line="360" w:lineRule="auto"/>
        <w:jc w:val="left"/>
        <w:rPr>
          <w:rFonts w:hint="default"/>
          <w:b/>
          <w:color w:val="auto"/>
          <w:sz w:val="24"/>
          <w:highlight w:val="none"/>
          <w:lang w:eastAsia="zh-CN"/>
        </w:rPr>
      </w:pPr>
    </w:p>
    <w:p>
      <w:pPr>
        <w:pStyle w:val="74"/>
        <w:numPr>
          <w:ilvl w:val="0"/>
          <w:numId w:val="68"/>
        </w:numPr>
        <w:snapToGrid w:val="0"/>
        <w:spacing w:line="360" w:lineRule="auto"/>
        <w:ind w:left="284" w:hanging="284"/>
        <w:contextualSpacing/>
        <w:outlineLvl w:val="3"/>
        <w:rPr>
          <w:rFonts w:hint="default"/>
          <w:color w:val="auto"/>
          <w:highlight w:val="none"/>
        </w:rPr>
      </w:pPr>
      <w:r>
        <w:rPr>
          <w:rFonts w:ascii="宋体" w:hAnsi="宋体" w:eastAsia="宋体"/>
          <w:b/>
          <w:color w:val="auto"/>
          <w:sz w:val="21"/>
          <w:szCs w:val="21"/>
          <w:highlight w:val="none"/>
        </w:rPr>
        <w:t>响应文件澄清</w:t>
      </w:r>
    </w:p>
    <w:p>
      <w:pPr>
        <w:pStyle w:val="74"/>
        <w:numPr>
          <w:ilvl w:val="0"/>
          <w:numId w:val="70"/>
        </w:numPr>
        <w:snapToGrid w:val="0"/>
        <w:spacing w:line="360" w:lineRule="auto"/>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对于响应文件中含义不明确、同类问题表述不一致或者有明显文字和计算错误的内容，磋商小组应当在评审过程中发起澄清，要求供应商针对价格或内容做出必要的澄清、说明或补正。</w:t>
      </w:r>
    </w:p>
    <w:p>
      <w:pPr>
        <w:pStyle w:val="74"/>
        <w:numPr>
          <w:ilvl w:val="0"/>
          <w:numId w:val="70"/>
        </w:numPr>
        <w:snapToGrid w:val="0"/>
        <w:spacing w:line="360" w:lineRule="auto"/>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供应商的澄清、说明或者补正不得超出响应文件的范围或者改变响应文件的实质性内容。</w:t>
      </w:r>
    </w:p>
    <w:p>
      <w:pPr>
        <w:pStyle w:val="74"/>
        <w:numPr>
          <w:ilvl w:val="0"/>
          <w:numId w:val="70"/>
        </w:numPr>
        <w:snapToGrid w:val="0"/>
        <w:spacing w:line="360" w:lineRule="auto"/>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磋商小组不接受供应商主动提出的澄清、说明或补正。</w:t>
      </w:r>
    </w:p>
    <w:p>
      <w:pPr>
        <w:pStyle w:val="74"/>
        <w:numPr>
          <w:ilvl w:val="0"/>
          <w:numId w:val="70"/>
        </w:numPr>
        <w:snapToGrid w:val="0"/>
        <w:spacing w:line="360" w:lineRule="auto"/>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磋商小组对供应商提交的澄清、说明或补正有疑问的，可以要求供应商进一步澄清、说明或补正。</w:t>
      </w:r>
    </w:p>
    <w:p>
      <w:pPr>
        <w:pStyle w:val="74"/>
        <w:numPr>
          <w:ilvl w:val="0"/>
          <w:numId w:val="68"/>
        </w:numPr>
        <w:snapToGrid w:val="0"/>
        <w:spacing w:line="360" w:lineRule="auto"/>
        <w:ind w:left="284" w:hanging="284"/>
        <w:contextualSpacing/>
        <w:outlineLvl w:val="3"/>
        <w:rPr>
          <w:rFonts w:hint="default"/>
          <w:color w:val="auto"/>
          <w:highlight w:val="none"/>
        </w:rPr>
      </w:pPr>
      <w:r>
        <w:rPr>
          <w:rFonts w:ascii="宋体" w:hAnsi="宋体" w:eastAsia="宋体"/>
          <w:b/>
          <w:color w:val="auto"/>
          <w:sz w:val="21"/>
          <w:szCs w:val="21"/>
          <w:highlight w:val="none"/>
        </w:rPr>
        <w:t>磋商</w:t>
      </w:r>
    </w:p>
    <w:p>
      <w:pPr>
        <w:pStyle w:val="74"/>
        <w:numPr>
          <w:ilvl w:val="0"/>
          <w:numId w:val="71"/>
        </w:numPr>
        <w:snapToGrid w:val="0"/>
        <w:spacing w:line="360" w:lineRule="auto"/>
        <w:ind w:left="442" w:hanging="442"/>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磋商小组所有成员应当集中与单一供应商分别进行磋商，并给予所有参加磋商的供应商平等的磋商机会。</w:t>
      </w:r>
    </w:p>
    <w:p>
      <w:pPr>
        <w:pStyle w:val="74"/>
        <w:numPr>
          <w:ilvl w:val="0"/>
          <w:numId w:val="71"/>
        </w:numPr>
        <w:snapToGrid w:val="0"/>
        <w:spacing w:line="360" w:lineRule="auto"/>
        <w:ind w:left="442" w:hanging="442"/>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pStyle w:val="74"/>
        <w:numPr>
          <w:ilvl w:val="0"/>
          <w:numId w:val="71"/>
        </w:numPr>
        <w:snapToGrid w:val="0"/>
        <w:spacing w:line="360" w:lineRule="auto"/>
        <w:ind w:left="442" w:hanging="442"/>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对磋商文件作出的实质性变动是磋商文件的有效组成部分，磋商小组应当及时、同时通知所有参加磋商的供应商。</w:t>
      </w:r>
    </w:p>
    <w:p>
      <w:pPr>
        <w:pStyle w:val="74"/>
        <w:numPr>
          <w:ilvl w:val="0"/>
          <w:numId w:val="71"/>
        </w:numPr>
        <w:snapToGrid w:val="0"/>
        <w:spacing w:line="360" w:lineRule="auto"/>
        <w:ind w:left="442" w:hanging="442"/>
        <w:contextualSpacing/>
        <w:rPr>
          <w:rFonts w:hint="default"/>
          <w:color w:val="auto"/>
          <w:highlight w:val="none"/>
        </w:rPr>
      </w:pPr>
      <w:r>
        <w:rPr>
          <w:rFonts w:ascii="宋体" w:hAnsi="宋体" w:eastAsia="宋体"/>
          <w:color w:val="auto"/>
          <w:sz w:val="21"/>
          <w:szCs w:val="21"/>
          <w:highlight w:val="none"/>
        </w:rPr>
        <w:t>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74"/>
        <w:numPr>
          <w:ilvl w:val="0"/>
          <w:numId w:val="68"/>
        </w:numPr>
        <w:snapToGrid w:val="0"/>
        <w:spacing w:line="360" w:lineRule="auto"/>
        <w:ind w:left="284" w:hanging="284"/>
        <w:contextualSpacing/>
        <w:outlineLvl w:val="3"/>
        <w:rPr>
          <w:rFonts w:hint="default"/>
          <w:color w:val="auto"/>
          <w:highlight w:val="none"/>
        </w:rPr>
      </w:pPr>
      <w:r>
        <w:rPr>
          <w:rFonts w:ascii="宋体" w:hAnsi="宋体" w:eastAsia="宋体"/>
          <w:b/>
          <w:color w:val="auto"/>
          <w:sz w:val="21"/>
          <w:szCs w:val="21"/>
          <w:highlight w:val="none"/>
        </w:rPr>
        <w:t>最后报价</w:t>
      </w:r>
    </w:p>
    <w:p>
      <w:pPr>
        <w:pStyle w:val="74"/>
        <w:numPr>
          <w:ilvl w:val="0"/>
          <w:numId w:val="72"/>
        </w:numPr>
        <w:snapToGrid w:val="0"/>
        <w:spacing w:line="360" w:lineRule="auto"/>
        <w:contextualSpacing/>
        <w:rPr>
          <w:rFonts w:hint="default" w:ascii="宋体" w:hAnsi="宋体" w:eastAsia="宋体"/>
          <w:color w:val="auto"/>
          <w:sz w:val="21"/>
          <w:szCs w:val="21"/>
          <w:highlight w:val="none"/>
        </w:rPr>
      </w:pPr>
      <w:r>
        <w:rPr>
          <w:rFonts w:ascii="宋体" w:hAnsi="宋体" w:eastAsia="宋体"/>
          <w:color w:val="auto"/>
          <w:sz w:val="21"/>
          <w:szCs w:val="21"/>
          <w:highlight w:val="none"/>
        </w:rPr>
        <w:t>磋商结束后，磋商小组应当要求所有实质性响应的供应商在规定时间内提交最后报价。最后报价是供应商响应文件的有效组成部分。</w:t>
      </w:r>
    </w:p>
    <w:p>
      <w:pPr>
        <w:pStyle w:val="74"/>
        <w:numPr>
          <w:ilvl w:val="0"/>
          <w:numId w:val="72"/>
        </w:numPr>
        <w:snapToGrid w:val="0"/>
        <w:spacing w:line="360" w:lineRule="auto"/>
        <w:contextualSpacing/>
        <w:rPr>
          <w:rFonts w:hint="default" w:ascii="宋体" w:hAnsi="宋体" w:eastAsia="宋体"/>
          <w:color w:val="auto"/>
          <w:sz w:val="21"/>
          <w:szCs w:val="21"/>
          <w:highlight w:val="none"/>
          <w:lang w:eastAsia="zh-CN"/>
        </w:rPr>
      </w:pPr>
      <w:r>
        <w:rPr>
          <w:rFonts w:ascii="宋体" w:hAnsi="宋体" w:eastAsia="宋体"/>
          <w:color w:val="auto"/>
          <w:sz w:val="21"/>
          <w:szCs w:val="21"/>
          <w:highlight w:val="none"/>
        </w:rPr>
        <w:t>已提交响应文件的供应商，在提交最后报价之前，可以根据磋商情况退出磋商。</w:t>
      </w:r>
    </w:p>
    <w:p>
      <w:pPr>
        <w:pStyle w:val="74"/>
        <w:numPr>
          <w:ilvl w:val="0"/>
          <w:numId w:val="72"/>
        </w:numPr>
        <w:snapToGrid w:val="0"/>
        <w:spacing w:line="360" w:lineRule="auto"/>
        <w:contextualSpacing/>
        <w:rPr>
          <w:rFonts w:hint="default"/>
          <w:color w:val="auto"/>
          <w:highlight w:val="none"/>
        </w:rPr>
      </w:pPr>
      <w:r>
        <w:rPr>
          <w:rFonts w:ascii="宋体" w:hAnsi="宋体" w:eastAsia="宋体"/>
          <w:color w:val="auto"/>
          <w:sz w:val="21"/>
          <w:szCs w:val="21"/>
          <w:highlight w:val="none"/>
        </w:rPr>
        <w:t>除法规规定的特殊性情形外，提交最后报价的供应商不得少于3家。</w:t>
      </w:r>
    </w:p>
    <w:p>
      <w:pPr>
        <w:pStyle w:val="74"/>
        <w:numPr>
          <w:ilvl w:val="0"/>
          <w:numId w:val="68"/>
        </w:numPr>
        <w:snapToGrid w:val="0"/>
        <w:spacing w:line="360" w:lineRule="auto"/>
        <w:ind w:left="284" w:hanging="284"/>
        <w:contextualSpacing/>
        <w:outlineLvl w:val="3"/>
        <w:rPr>
          <w:rFonts w:hint="default" w:asciiTheme="minorEastAsia" w:hAnsiTheme="minorEastAsia"/>
          <w:b/>
          <w:bCs/>
          <w:color w:val="auto"/>
          <w:szCs w:val="21"/>
          <w:highlight w:val="none"/>
        </w:rPr>
      </w:pPr>
      <w:r>
        <w:rPr>
          <w:rFonts w:ascii="宋体" w:hAnsi="宋体" w:eastAsia="宋体"/>
          <w:b/>
          <w:color w:val="auto"/>
          <w:sz w:val="21"/>
          <w:szCs w:val="21"/>
          <w:highlight w:val="none"/>
        </w:rPr>
        <w:t>详细评审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526"/>
        <w:gridCol w:w="16"/>
        <w:gridCol w:w="983"/>
        <w:gridCol w:w="5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9" w:type="pct"/>
            <w:vAlign w:val="center"/>
          </w:tcPr>
          <w:p>
            <w:pPr>
              <w:spacing w:line="400" w:lineRule="exact"/>
              <w:jc w:val="center"/>
              <w:rPr>
                <w:rFonts w:ascii="宋体" w:hAnsi="宋体"/>
                <w:b/>
                <w:color w:val="auto"/>
                <w:szCs w:val="21"/>
                <w:highlight w:val="none"/>
              </w:rPr>
            </w:pPr>
            <w:bookmarkStart w:id="36" w:name="_Hlk169889554"/>
            <w:r>
              <w:rPr>
                <w:rFonts w:hint="eastAsia" w:ascii="宋体" w:hAnsi="宋体"/>
                <w:b/>
                <w:color w:val="auto"/>
                <w:szCs w:val="21"/>
                <w:highlight w:val="none"/>
              </w:rPr>
              <w:t>序号</w:t>
            </w:r>
          </w:p>
        </w:tc>
        <w:tc>
          <w:tcPr>
            <w:tcW w:w="831" w:type="pct"/>
            <w:gridSpan w:val="2"/>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评分内容</w:t>
            </w:r>
          </w:p>
        </w:tc>
        <w:tc>
          <w:tcPr>
            <w:tcW w:w="529" w:type="pct"/>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分值</w:t>
            </w:r>
          </w:p>
        </w:tc>
        <w:tc>
          <w:tcPr>
            <w:tcW w:w="3161" w:type="pct"/>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5"/>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商务评审细则（</w:t>
            </w:r>
            <w:r>
              <w:rPr>
                <w:rFonts w:ascii="宋体" w:hAnsi="宋体"/>
                <w:b/>
                <w:color w:val="auto"/>
                <w:szCs w:val="21"/>
                <w:highlight w:val="none"/>
              </w:rPr>
              <w:t>30</w:t>
            </w:r>
            <w:r>
              <w:rPr>
                <w:rFonts w:hint="eastAsia" w:ascii="宋体" w:hAnsi="宋体"/>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79" w:type="pct"/>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22" w:type="pct"/>
            <w:vAlign w:val="center"/>
          </w:tcPr>
          <w:p>
            <w:pPr>
              <w:spacing w:line="400" w:lineRule="exact"/>
              <w:jc w:val="center"/>
              <w:rPr>
                <w:rFonts w:ascii="宋体" w:hAnsi="宋体"/>
                <w:bCs/>
                <w:color w:val="auto"/>
                <w:szCs w:val="21"/>
                <w:highlight w:val="none"/>
              </w:rPr>
            </w:pPr>
            <w:r>
              <w:rPr>
                <w:rFonts w:hint="eastAsia" w:ascii="宋体" w:hAnsi="宋体"/>
                <w:bCs/>
                <w:color w:val="auto"/>
                <w:szCs w:val="21"/>
                <w:highlight w:val="none"/>
              </w:rPr>
              <w:t>人员配置情况</w:t>
            </w:r>
          </w:p>
        </w:tc>
        <w:tc>
          <w:tcPr>
            <w:tcW w:w="538" w:type="pct"/>
            <w:gridSpan w:val="2"/>
            <w:vAlign w:val="center"/>
          </w:tcPr>
          <w:p>
            <w:pPr>
              <w:widowControl/>
              <w:spacing w:line="400" w:lineRule="exact"/>
              <w:jc w:val="center"/>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分</w:t>
            </w:r>
          </w:p>
        </w:tc>
        <w:tc>
          <w:tcPr>
            <w:tcW w:w="3161" w:type="pct"/>
            <w:vAlign w:val="center"/>
          </w:tcPr>
          <w:p>
            <w:pPr>
              <w:spacing w:before="31" w:beforeLines="10" w:after="30" w:line="440" w:lineRule="exact"/>
              <w:rPr>
                <w:rFonts w:ascii="宋体" w:hAnsi="宋体"/>
                <w:bCs/>
                <w:color w:val="auto"/>
                <w:szCs w:val="21"/>
                <w:highlight w:val="none"/>
              </w:rPr>
            </w:pPr>
            <w:r>
              <w:rPr>
                <w:rFonts w:hint="eastAsia" w:ascii="宋体" w:hAnsi="宋体"/>
                <w:bCs/>
                <w:color w:val="auto"/>
                <w:szCs w:val="21"/>
                <w:highlight w:val="none"/>
              </w:rPr>
              <w:t>根据投标人拟投入本项目的人员：具有专职安全员证书的，每提供一个，得</w:t>
            </w:r>
            <w:r>
              <w:rPr>
                <w:rFonts w:ascii="宋体" w:hAnsi="宋体"/>
                <w:bCs/>
                <w:color w:val="auto"/>
                <w:szCs w:val="21"/>
                <w:highlight w:val="none"/>
              </w:rPr>
              <w:t>3</w:t>
            </w:r>
            <w:r>
              <w:rPr>
                <w:rFonts w:hint="eastAsia" w:ascii="宋体" w:hAnsi="宋体"/>
                <w:bCs/>
                <w:color w:val="auto"/>
                <w:szCs w:val="21"/>
                <w:highlight w:val="none"/>
              </w:rPr>
              <w:t>分，最高得</w:t>
            </w:r>
            <w:r>
              <w:rPr>
                <w:rFonts w:ascii="宋体" w:hAnsi="宋体"/>
                <w:bCs/>
                <w:color w:val="auto"/>
                <w:szCs w:val="21"/>
                <w:highlight w:val="none"/>
              </w:rPr>
              <w:t>6</w:t>
            </w:r>
            <w:r>
              <w:rPr>
                <w:rFonts w:hint="eastAsia" w:ascii="宋体" w:hAnsi="宋体"/>
                <w:bCs/>
                <w:color w:val="auto"/>
                <w:szCs w:val="21"/>
                <w:highlight w:val="none"/>
              </w:rPr>
              <w:t>分。</w:t>
            </w:r>
          </w:p>
          <w:p>
            <w:pPr>
              <w:spacing w:line="400" w:lineRule="exact"/>
              <w:rPr>
                <w:rFonts w:ascii="宋体" w:hAnsi="宋体"/>
                <w:b/>
                <w:bCs/>
                <w:color w:val="auto"/>
                <w:szCs w:val="21"/>
                <w:highlight w:val="none"/>
                <w:u w:val="single"/>
              </w:rPr>
            </w:pPr>
            <w:r>
              <w:rPr>
                <w:rFonts w:ascii="宋体" w:hAnsi="宋体"/>
                <w:b/>
                <w:bCs/>
                <w:color w:val="auto"/>
                <w:szCs w:val="21"/>
                <w:highlight w:val="none"/>
                <w:u w:val="single"/>
              </w:rPr>
              <w:t>注：须提供以上人员有效证书复印件加盖</w:t>
            </w:r>
            <w:r>
              <w:rPr>
                <w:rFonts w:hint="eastAsia" w:ascii="宋体" w:hAnsi="宋体"/>
                <w:b/>
                <w:bCs/>
                <w:color w:val="auto"/>
                <w:szCs w:val="21"/>
                <w:highlight w:val="none"/>
                <w:u w:val="single"/>
              </w:rPr>
              <w:t>投标人</w:t>
            </w:r>
            <w:r>
              <w:rPr>
                <w:rFonts w:ascii="宋体" w:hAnsi="宋体"/>
                <w:b/>
                <w:bCs/>
                <w:color w:val="auto"/>
                <w:szCs w:val="21"/>
                <w:highlight w:val="none"/>
                <w:u w:val="single"/>
              </w:rPr>
              <w:t>公章及</w:t>
            </w:r>
            <w:r>
              <w:rPr>
                <w:rFonts w:hint="eastAsia" w:ascii="宋体" w:hAnsi="宋体"/>
                <w:b/>
                <w:bCs/>
                <w:color w:val="auto"/>
                <w:szCs w:val="21"/>
                <w:highlight w:val="none"/>
                <w:u w:val="single"/>
              </w:rPr>
              <w:t>投标人</w:t>
            </w:r>
            <w:r>
              <w:rPr>
                <w:rFonts w:ascii="宋体" w:hAnsi="宋体"/>
                <w:b/>
                <w:bCs/>
                <w:color w:val="auto"/>
                <w:szCs w:val="21"/>
                <w:highlight w:val="none"/>
                <w:u w:val="single"/>
              </w:rPr>
              <w:t>为其缴纳的距开标时间（不含当月）近半年内任意</w:t>
            </w:r>
            <w:r>
              <w:rPr>
                <w:rFonts w:hint="eastAsia" w:ascii="宋体" w:hAnsi="宋体"/>
                <w:b/>
                <w:bCs/>
                <w:color w:val="auto"/>
                <w:szCs w:val="21"/>
                <w:highlight w:val="none"/>
                <w:u w:val="single"/>
              </w:rPr>
              <w:t>一</w:t>
            </w:r>
            <w:r>
              <w:rPr>
                <w:rFonts w:ascii="宋体" w:hAnsi="宋体"/>
                <w:b/>
                <w:bCs/>
                <w:color w:val="auto"/>
                <w:szCs w:val="21"/>
                <w:highlight w:val="none"/>
                <w:u w:val="single"/>
              </w:rPr>
              <w:t>个月</w:t>
            </w:r>
            <w:r>
              <w:rPr>
                <w:rFonts w:hint="eastAsia" w:ascii="宋体" w:hAnsi="宋体"/>
                <w:b/>
                <w:bCs/>
                <w:color w:val="auto"/>
                <w:szCs w:val="21"/>
                <w:highlight w:val="none"/>
                <w:u w:val="single"/>
              </w:rPr>
              <w:t>投标人</w:t>
            </w:r>
            <w:r>
              <w:rPr>
                <w:rFonts w:ascii="宋体" w:hAnsi="宋体"/>
                <w:b/>
                <w:bCs/>
                <w:color w:val="auto"/>
                <w:szCs w:val="21"/>
                <w:highlight w:val="none"/>
                <w:u w:val="single"/>
              </w:rPr>
              <w:t>为其购买的社保证明复印件加盖</w:t>
            </w:r>
            <w:r>
              <w:rPr>
                <w:rFonts w:hint="eastAsia" w:ascii="宋体" w:hAnsi="宋体"/>
                <w:b/>
                <w:bCs/>
                <w:color w:val="auto"/>
                <w:szCs w:val="21"/>
                <w:highlight w:val="none"/>
                <w:u w:val="single"/>
              </w:rPr>
              <w:t>投标人</w:t>
            </w:r>
            <w:r>
              <w:rPr>
                <w:rFonts w:ascii="宋体" w:hAnsi="宋体"/>
                <w:b/>
                <w:bCs/>
                <w:color w:val="auto"/>
                <w:szCs w:val="21"/>
                <w:highlight w:val="none"/>
                <w:u w:val="singl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79" w:type="pct"/>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22" w:type="pc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业绩情况</w:t>
            </w:r>
          </w:p>
        </w:tc>
        <w:tc>
          <w:tcPr>
            <w:tcW w:w="538" w:type="pct"/>
            <w:gridSpan w:val="2"/>
            <w:vAlign w:val="center"/>
          </w:tcPr>
          <w:p>
            <w:pPr>
              <w:widowControl/>
              <w:spacing w:line="400" w:lineRule="exact"/>
              <w:jc w:val="center"/>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分</w:t>
            </w:r>
          </w:p>
        </w:tc>
        <w:tc>
          <w:tcPr>
            <w:tcW w:w="3161" w:type="pct"/>
            <w:vAlign w:val="center"/>
          </w:tcPr>
          <w:p>
            <w:pPr>
              <w:spacing w:before="31" w:beforeLines="10" w:after="30" w:line="440" w:lineRule="exact"/>
              <w:rPr>
                <w:rFonts w:ascii="宋体" w:hAnsi="宋体"/>
                <w:color w:val="auto"/>
                <w:szCs w:val="21"/>
                <w:highlight w:val="none"/>
              </w:rPr>
            </w:pPr>
            <w:r>
              <w:rPr>
                <w:rFonts w:hint="eastAsia" w:ascii="宋体" w:hAnsi="宋体"/>
                <w:color w:val="auto"/>
                <w:szCs w:val="21"/>
                <w:highlight w:val="none"/>
              </w:rPr>
              <w:t>根据投标人具有建设工程类项目业绩进行评审，每提供一项得3分，本项最高得</w:t>
            </w:r>
            <w:r>
              <w:rPr>
                <w:rFonts w:ascii="宋体" w:hAnsi="宋体"/>
                <w:color w:val="auto"/>
                <w:szCs w:val="21"/>
                <w:highlight w:val="none"/>
              </w:rPr>
              <w:t>15</w:t>
            </w:r>
            <w:r>
              <w:rPr>
                <w:rFonts w:hint="eastAsia" w:ascii="宋体" w:hAnsi="宋体"/>
                <w:color w:val="auto"/>
                <w:szCs w:val="21"/>
                <w:highlight w:val="none"/>
              </w:rPr>
              <w:t>分。</w:t>
            </w:r>
            <w:r>
              <w:rPr>
                <w:rFonts w:ascii="宋体" w:hAnsi="宋体"/>
                <w:color w:val="auto"/>
                <w:szCs w:val="21"/>
                <w:highlight w:val="none"/>
              </w:rPr>
              <w:t xml:space="preserve"> </w:t>
            </w:r>
          </w:p>
          <w:p>
            <w:pPr>
              <w:spacing w:line="400" w:lineRule="exact"/>
              <w:rPr>
                <w:rFonts w:ascii="宋体" w:hAnsi="宋体"/>
                <w:b/>
                <w:color w:val="auto"/>
                <w:szCs w:val="21"/>
                <w:highlight w:val="none"/>
                <w:u w:val="single"/>
              </w:rPr>
            </w:pPr>
            <w:r>
              <w:rPr>
                <w:rFonts w:hint="eastAsia" w:ascii="宋体" w:hAnsi="宋体"/>
                <w:b/>
                <w:color w:val="auto"/>
                <w:szCs w:val="21"/>
                <w:highlight w:val="none"/>
                <w:u w:val="single"/>
              </w:rPr>
              <w:t>注：须提供合同复印件加盖投标人公章。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79" w:type="pc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22" w:type="pct"/>
            <w:vAlign w:val="center"/>
          </w:tcPr>
          <w:p>
            <w:pPr>
              <w:spacing w:line="400" w:lineRule="exact"/>
              <w:jc w:val="center"/>
              <w:rPr>
                <w:rFonts w:ascii="宋体" w:hAnsi="宋体"/>
                <w:color w:val="auto"/>
                <w:szCs w:val="21"/>
                <w:highlight w:val="none"/>
              </w:rPr>
            </w:pPr>
            <w:r>
              <w:rPr>
                <w:rFonts w:hint="eastAsia" w:ascii="宋体" w:hAnsi="宋体"/>
                <w:bCs/>
                <w:color w:val="auto"/>
                <w:szCs w:val="21"/>
                <w:highlight w:val="none"/>
              </w:rPr>
              <w:t>应急方案</w:t>
            </w:r>
          </w:p>
        </w:tc>
        <w:tc>
          <w:tcPr>
            <w:tcW w:w="538" w:type="pct"/>
            <w:gridSpan w:val="2"/>
            <w:vAlign w:val="center"/>
          </w:tcPr>
          <w:p>
            <w:pPr>
              <w:widowControl/>
              <w:spacing w:line="400" w:lineRule="exact"/>
              <w:jc w:val="center"/>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分</w:t>
            </w:r>
          </w:p>
        </w:tc>
        <w:tc>
          <w:tcPr>
            <w:tcW w:w="3161" w:type="pct"/>
            <w:vAlign w:val="center"/>
          </w:tcPr>
          <w:p>
            <w:pPr>
              <w:spacing w:before="31" w:beforeLines="10" w:after="30" w:line="440" w:lineRule="exact"/>
              <w:rPr>
                <w:rFonts w:ascii="宋体" w:hAnsi="宋体"/>
                <w:color w:val="auto"/>
                <w:szCs w:val="21"/>
                <w:highlight w:val="none"/>
              </w:rPr>
            </w:pPr>
            <w:r>
              <w:rPr>
                <w:rFonts w:hint="eastAsia" w:ascii="宋体" w:hAnsi="宋体"/>
                <w:color w:val="auto"/>
                <w:szCs w:val="21"/>
                <w:highlight w:val="none"/>
              </w:rPr>
              <w:t>根据投标人所提供的应急方案进行评审：</w:t>
            </w:r>
          </w:p>
          <w:p>
            <w:pPr>
              <w:spacing w:before="31" w:beforeLines="10" w:after="30" w:line="440" w:lineRule="exact"/>
              <w:rPr>
                <w:rFonts w:ascii="宋体" w:hAnsi="宋体"/>
                <w:color w:val="auto"/>
                <w:szCs w:val="21"/>
                <w:highlight w:val="none"/>
              </w:rPr>
            </w:pPr>
            <w:r>
              <w:rPr>
                <w:rFonts w:hint="eastAsia" w:ascii="宋体" w:hAnsi="宋体" w:cs="宋体"/>
                <w:color w:val="auto"/>
                <w:szCs w:val="21"/>
                <w:highlight w:val="none"/>
              </w:rPr>
              <w:t>①</w:t>
            </w:r>
            <w:r>
              <w:rPr>
                <w:rFonts w:hint="eastAsia" w:ascii="宋体" w:hAnsi="宋体"/>
                <w:color w:val="auto"/>
                <w:szCs w:val="21"/>
                <w:highlight w:val="none"/>
              </w:rPr>
              <w:t>应急预案考虑深入严谨，传达机制、人员和设备调配合理、清晰，责任分工明确，针对设备故障维修有详细的应对措施及相应的解决方案，应急措施科学合理可行，应急方案各项内容均具备，并能根据项目性质或采购需求提出合理可行的建议的，得</w:t>
            </w:r>
            <w:r>
              <w:rPr>
                <w:rFonts w:ascii="宋体" w:hAnsi="宋体"/>
                <w:color w:val="auto"/>
                <w:szCs w:val="21"/>
                <w:highlight w:val="none"/>
              </w:rPr>
              <w:t>9</w:t>
            </w:r>
            <w:r>
              <w:rPr>
                <w:rFonts w:hint="eastAsia" w:ascii="宋体" w:hAnsi="宋体"/>
                <w:color w:val="auto"/>
                <w:szCs w:val="21"/>
                <w:highlight w:val="none"/>
              </w:rPr>
              <w:t>分；</w:t>
            </w:r>
          </w:p>
          <w:p>
            <w:pPr>
              <w:spacing w:before="31" w:beforeLines="10" w:after="30" w:line="440" w:lineRule="exact"/>
              <w:rPr>
                <w:rFonts w:ascii="宋体" w:hAnsi="宋体"/>
                <w:color w:val="auto"/>
                <w:szCs w:val="21"/>
                <w:highlight w:val="none"/>
              </w:rPr>
            </w:pPr>
            <w:r>
              <w:rPr>
                <w:rFonts w:hint="eastAsia" w:ascii="宋体" w:hAnsi="宋体" w:cs="宋体"/>
                <w:color w:val="auto"/>
                <w:szCs w:val="21"/>
                <w:highlight w:val="none"/>
              </w:rPr>
              <w:t>②</w:t>
            </w:r>
            <w:r>
              <w:rPr>
                <w:rFonts w:hint="eastAsia" w:ascii="宋体" w:hAnsi="宋体"/>
                <w:color w:val="auto"/>
                <w:szCs w:val="21"/>
                <w:highlight w:val="none"/>
              </w:rPr>
              <w:t>应急预案考虑严谨，传达机制、人员和设备调配合理，责任分工明确，有针对设备故障维修的应对措施及解决方案，应急措施合理可行，应急方案各项内容均具备的，得</w:t>
            </w:r>
            <w:r>
              <w:rPr>
                <w:rFonts w:ascii="宋体" w:hAnsi="宋体"/>
                <w:color w:val="auto"/>
                <w:szCs w:val="21"/>
                <w:highlight w:val="none"/>
              </w:rPr>
              <w:t>6</w:t>
            </w:r>
            <w:r>
              <w:rPr>
                <w:rFonts w:hint="eastAsia" w:ascii="宋体" w:hAnsi="宋体"/>
                <w:color w:val="auto"/>
                <w:szCs w:val="21"/>
                <w:highlight w:val="none"/>
              </w:rPr>
              <w:t>分；</w:t>
            </w:r>
          </w:p>
          <w:p>
            <w:pPr>
              <w:spacing w:before="31" w:beforeLines="10" w:after="30" w:line="440" w:lineRule="exact"/>
              <w:rPr>
                <w:rFonts w:ascii="宋体" w:hAnsi="宋体"/>
                <w:color w:val="auto"/>
                <w:szCs w:val="21"/>
                <w:highlight w:val="none"/>
              </w:rPr>
            </w:pPr>
            <w:r>
              <w:rPr>
                <w:rFonts w:hint="eastAsia" w:ascii="宋体" w:hAnsi="宋体" w:cs="宋体"/>
                <w:color w:val="auto"/>
                <w:szCs w:val="21"/>
                <w:highlight w:val="none"/>
              </w:rPr>
              <w:t>③</w:t>
            </w:r>
            <w:r>
              <w:rPr>
                <w:rFonts w:hint="eastAsia" w:ascii="宋体" w:hAnsi="宋体"/>
                <w:color w:val="auto"/>
                <w:szCs w:val="21"/>
                <w:highlight w:val="none"/>
              </w:rPr>
              <w:t>应急预案考虑严谨，传达机制、人员和设备调配合理，责任分工明确，但没有针对设备故障维修的应对措施及解决方案，应急措施不合理不可行，应急方案部分内容有缺漏的，得</w:t>
            </w:r>
            <w:r>
              <w:rPr>
                <w:rFonts w:ascii="宋体" w:hAnsi="宋体"/>
                <w:color w:val="auto"/>
                <w:szCs w:val="21"/>
                <w:highlight w:val="none"/>
              </w:rPr>
              <w:t>3</w:t>
            </w:r>
            <w:r>
              <w:rPr>
                <w:rFonts w:hint="eastAsia" w:ascii="宋体" w:hAnsi="宋体"/>
                <w:color w:val="auto"/>
                <w:szCs w:val="21"/>
                <w:highlight w:val="none"/>
              </w:rPr>
              <w:t>分；</w:t>
            </w:r>
          </w:p>
          <w:p>
            <w:pPr>
              <w:spacing w:before="31" w:beforeLines="10" w:after="30" w:line="440" w:lineRule="exact"/>
              <w:rPr>
                <w:rFonts w:ascii="宋体" w:hAnsi="宋体"/>
                <w:color w:val="auto"/>
                <w:szCs w:val="21"/>
                <w:highlight w:val="none"/>
              </w:rPr>
            </w:pPr>
            <w:r>
              <w:rPr>
                <w:rFonts w:hint="eastAsia" w:ascii="宋体" w:hAnsi="宋体" w:cs="宋体"/>
                <w:bCs/>
                <w:color w:val="auto"/>
                <w:szCs w:val="21"/>
                <w:highlight w:val="none"/>
              </w:rPr>
              <w:t>④</w:t>
            </w:r>
            <w:r>
              <w:rPr>
                <w:rFonts w:hint="eastAsia" w:ascii="宋体" w:hAnsi="宋体"/>
                <w:bCs/>
                <w:color w:val="auto"/>
                <w:szCs w:val="21"/>
                <w:highlight w:val="none"/>
              </w:rPr>
              <w:t>没有提供本项方案的不得分。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000" w:type="pct"/>
            <w:gridSpan w:val="5"/>
            <w:vAlign w:val="center"/>
          </w:tcPr>
          <w:p>
            <w:pPr>
              <w:spacing w:line="400" w:lineRule="exact"/>
              <w:jc w:val="center"/>
              <w:rPr>
                <w:rFonts w:ascii="宋体" w:hAnsi="宋体"/>
                <w:color w:val="auto"/>
                <w:sz w:val="31"/>
                <w:szCs w:val="28"/>
                <w:highlight w:val="none"/>
              </w:rPr>
            </w:pPr>
            <w:r>
              <w:rPr>
                <w:rFonts w:hint="eastAsia" w:ascii="宋体" w:hAnsi="宋体"/>
                <w:b/>
                <w:color w:val="auto"/>
                <w:szCs w:val="21"/>
                <w:highlight w:val="none"/>
              </w:rPr>
              <w:t>技术评审细则（</w:t>
            </w:r>
            <w:r>
              <w:rPr>
                <w:rFonts w:ascii="宋体" w:hAnsi="宋体"/>
                <w:b/>
                <w:color w:val="auto"/>
                <w:szCs w:val="21"/>
                <w:highlight w:val="none"/>
              </w:rPr>
              <w:t>50</w:t>
            </w:r>
            <w:r>
              <w:rPr>
                <w:rFonts w:hint="eastAsia" w:ascii="宋体" w:hAnsi="宋体"/>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79" w:type="pct"/>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22" w:type="pc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项目实施方案</w:t>
            </w:r>
          </w:p>
        </w:tc>
        <w:tc>
          <w:tcPr>
            <w:tcW w:w="538" w:type="pct"/>
            <w:gridSpan w:val="2"/>
            <w:vAlign w:val="center"/>
          </w:tcPr>
          <w:p>
            <w:pPr>
              <w:widowControl/>
              <w:spacing w:line="400" w:lineRule="exact"/>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分</w:t>
            </w:r>
          </w:p>
        </w:tc>
        <w:tc>
          <w:tcPr>
            <w:tcW w:w="3161" w:type="pct"/>
            <w:vAlign w:val="center"/>
          </w:tcPr>
          <w:p>
            <w:pPr>
              <w:spacing w:before="31" w:beforeLines="10" w:after="30" w:line="440" w:lineRule="exact"/>
              <w:rPr>
                <w:rFonts w:ascii="宋体" w:hAnsi="宋体" w:cs="宋体"/>
                <w:color w:val="auto"/>
                <w:kern w:val="0"/>
                <w:szCs w:val="21"/>
                <w:highlight w:val="none"/>
              </w:rPr>
            </w:pPr>
            <w:r>
              <w:rPr>
                <w:rFonts w:hint="eastAsia" w:ascii="宋体" w:hAnsi="宋体"/>
                <w:color w:val="auto"/>
                <w:szCs w:val="21"/>
                <w:highlight w:val="none"/>
              </w:rPr>
              <w:t>根据投标人所提供的项目实施方案</w:t>
            </w:r>
            <w:r>
              <w:rPr>
                <w:rFonts w:hint="eastAsia" w:ascii="宋体" w:hAnsi="宋体" w:cs="宋体"/>
                <w:color w:val="auto"/>
                <w:kern w:val="0"/>
                <w:szCs w:val="21"/>
                <w:highlight w:val="none"/>
              </w:rPr>
              <w:t>(包括但不限于：施工准备、施工步骤、工作方案思路、技术方案等)</w:t>
            </w:r>
            <w:r>
              <w:rPr>
                <w:rFonts w:hint="eastAsia" w:ascii="宋体" w:hAnsi="宋体"/>
                <w:color w:val="auto"/>
                <w:szCs w:val="21"/>
                <w:highlight w:val="none"/>
              </w:rPr>
              <w:t>进行评审：</w:t>
            </w:r>
          </w:p>
          <w:p>
            <w:pPr>
              <w:spacing w:before="31" w:beforeLines="10" w:after="30" w:line="440" w:lineRule="exact"/>
              <w:rPr>
                <w:rFonts w:ascii="宋体" w:hAnsi="宋体"/>
                <w:color w:val="auto"/>
                <w:szCs w:val="21"/>
                <w:highlight w:val="none"/>
              </w:rPr>
            </w:pPr>
            <w:r>
              <w:rPr>
                <w:rFonts w:hint="eastAsia" w:ascii="宋体" w:hAnsi="宋体"/>
                <w:color w:val="auto"/>
                <w:szCs w:val="21"/>
                <w:highlight w:val="none"/>
              </w:rPr>
              <w:t>①有充足、完善的施工准备，施工步骤明确、详尽，工作方案思路清晰、有条理，有根据采购需求编制系统科学、合理可行的技术方案，项目整体实施方案各项内容均具备，并能根据项目性质或采购需求提出合理可行的建议的，得1</w:t>
            </w:r>
            <w:r>
              <w:rPr>
                <w:rFonts w:ascii="宋体" w:hAnsi="宋体"/>
                <w:color w:val="auto"/>
                <w:szCs w:val="21"/>
                <w:highlight w:val="none"/>
              </w:rPr>
              <w:t>0</w:t>
            </w:r>
            <w:r>
              <w:rPr>
                <w:rFonts w:hint="eastAsia" w:ascii="宋体" w:hAnsi="宋体"/>
                <w:color w:val="auto"/>
                <w:szCs w:val="21"/>
                <w:highlight w:val="none"/>
              </w:rPr>
              <w:t>分；</w:t>
            </w:r>
          </w:p>
          <w:p>
            <w:pPr>
              <w:spacing w:before="31" w:beforeLines="10" w:after="30" w:line="440" w:lineRule="exact"/>
              <w:rPr>
                <w:rFonts w:ascii="宋体" w:hAnsi="宋体"/>
                <w:color w:val="auto"/>
                <w:szCs w:val="21"/>
                <w:highlight w:val="none"/>
              </w:rPr>
            </w:pPr>
            <w:r>
              <w:rPr>
                <w:rFonts w:hint="eastAsia" w:ascii="宋体" w:hAnsi="宋体"/>
                <w:color w:val="auto"/>
                <w:szCs w:val="21"/>
                <w:highlight w:val="none"/>
              </w:rPr>
              <w:t>②有充足的施工准备，施工步骤详尽，工作方案思路清晰，有根据采购需求编制合理可行的技术方案，项目整体实施方案各项内容均具备的，得</w:t>
            </w:r>
            <w:r>
              <w:rPr>
                <w:rFonts w:ascii="宋体" w:hAnsi="宋体"/>
                <w:color w:val="auto"/>
                <w:szCs w:val="21"/>
                <w:highlight w:val="none"/>
              </w:rPr>
              <w:t>7</w:t>
            </w:r>
            <w:r>
              <w:rPr>
                <w:rFonts w:hint="eastAsia" w:ascii="宋体" w:hAnsi="宋体"/>
                <w:color w:val="auto"/>
                <w:szCs w:val="21"/>
                <w:highlight w:val="none"/>
              </w:rPr>
              <w:t>分；</w:t>
            </w:r>
          </w:p>
          <w:p>
            <w:pPr>
              <w:spacing w:before="31" w:beforeLines="10" w:after="30" w:line="440" w:lineRule="exact"/>
              <w:rPr>
                <w:rFonts w:ascii="宋体" w:hAnsi="宋体"/>
                <w:color w:val="auto"/>
                <w:szCs w:val="21"/>
                <w:highlight w:val="none"/>
              </w:rPr>
            </w:pPr>
            <w:r>
              <w:rPr>
                <w:rFonts w:hint="eastAsia" w:ascii="宋体" w:hAnsi="宋体"/>
                <w:color w:val="auto"/>
                <w:szCs w:val="21"/>
                <w:highlight w:val="none"/>
              </w:rPr>
              <w:t>③有充足的施工准备，施工步骤详尽，工作方案思路清晰，但技术方案不具体不合理，项目整体实施方案部分内容有缺漏的，得</w:t>
            </w:r>
            <w:r>
              <w:rPr>
                <w:rFonts w:ascii="宋体" w:hAnsi="宋体"/>
                <w:color w:val="auto"/>
                <w:szCs w:val="21"/>
                <w:highlight w:val="none"/>
              </w:rPr>
              <w:t>4</w:t>
            </w:r>
            <w:r>
              <w:rPr>
                <w:rFonts w:hint="eastAsia" w:ascii="宋体" w:hAnsi="宋体"/>
                <w:color w:val="auto"/>
                <w:szCs w:val="21"/>
                <w:highlight w:val="none"/>
              </w:rPr>
              <w:t>分；</w:t>
            </w:r>
          </w:p>
          <w:p>
            <w:pPr>
              <w:spacing w:before="31" w:beforeLines="10" w:after="30" w:line="440" w:lineRule="exact"/>
              <w:rPr>
                <w:rFonts w:ascii="宋体" w:hAnsi="宋体"/>
                <w:color w:val="auto"/>
                <w:szCs w:val="21"/>
                <w:highlight w:val="none"/>
              </w:rPr>
            </w:pPr>
            <w:r>
              <w:rPr>
                <w:rFonts w:hint="eastAsia" w:ascii="宋体" w:hAnsi="宋体" w:cs="宋体"/>
                <w:color w:val="auto"/>
                <w:szCs w:val="21"/>
                <w:highlight w:val="none"/>
              </w:rPr>
              <w:t>④</w:t>
            </w:r>
            <w:r>
              <w:rPr>
                <w:rFonts w:hint="eastAsia" w:ascii="宋体" w:hAnsi="宋体"/>
                <w:color w:val="auto"/>
                <w:szCs w:val="21"/>
                <w:highlight w:val="none"/>
              </w:rPr>
              <w:t>施工准备、施工步骤、工作方案思路等内容含糊、片面、欠缺，技术方案不具体不合理，项目整体实施方案内容不完整的，得</w:t>
            </w:r>
            <w:r>
              <w:rPr>
                <w:rFonts w:ascii="宋体" w:hAnsi="宋体"/>
                <w:color w:val="auto"/>
                <w:szCs w:val="21"/>
                <w:highlight w:val="none"/>
              </w:rPr>
              <w:t>1</w:t>
            </w:r>
            <w:r>
              <w:rPr>
                <w:rFonts w:hint="eastAsia" w:ascii="宋体" w:hAnsi="宋体"/>
                <w:color w:val="auto"/>
                <w:szCs w:val="21"/>
                <w:highlight w:val="none"/>
              </w:rPr>
              <w:t>分；</w:t>
            </w:r>
          </w:p>
          <w:p>
            <w:pPr>
              <w:spacing w:line="400" w:lineRule="exact"/>
              <w:rPr>
                <w:rFonts w:ascii="宋体" w:hAnsi="宋体"/>
                <w:color w:val="auto"/>
                <w:szCs w:val="21"/>
                <w:highlight w:val="none"/>
              </w:rPr>
            </w:pPr>
            <w:r>
              <w:rPr>
                <w:rFonts w:hint="eastAsia" w:ascii="宋体" w:hAnsi="宋体" w:cs="宋体"/>
                <w:color w:val="auto"/>
                <w:szCs w:val="21"/>
                <w:highlight w:val="none"/>
              </w:rPr>
              <w:t>⑤</w:t>
            </w:r>
            <w:r>
              <w:rPr>
                <w:rFonts w:hint="eastAsia" w:ascii="宋体" w:hAnsi="宋体"/>
                <w:color w:val="auto"/>
                <w:szCs w:val="21"/>
                <w:highlight w:val="none"/>
              </w:rPr>
              <w:t>没有提供本项方案的不得分。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79" w:type="pct"/>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22" w:type="pct"/>
            <w:vAlign w:val="center"/>
          </w:tcPr>
          <w:p>
            <w:pPr>
              <w:spacing w:line="400" w:lineRule="exact"/>
              <w:jc w:val="center"/>
              <w:rPr>
                <w:rFonts w:ascii="宋体" w:hAnsi="宋体"/>
                <w:bCs/>
                <w:color w:val="auto"/>
                <w:szCs w:val="21"/>
                <w:highlight w:val="none"/>
              </w:rPr>
            </w:pPr>
            <w:r>
              <w:rPr>
                <w:rFonts w:ascii="宋体" w:hAnsi="宋体"/>
                <w:bCs/>
                <w:color w:val="auto"/>
                <w:szCs w:val="21"/>
                <w:highlight w:val="none"/>
              </w:rPr>
              <w:t>安全</w:t>
            </w:r>
            <w:r>
              <w:rPr>
                <w:rFonts w:hint="eastAsia" w:ascii="宋体" w:hAnsi="宋体"/>
                <w:bCs/>
                <w:color w:val="auto"/>
                <w:szCs w:val="21"/>
                <w:highlight w:val="none"/>
              </w:rPr>
              <w:t>、</w:t>
            </w:r>
            <w:r>
              <w:rPr>
                <w:rFonts w:ascii="宋体" w:hAnsi="宋体"/>
                <w:bCs/>
                <w:color w:val="auto"/>
                <w:szCs w:val="21"/>
                <w:highlight w:val="none"/>
              </w:rPr>
              <w:t>文明施工措施</w:t>
            </w:r>
          </w:p>
        </w:tc>
        <w:tc>
          <w:tcPr>
            <w:tcW w:w="538" w:type="pct"/>
            <w:gridSpan w:val="2"/>
            <w:vAlign w:val="center"/>
          </w:tcPr>
          <w:p>
            <w:pPr>
              <w:widowControl/>
              <w:spacing w:line="400" w:lineRule="exact"/>
              <w:jc w:val="center"/>
              <w:rPr>
                <w:rFonts w:ascii="宋体" w:hAnsi="宋体"/>
                <w:bCs/>
                <w:color w:val="auto"/>
                <w:szCs w:val="21"/>
                <w:highlight w:val="none"/>
              </w:rPr>
            </w:pPr>
            <w:r>
              <w:rPr>
                <w:rFonts w:hint="eastAsia" w:ascii="宋体" w:hAnsi="宋体"/>
                <w:color w:val="auto"/>
                <w:szCs w:val="21"/>
                <w:highlight w:val="none"/>
              </w:rPr>
              <w:t>10分</w:t>
            </w:r>
          </w:p>
        </w:tc>
        <w:tc>
          <w:tcPr>
            <w:tcW w:w="3161" w:type="pct"/>
            <w:vAlign w:val="center"/>
          </w:tcPr>
          <w:p>
            <w:pPr>
              <w:pStyle w:val="49"/>
              <w:spacing w:line="440" w:lineRule="exact"/>
              <w:ind w:firstLine="0" w:firstLineChars="0"/>
              <w:jc w:val="left"/>
              <w:rPr>
                <w:rFonts w:ascii="宋体" w:eastAsia="宋体"/>
                <w:color w:val="auto"/>
                <w:sz w:val="21"/>
                <w:szCs w:val="21"/>
                <w:highlight w:val="none"/>
              </w:rPr>
            </w:pPr>
            <w:r>
              <w:rPr>
                <w:rFonts w:hint="eastAsia" w:ascii="宋体" w:eastAsia="宋体"/>
                <w:bCs/>
                <w:color w:val="auto"/>
                <w:sz w:val="21"/>
                <w:szCs w:val="21"/>
                <w:highlight w:val="none"/>
              </w:rPr>
              <w:t>根据</w:t>
            </w:r>
            <w:r>
              <w:rPr>
                <w:rFonts w:hint="eastAsia" w:ascii="宋体" w:eastAsia="宋体"/>
                <w:color w:val="auto"/>
                <w:sz w:val="21"/>
                <w:szCs w:val="21"/>
                <w:highlight w:val="none"/>
              </w:rPr>
              <w:t>投标人</w:t>
            </w:r>
            <w:r>
              <w:rPr>
                <w:rFonts w:hint="eastAsia" w:ascii="宋体" w:eastAsia="宋体"/>
                <w:bCs/>
                <w:color w:val="auto"/>
                <w:sz w:val="21"/>
                <w:szCs w:val="21"/>
                <w:highlight w:val="none"/>
              </w:rPr>
              <w:t>所提供</w:t>
            </w:r>
            <w:r>
              <w:rPr>
                <w:rFonts w:ascii="宋体" w:eastAsia="宋体"/>
                <w:bCs/>
                <w:color w:val="auto"/>
                <w:sz w:val="21"/>
                <w:szCs w:val="21"/>
                <w:highlight w:val="none"/>
              </w:rPr>
              <w:t>安全</w:t>
            </w:r>
            <w:r>
              <w:rPr>
                <w:rFonts w:hint="eastAsia" w:ascii="宋体" w:eastAsia="宋体"/>
                <w:bCs/>
                <w:color w:val="auto"/>
                <w:sz w:val="21"/>
                <w:szCs w:val="21"/>
                <w:highlight w:val="none"/>
              </w:rPr>
              <w:t>、</w:t>
            </w:r>
            <w:r>
              <w:rPr>
                <w:rFonts w:ascii="宋体" w:eastAsia="宋体"/>
                <w:bCs/>
                <w:color w:val="auto"/>
                <w:sz w:val="21"/>
                <w:szCs w:val="21"/>
                <w:highlight w:val="none"/>
              </w:rPr>
              <w:t>文明施工措施方案</w:t>
            </w:r>
            <w:r>
              <w:rPr>
                <w:rFonts w:hint="eastAsia" w:ascii="宋体" w:eastAsia="宋体"/>
                <w:color w:val="auto"/>
                <w:sz w:val="21"/>
                <w:szCs w:val="21"/>
                <w:highlight w:val="none"/>
              </w:rPr>
              <w:t>进行评审：</w:t>
            </w:r>
          </w:p>
          <w:p>
            <w:pPr>
              <w:pStyle w:val="49"/>
              <w:spacing w:line="440" w:lineRule="exact"/>
              <w:ind w:firstLine="0" w:firstLineChars="0"/>
              <w:jc w:val="left"/>
              <w:rPr>
                <w:rFonts w:ascii="宋体" w:eastAsia="宋体"/>
                <w:color w:val="auto"/>
                <w:sz w:val="21"/>
                <w:szCs w:val="21"/>
                <w:highlight w:val="none"/>
              </w:rPr>
            </w:pPr>
            <w:r>
              <w:rPr>
                <w:rFonts w:hint="eastAsia" w:ascii="宋体" w:eastAsia="宋体" w:cs="Arial Unicode MS"/>
                <w:color w:val="auto"/>
                <w:sz w:val="21"/>
                <w:szCs w:val="21"/>
                <w:highlight w:val="none"/>
              </w:rPr>
              <w:t>①安全、文明施工的目标清晰明确</w:t>
            </w:r>
            <w:r>
              <w:rPr>
                <w:rFonts w:hint="eastAsia" w:ascii="宋体" w:eastAsia="宋体"/>
                <w:color w:val="auto"/>
                <w:sz w:val="21"/>
                <w:szCs w:val="21"/>
                <w:highlight w:val="none"/>
              </w:rPr>
              <w:t>，实施措施合理具体，有根据采购需求编制系统科学、合理可行的安全、文明施工措施方案，安全、文明施工措施方案各项内容均具备，并能根据项目性质或采购需求提出合理可行的建议的，得10分；</w:t>
            </w:r>
          </w:p>
          <w:p>
            <w:pPr>
              <w:pStyle w:val="49"/>
              <w:spacing w:line="440" w:lineRule="exact"/>
              <w:ind w:firstLine="0" w:firstLineChars="0"/>
              <w:jc w:val="left"/>
              <w:rPr>
                <w:rFonts w:ascii="宋体" w:eastAsia="宋体"/>
                <w:color w:val="auto"/>
                <w:sz w:val="21"/>
                <w:szCs w:val="21"/>
                <w:highlight w:val="none"/>
              </w:rPr>
            </w:pPr>
            <w:r>
              <w:rPr>
                <w:rFonts w:hint="eastAsia" w:ascii="宋体" w:eastAsia="宋体" w:cs="Arial Unicode MS"/>
                <w:color w:val="auto"/>
                <w:sz w:val="21"/>
                <w:szCs w:val="21"/>
                <w:highlight w:val="none"/>
              </w:rPr>
              <w:t>②安全、文明施工的目标清晰</w:t>
            </w:r>
            <w:r>
              <w:rPr>
                <w:rFonts w:hint="eastAsia" w:ascii="宋体" w:eastAsia="宋体"/>
                <w:color w:val="auto"/>
                <w:sz w:val="21"/>
                <w:szCs w:val="21"/>
                <w:highlight w:val="none"/>
              </w:rPr>
              <w:t>，实施措施合理，有根据采购需求编制合理可行的安全、文明施工措施方案，安全、文明施工措施方案各项内容均具备的，得7分</w:t>
            </w:r>
          </w:p>
          <w:p>
            <w:pPr>
              <w:pStyle w:val="49"/>
              <w:spacing w:line="440" w:lineRule="exact"/>
              <w:ind w:firstLine="0" w:firstLineChars="0"/>
              <w:jc w:val="left"/>
              <w:rPr>
                <w:rFonts w:ascii="宋体" w:eastAsia="宋体"/>
                <w:color w:val="auto"/>
                <w:sz w:val="21"/>
                <w:szCs w:val="21"/>
                <w:highlight w:val="none"/>
              </w:rPr>
            </w:pPr>
            <w:r>
              <w:rPr>
                <w:rFonts w:hint="eastAsia" w:ascii="宋体" w:eastAsia="宋体"/>
                <w:color w:val="auto"/>
                <w:sz w:val="21"/>
                <w:szCs w:val="21"/>
                <w:highlight w:val="none"/>
              </w:rPr>
              <w:t>③</w:t>
            </w:r>
            <w:r>
              <w:rPr>
                <w:rFonts w:hint="eastAsia" w:ascii="宋体" w:eastAsia="宋体" w:cs="Arial Unicode MS"/>
                <w:color w:val="auto"/>
                <w:sz w:val="21"/>
                <w:szCs w:val="21"/>
                <w:highlight w:val="none"/>
              </w:rPr>
              <w:t>安全、文明施工的目标清晰</w:t>
            </w:r>
            <w:r>
              <w:rPr>
                <w:rFonts w:hint="eastAsia" w:ascii="宋体" w:eastAsia="宋体"/>
                <w:color w:val="auto"/>
                <w:sz w:val="21"/>
                <w:szCs w:val="21"/>
                <w:highlight w:val="none"/>
              </w:rPr>
              <w:t>，但实施措施不合理不具体，安全、文明施工措施方案部分内容有缺漏的，得4分；</w:t>
            </w:r>
          </w:p>
          <w:p>
            <w:pPr>
              <w:pStyle w:val="49"/>
              <w:spacing w:line="440" w:lineRule="exact"/>
              <w:ind w:firstLine="0" w:firstLineChars="0"/>
              <w:jc w:val="left"/>
              <w:rPr>
                <w:rFonts w:ascii="宋体" w:eastAsia="宋体"/>
                <w:color w:val="auto"/>
                <w:sz w:val="21"/>
                <w:szCs w:val="21"/>
                <w:highlight w:val="none"/>
              </w:rPr>
            </w:pPr>
            <w:r>
              <w:rPr>
                <w:rFonts w:hint="eastAsia" w:ascii="宋体" w:eastAsia="宋体" w:cs="宋体"/>
                <w:color w:val="auto"/>
                <w:sz w:val="21"/>
                <w:szCs w:val="21"/>
                <w:highlight w:val="none"/>
              </w:rPr>
              <w:t>④</w:t>
            </w:r>
            <w:r>
              <w:rPr>
                <w:rFonts w:hint="eastAsia" w:ascii="宋体" w:eastAsia="宋体"/>
                <w:color w:val="auto"/>
                <w:sz w:val="21"/>
                <w:szCs w:val="21"/>
                <w:highlight w:val="none"/>
              </w:rPr>
              <w:t>安全、文明施工的目标模糊，实施措施不合理不具体，安全、文明施工措施方案内容不完整的，得</w:t>
            </w:r>
            <w:r>
              <w:rPr>
                <w:rFonts w:ascii="宋体" w:eastAsia="宋体"/>
                <w:color w:val="auto"/>
                <w:sz w:val="21"/>
                <w:szCs w:val="21"/>
                <w:highlight w:val="none"/>
              </w:rPr>
              <w:t>1</w:t>
            </w:r>
            <w:r>
              <w:rPr>
                <w:rFonts w:hint="eastAsia" w:ascii="宋体" w:eastAsia="宋体"/>
                <w:color w:val="auto"/>
                <w:sz w:val="21"/>
                <w:szCs w:val="21"/>
                <w:highlight w:val="none"/>
              </w:rPr>
              <w:t>分；</w:t>
            </w:r>
          </w:p>
          <w:p>
            <w:pPr>
              <w:spacing w:line="400" w:lineRule="exact"/>
              <w:rPr>
                <w:rFonts w:ascii="宋体" w:hAnsi="宋体" w:cs="宋体"/>
                <w:color w:val="auto"/>
                <w:kern w:val="0"/>
                <w:szCs w:val="21"/>
                <w:highlight w:val="none"/>
              </w:rPr>
            </w:pPr>
            <w:r>
              <w:rPr>
                <w:rFonts w:hint="eastAsia" w:ascii="宋体" w:hAnsi="宋体" w:cs="宋体"/>
                <w:color w:val="auto"/>
                <w:szCs w:val="21"/>
                <w:highlight w:val="none"/>
              </w:rPr>
              <w:t>⑤</w:t>
            </w:r>
            <w:r>
              <w:rPr>
                <w:rFonts w:hint="eastAsia" w:ascii="宋体" w:hAnsi="宋体"/>
                <w:color w:val="auto"/>
                <w:szCs w:val="21"/>
                <w:highlight w:val="none"/>
              </w:rPr>
              <w:t>没有提供本项方案的不得分。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79" w:type="pct"/>
            <w:vAlign w:val="center"/>
          </w:tcPr>
          <w:p>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822" w:type="pct"/>
            <w:vAlign w:val="center"/>
          </w:tcPr>
          <w:p>
            <w:pPr>
              <w:spacing w:line="400" w:lineRule="exact"/>
              <w:jc w:val="center"/>
              <w:rPr>
                <w:rFonts w:ascii="宋体" w:hAnsi="宋体"/>
                <w:bCs/>
                <w:color w:val="auto"/>
                <w:szCs w:val="21"/>
                <w:highlight w:val="none"/>
              </w:rPr>
            </w:pPr>
            <w:r>
              <w:rPr>
                <w:rFonts w:hint="eastAsia" w:ascii="宋体" w:hAnsi="宋体"/>
                <w:bCs/>
                <w:color w:val="auto"/>
                <w:szCs w:val="21"/>
                <w:highlight w:val="none"/>
              </w:rPr>
              <w:t>施工质量保证措施</w:t>
            </w:r>
          </w:p>
        </w:tc>
        <w:tc>
          <w:tcPr>
            <w:tcW w:w="538" w:type="pct"/>
            <w:gridSpan w:val="2"/>
            <w:vAlign w:val="center"/>
          </w:tcPr>
          <w:p>
            <w:pPr>
              <w:widowControl/>
              <w:spacing w:line="400" w:lineRule="exact"/>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分</w:t>
            </w:r>
          </w:p>
        </w:tc>
        <w:tc>
          <w:tcPr>
            <w:tcW w:w="3161" w:type="pct"/>
            <w:vAlign w:val="center"/>
          </w:tcPr>
          <w:p>
            <w:pPr>
              <w:spacing w:before="31" w:beforeLines="10" w:after="30" w:line="440" w:lineRule="exact"/>
              <w:rPr>
                <w:rFonts w:ascii="宋体" w:hAnsi="宋体" w:cs="宋体"/>
                <w:color w:val="auto"/>
                <w:kern w:val="0"/>
                <w:szCs w:val="21"/>
                <w:highlight w:val="none"/>
              </w:rPr>
            </w:pPr>
            <w:r>
              <w:rPr>
                <w:rFonts w:hint="eastAsia" w:ascii="宋体" w:hAnsi="宋体"/>
                <w:color w:val="auto"/>
                <w:szCs w:val="21"/>
                <w:highlight w:val="none"/>
              </w:rPr>
              <w:t>根据投标人所提供的施工质量保证措施方案</w:t>
            </w:r>
            <w:r>
              <w:rPr>
                <w:rFonts w:hint="eastAsia" w:ascii="宋体" w:hAnsi="宋体" w:cs="宋体"/>
                <w:color w:val="auto"/>
                <w:kern w:val="0"/>
                <w:szCs w:val="21"/>
                <w:highlight w:val="none"/>
              </w:rPr>
              <w:t>(包括但不限于：质量目标、质量控制措施、质量保证体系及措施、质量保障管理及制度等)</w:t>
            </w:r>
            <w:r>
              <w:rPr>
                <w:rFonts w:hint="eastAsia" w:ascii="宋体" w:hAnsi="宋体"/>
                <w:color w:val="auto"/>
                <w:szCs w:val="21"/>
                <w:highlight w:val="none"/>
              </w:rPr>
              <w:t>进行评审：</w:t>
            </w:r>
          </w:p>
          <w:p>
            <w:pPr>
              <w:pStyle w:val="49"/>
              <w:spacing w:line="440" w:lineRule="exact"/>
              <w:ind w:firstLine="0" w:firstLineChars="0"/>
              <w:jc w:val="left"/>
              <w:rPr>
                <w:rFonts w:ascii="宋体" w:eastAsia="宋体"/>
                <w:color w:val="auto"/>
                <w:sz w:val="21"/>
                <w:szCs w:val="21"/>
                <w:highlight w:val="none"/>
              </w:rPr>
            </w:pPr>
            <w:r>
              <w:rPr>
                <w:rFonts w:hint="eastAsia" w:ascii="宋体" w:eastAsia="宋体" w:cs="宋体"/>
                <w:bCs/>
                <w:color w:val="auto"/>
                <w:sz w:val="21"/>
                <w:szCs w:val="21"/>
                <w:highlight w:val="none"/>
              </w:rPr>
              <w:t>①</w:t>
            </w:r>
            <w:r>
              <w:rPr>
                <w:rFonts w:hint="eastAsia" w:ascii="宋体" w:eastAsia="宋体"/>
                <w:bCs/>
                <w:color w:val="auto"/>
                <w:sz w:val="21"/>
                <w:szCs w:val="21"/>
                <w:highlight w:val="none"/>
              </w:rPr>
              <w:t>质量目标清晰明确，质量控制措施合理可行，质量保证体系系统科学、保证措施严谨规范，质量保障管理及制度科学合理具体，施工质量保证方案各项内容均具备</w:t>
            </w:r>
            <w:r>
              <w:rPr>
                <w:rFonts w:hint="eastAsia" w:ascii="宋体" w:eastAsia="宋体"/>
                <w:color w:val="auto"/>
                <w:sz w:val="21"/>
                <w:szCs w:val="21"/>
                <w:highlight w:val="none"/>
              </w:rPr>
              <w:t>，并能根据项目性质或采购需求提出合理可行的建议的，得10分；</w:t>
            </w:r>
          </w:p>
          <w:p>
            <w:pPr>
              <w:pStyle w:val="49"/>
              <w:spacing w:line="440" w:lineRule="exact"/>
              <w:ind w:firstLine="0" w:firstLineChars="0"/>
              <w:jc w:val="left"/>
              <w:rPr>
                <w:rFonts w:ascii="宋体" w:eastAsia="宋体"/>
                <w:color w:val="auto"/>
                <w:sz w:val="21"/>
                <w:szCs w:val="21"/>
                <w:highlight w:val="none"/>
              </w:rPr>
            </w:pPr>
            <w:r>
              <w:rPr>
                <w:rFonts w:hint="eastAsia" w:ascii="宋体" w:eastAsia="宋体" w:cs="宋体"/>
                <w:bCs/>
                <w:color w:val="auto"/>
                <w:sz w:val="21"/>
                <w:szCs w:val="21"/>
                <w:highlight w:val="none"/>
              </w:rPr>
              <w:t>②</w:t>
            </w:r>
            <w:r>
              <w:rPr>
                <w:rFonts w:hint="eastAsia" w:ascii="宋体" w:eastAsia="宋体"/>
                <w:bCs/>
                <w:color w:val="auto"/>
                <w:sz w:val="21"/>
                <w:szCs w:val="21"/>
                <w:highlight w:val="none"/>
              </w:rPr>
              <w:t>质量目标明确，质量控制措施合理可行，质量保证体系及保证措施规范，质量保障管理及制度科学合理，施工质量保证方案各项内容均具备</w:t>
            </w:r>
            <w:r>
              <w:rPr>
                <w:rFonts w:hint="eastAsia" w:ascii="宋体" w:eastAsia="宋体"/>
                <w:color w:val="auto"/>
                <w:sz w:val="21"/>
                <w:szCs w:val="21"/>
                <w:highlight w:val="none"/>
              </w:rPr>
              <w:t>的，得</w:t>
            </w:r>
            <w:r>
              <w:rPr>
                <w:rFonts w:ascii="宋体" w:eastAsia="宋体"/>
                <w:color w:val="auto"/>
                <w:sz w:val="21"/>
                <w:szCs w:val="21"/>
                <w:highlight w:val="none"/>
              </w:rPr>
              <w:t>7</w:t>
            </w:r>
            <w:r>
              <w:rPr>
                <w:rFonts w:hint="eastAsia" w:ascii="宋体" w:eastAsia="宋体"/>
                <w:color w:val="auto"/>
                <w:sz w:val="21"/>
                <w:szCs w:val="21"/>
                <w:highlight w:val="none"/>
              </w:rPr>
              <w:t>分；</w:t>
            </w:r>
          </w:p>
          <w:p>
            <w:pPr>
              <w:pStyle w:val="49"/>
              <w:spacing w:line="440" w:lineRule="exact"/>
              <w:ind w:firstLine="0" w:firstLineChars="0"/>
              <w:jc w:val="left"/>
              <w:rPr>
                <w:rFonts w:ascii="宋体" w:eastAsia="宋体"/>
                <w:color w:val="auto"/>
                <w:sz w:val="21"/>
                <w:szCs w:val="21"/>
                <w:highlight w:val="none"/>
              </w:rPr>
            </w:pPr>
            <w:r>
              <w:rPr>
                <w:rFonts w:hint="eastAsia" w:ascii="宋体" w:eastAsia="宋体" w:cs="宋体"/>
                <w:bCs/>
                <w:color w:val="auto"/>
                <w:sz w:val="21"/>
                <w:szCs w:val="21"/>
                <w:highlight w:val="none"/>
              </w:rPr>
              <w:t>③</w:t>
            </w:r>
            <w:r>
              <w:rPr>
                <w:rFonts w:hint="eastAsia" w:ascii="宋体" w:eastAsia="宋体"/>
                <w:bCs/>
                <w:color w:val="auto"/>
                <w:sz w:val="21"/>
                <w:szCs w:val="21"/>
                <w:highlight w:val="none"/>
              </w:rPr>
              <w:t>质量目标明确，但质量控制措施、质量保证体系及保证措施、质量保障管理及制度方案不合理不可行，施工质量保证方案部分内容有缺漏</w:t>
            </w:r>
            <w:r>
              <w:rPr>
                <w:rFonts w:hint="eastAsia" w:ascii="宋体" w:eastAsia="宋体"/>
                <w:color w:val="auto"/>
                <w:sz w:val="21"/>
                <w:szCs w:val="21"/>
                <w:highlight w:val="none"/>
              </w:rPr>
              <w:t>的，得</w:t>
            </w:r>
            <w:r>
              <w:rPr>
                <w:rFonts w:ascii="宋体" w:eastAsia="宋体"/>
                <w:color w:val="auto"/>
                <w:sz w:val="21"/>
                <w:szCs w:val="21"/>
                <w:highlight w:val="none"/>
              </w:rPr>
              <w:t>4</w:t>
            </w:r>
            <w:r>
              <w:rPr>
                <w:rFonts w:hint="eastAsia" w:ascii="宋体" w:eastAsia="宋体"/>
                <w:color w:val="auto"/>
                <w:sz w:val="21"/>
                <w:szCs w:val="21"/>
                <w:highlight w:val="none"/>
              </w:rPr>
              <w:t>分；</w:t>
            </w:r>
          </w:p>
          <w:p>
            <w:pPr>
              <w:pStyle w:val="49"/>
              <w:spacing w:line="440" w:lineRule="exact"/>
              <w:ind w:firstLine="0" w:firstLineChars="0"/>
              <w:jc w:val="left"/>
              <w:rPr>
                <w:rFonts w:ascii="宋体" w:eastAsia="宋体"/>
                <w:color w:val="auto"/>
                <w:sz w:val="21"/>
                <w:szCs w:val="21"/>
                <w:highlight w:val="none"/>
              </w:rPr>
            </w:pPr>
            <w:r>
              <w:rPr>
                <w:rFonts w:hint="eastAsia" w:ascii="宋体" w:eastAsia="宋体" w:cs="宋体"/>
                <w:color w:val="auto"/>
                <w:sz w:val="21"/>
                <w:szCs w:val="21"/>
                <w:highlight w:val="none"/>
              </w:rPr>
              <w:t>④</w:t>
            </w:r>
            <w:r>
              <w:rPr>
                <w:rFonts w:hint="eastAsia" w:ascii="宋体" w:eastAsia="宋体"/>
                <w:color w:val="auto"/>
                <w:sz w:val="21"/>
                <w:szCs w:val="21"/>
                <w:highlight w:val="none"/>
              </w:rPr>
              <w:t>质量目标不明确，</w:t>
            </w:r>
            <w:r>
              <w:rPr>
                <w:rFonts w:hint="eastAsia" w:ascii="宋体" w:eastAsia="宋体"/>
                <w:bCs/>
                <w:color w:val="auto"/>
                <w:sz w:val="21"/>
                <w:szCs w:val="21"/>
                <w:highlight w:val="none"/>
              </w:rPr>
              <w:t>质量控制措施、质量保证体系及保证措施、质量保障管理及制度方案不合理不可行，施工质量保证方案内容不完整的</w:t>
            </w:r>
            <w:r>
              <w:rPr>
                <w:rFonts w:hint="eastAsia" w:ascii="宋体" w:eastAsia="宋体"/>
                <w:color w:val="auto"/>
                <w:sz w:val="21"/>
                <w:szCs w:val="21"/>
                <w:highlight w:val="none"/>
              </w:rPr>
              <w:t>，得</w:t>
            </w:r>
            <w:r>
              <w:rPr>
                <w:rFonts w:ascii="宋体" w:eastAsia="宋体"/>
                <w:color w:val="auto"/>
                <w:sz w:val="21"/>
                <w:szCs w:val="21"/>
                <w:highlight w:val="none"/>
              </w:rPr>
              <w:t>1</w:t>
            </w:r>
            <w:r>
              <w:rPr>
                <w:rFonts w:hint="eastAsia" w:ascii="宋体" w:eastAsia="宋体"/>
                <w:color w:val="auto"/>
                <w:sz w:val="21"/>
                <w:szCs w:val="21"/>
                <w:highlight w:val="none"/>
              </w:rPr>
              <w:t>分；</w:t>
            </w:r>
          </w:p>
          <w:p>
            <w:pPr>
              <w:spacing w:line="400" w:lineRule="exact"/>
              <w:rPr>
                <w:rFonts w:ascii="宋体" w:hAnsi="宋体"/>
                <w:color w:val="auto"/>
                <w:szCs w:val="21"/>
                <w:highlight w:val="none"/>
              </w:rPr>
            </w:pPr>
            <w:r>
              <w:rPr>
                <w:rFonts w:hint="eastAsia" w:ascii="宋体" w:hAnsi="宋体" w:cs="宋体"/>
                <w:bCs/>
                <w:color w:val="auto"/>
                <w:szCs w:val="21"/>
                <w:highlight w:val="none"/>
              </w:rPr>
              <w:t>⑤</w:t>
            </w:r>
            <w:r>
              <w:rPr>
                <w:rFonts w:hint="eastAsia" w:ascii="宋体" w:hAnsi="宋体"/>
                <w:bCs/>
                <w:color w:val="auto"/>
                <w:szCs w:val="21"/>
                <w:highlight w:val="none"/>
              </w:rPr>
              <w:t>没有提供本项方案的不得分。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79" w:type="pct"/>
            <w:vAlign w:val="center"/>
          </w:tcPr>
          <w:p>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822" w:type="pct"/>
            <w:vAlign w:val="center"/>
          </w:tcPr>
          <w:p>
            <w:pPr>
              <w:spacing w:line="400" w:lineRule="exact"/>
              <w:jc w:val="center"/>
              <w:rPr>
                <w:rFonts w:ascii="宋体" w:hAnsi="宋体"/>
                <w:bCs/>
                <w:color w:val="auto"/>
                <w:szCs w:val="21"/>
                <w:highlight w:val="none"/>
              </w:rPr>
            </w:pPr>
            <w:r>
              <w:rPr>
                <w:rFonts w:hint="eastAsia" w:ascii="宋体" w:hAnsi="宋体"/>
                <w:bCs/>
                <w:color w:val="auto"/>
                <w:szCs w:val="21"/>
                <w:highlight w:val="none"/>
              </w:rPr>
              <w:t>施工进度计划和各阶段进度的保证措施</w:t>
            </w:r>
          </w:p>
        </w:tc>
        <w:tc>
          <w:tcPr>
            <w:tcW w:w="538" w:type="pct"/>
            <w:gridSpan w:val="2"/>
            <w:vAlign w:val="center"/>
          </w:tcPr>
          <w:p>
            <w:pPr>
              <w:widowControl/>
              <w:spacing w:line="400" w:lineRule="exact"/>
              <w:jc w:val="center"/>
              <w:rPr>
                <w:rFonts w:ascii="宋体" w:hAnsi="宋体"/>
                <w:color w:val="auto"/>
                <w:szCs w:val="21"/>
                <w:highlight w:val="none"/>
              </w:rPr>
            </w:pPr>
            <w:r>
              <w:rPr>
                <w:rFonts w:hint="eastAsia" w:ascii="宋体" w:hAnsi="宋体"/>
                <w:color w:val="auto"/>
                <w:szCs w:val="21"/>
                <w:highlight w:val="none"/>
              </w:rPr>
              <w:t>10分</w:t>
            </w:r>
          </w:p>
        </w:tc>
        <w:tc>
          <w:tcPr>
            <w:tcW w:w="3161" w:type="pct"/>
            <w:vAlign w:val="center"/>
          </w:tcPr>
          <w:p>
            <w:pPr>
              <w:spacing w:before="31" w:beforeLines="10" w:after="30" w:line="440" w:lineRule="exact"/>
              <w:rPr>
                <w:rFonts w:ascii="宋体" w:hAnsi="宋体"/>
                <w:color w:val="auto"/>
                <w:szCs w:val="21"/>
                <w:highlight w:val="none"/>
              </w:rPr>
            </w:pPr>
            <w:r>
              <w:rPr>
                <w:rFonts w:hint="eastAsia" w:ascii="宋体" w:hAnsi="宋体"/>
                <w:color w:val="auto"/>
                <w:szCs w:val="21"/>
                <w:highlight w:val="none"/>
              </w:rPr>
              <w:t>根据投标人提供的施工进度计划和各阶段进度的保证措施进行评审：</w:t>
            </w:r>
          </w:p>
          <w:p>
            <w:pPr>
              <w:spacing w:before="31" w:beforeLines="10" w:after="30" w:line="440" w:lineRule="exact"/>
              <w:rPr>
                <w:rFonts w:ascii="宋体" w:hAnsi="宋体"/>
                <w:color w:val="auto"/>
                <w:szCs w:val="21"/>
                <w:highlight w:val="none"/>
              </w:rPr>
            </w:pPr>
            <w:r>
              <w:rPr>
                <w:rFonts w:hint="eastAsia" w:ascii="宋体" w:hAnsi="宋体" w:cs="宋体"/>
                <w:color w:val="auto"/>
                <w:szCs w:val="21"/>
                <w:highlight w:val="none"/>
              </w:rPr>
              <w:t>①</w:t>
            </w:r>
            <w:r>
              <w:rPr>
                <w:rFonts w:hint="eastAsia" w:ascii="宋体" w:hAnsi="宋体"/>
                <w:color w:val="auto"/>
                <w:szCs w:val="21"/>
                <w:highlight w:val="none"/>
              </w:rPr>
              <w:t>工期规划合理、具体，施工进度安排严谨、规范，各阶段进度的保证措施可行性、科学性高，能全面高效地保证本项目顺利竣工的，施工进度计划和各阶段进度的保证措施方案</w:t>
            </w:r>
            <w:r>
              <w:rPr>
                <w:rFonts w:hint="eastAsia" w:ascii="宋体" w:hAnsi="宋体"/>
                <w:bCs/>
                <w:color w:val="auto"/>
                <w:szCs w:val="21"/>
                <w:highlight w:val="none"/>
              </w:rPr>
              <w:t>各项内容均具备</w:t>
            </w:r>
            <w:r>
              <w:rPr>
                <w:rFonts w:hint="eastAsia" w:ascii="宋体" w:hAnsi="宋体"/>
                <w:color w:val="auto"/>
                <w:szCs w:val="21"/>
                <w:highlight w:val="none"/>
              </w:rPr>
              <w:t>，并能根据项目性质或采购需求提出合理可行的建议的，得</w:t>
            </w:r>
            <w:r>
              <w:rPr>
                <w:rFonts w:ascii="宋体" w:hAnsi="宋体"/>
                <w:color w:val="auto"/>
                <w:szCs w:val="21"/>
                <w:highlight w:val="none"/>
              </w:rPr>
              <w:t>10</w:t>
            </w:r>
            <w:r>
              <w:rPr>
                <w:rFonts w:hint="eastAsia" w:ascii="宋体" w:hAnsi="宋体"/>
                <w:color w:val="auto"/>
                <w:szCs w:val="21"/>
                <w:highlight w:val="none"/>
              </w:rPr>
              <w:t>分；</w:t>
            </w:r>
          </w:p>
          <w:p>
            <w:pPr>
              <w:spacing w:before="31" w:beforeLines="10" w:after="30" w:line="440" w:lineRule="exact"/>
              <w:rPr>
                <w:rFonts w:ascii="宋体" w:hAnsi="宋体"/>
                <w:color w:val="auto"/>
                <w:szCs w:val="21"/>
                <w:highlight w:val="none"/>
              </w:rPr>
            </w:pPr>
            <w:r>
              <w:rPr>
                <w:rFonts w:hint="eastAsia" w:ascii="宋体" w:hAnsi="宋体" w:cs="宋体"/>
                <w:color w:val="auto"/>
                <w:szCs w:val="21"/>
                <w:highlight w:val="none"/>
              </w:rPr>
              <w:t>②</w:t>
            </w:r>
            <w:r>
              <w:rPr>
                <w:rFonts w:hint="eastAsia" w:ascii="宋体" w:hAnsi="宋体"/>
                <w:color w:val="auto"/>
                <w:szCs w:val="21"/>
                <w:highlight w:val="none"/>
              </w:rPr>
              <w:t>工期规划合理，施工进度安排规范，各阶段进度的保证措施可行性高，能保证本项目顺利竣工的，施工进度计划和各阶段进度的保证措施方案</w:t>
            </w:r>
            <w:r>
              <w:rPr>
                <w:rFonts w:hint="eastAsia" w:ascii="宋体" w:hAnsi="宋体"/>
                <w:bCs/>
                <w:color w:val="auto"/>
                <w:szCs w:val="21"/>
                <w:highlight w:val="none"/>
              </w:rPr>
              <w:t>各项内容均具备的</w:t>
            </w:r>
            <w:r>
              <w:rPr>
                <w:rFonts w:hint="eastAsia" w:ascii="宋体" w:hAnsi="宋体"/>
                <w:color w:val="auto"/>
                <w:szCs w:val="21"/>
                <w:highlight w:val="none"/>
              </w:rPr>
              <w:t>，得</w:t>
            </w:r>
            <w:r>
              <w:rPr>
                <w:rFonts w:ascii="宋体" w:hAnsi="宋体"/>
                <w:color w:val="auto"/>
                <w:szCs w:val="21"/>
                <w:highlight w:val="none"/>
              </w:rPr>
              <w:t>7</w:t>
            </w:r>
            <w:r>
              <w:rPr>
                <w:rFonts w:hint="eastAsia" w:ascii="宋体" w:hAnsi="宋体"/>
                <w:color w:val="auto"/>
                <w:szCs w:val="21"/>
                <w:highlight w:val="none"/>
              </w:rPr>
              <w:t>分；</w:t>
            </w:r>
          </w:p>
          <w:p>
            <w:pPr>
              <w:spacing w:before="31" w:beforeLines="10" w:after="30" w:line="440" w:lineRule="exact"/>
              <w:rPr>
                <w:rFonts w:ascii="宋体" w:hAnsi="宋体"/>
                <w:color w:val="auto"/>
                <w:szCs w:val="21"/>
                <w:highlight w:val="none"/>
              </w:rPr>
            </w:pPr>
            <w:r>
              <w:rPr>
                <w:rFonts w:hint="eastAsia" w:ascii="宋体" w:hAnsi="宋体" w:cs="宋体"/>
                <w:color w:val="auto"/>
                <w:szCs w:val="21"/>
                <w:highlight w:val="none"/>
              </w:rPr>
              <w:t>③</w:t>
            </w:r>
            <w:r>
              <w:rPr>
                <w:rFonts w:hint="eastAsia" w:ascii="宋体" w:hAnsi="宋体"/>
                <w:color w:val="auto"/>
                <w:szCs w:val="21"/>
                <w:highlight w:val="none"/>
              </w:rPr>
              <w:t>工期规划合理，施工进度安排规范，各阶段进度的保证措施可行性高，但不能保证本项目顺利竣工的，施工进度计划和各阶段进度的保证措施方案部分</w:t>
            </w:r>
            <w:r>
              <w:rPr>
                <w:rFonts w:hint="eastAsia" w:ascii="宋体" w:hAnsi="宋体"/>
                <w:bCs/>
                <w:color w:val="auto"/>
                <w:szCs w:val="21"/>
                <w:highlight w:val="none"/>
              </w:rPr>
              <w:t>内容有缺漏的</w:t>
            </w:r>
            <w:r>
              <w:rPr>
                <w:rFonts w:hint="eastAsia" w:ascii="宋体" w:hAnsi="宋体"/>
                <w:color w:val="auto"/>
                <w:szCs w:val="21"/>
                <w:highlight w:val="none"/>
              </w:rPr>
              <w:t>，得</w:t>
            </w:r>
            <w:r>
              <w:rPr>
                <w:rFonts w:ascii="宋体" w:hAnsi="宋体"/>
                <w:color w:val="auto"/>
                <w:szCs w:val="21"/>
                <w:highlight w:val="none"/>
              </w:rPr>
              <w:t>4</w:t>
            </w:r>
            <w:r>
              <w:rPr>
                <w:rFonts w:hint="eastAsia" w:ascii="宋体" w:hAnsi="宋体"/>
                <w:color w:val="auto"/>
                <w:szCs w:val="21"/>
                <w:highlight w:val="none"/>
              </w:rPr>
              <w:t>分；</w:t>
            </w:r>
          </w:p>
          <w:p>
            <w:pPr>
              <w:spacing w:before="31" w:beforeLines="10" w:after="30" w:line="440" w:lineRule="exact"/>
              <w:rPr>
                <w:rFonts w:ascii="宋体" w:hAnsi="宋体"/>
                <w:color w:val="auto"/>
                <w:szCs w:val="21"/>
                <w:highlight w:val="none"/>
              </w:rPr>
            </w:pPr>
            <w:r>
              <w:rPr>
                <w:rFonts w:hint="eastAsia" w:ascii="宋体" w:hAnsi="宋体" w:cs="宋体"/>
                <w:color w:val="auto"/>
                <w:szCs w:val="21"/>
                <w:highlight w:val="none"/>
              </w:rPr>
              <w:t>④</w:t>
            </w:r>
            <w:r>
              <w:rPr>
                <w:rFonts w:hint="eastAsia" w:ascii="宋体" w:hAnsi="宋体"/>
                <w:color w:val="auto"/>
                <w:szCs w:val="21"/>
                <w:highlight w:val="none"/>
              </w:rPr>
              <w:t>工期规划不合理，施工进度安排不规范，各阶段进度的保证措施不可行，不能保证本项目顺利竣工的，施工进度计划和各阶段进度的保证措施方案</w:t>
            </w:r>
            <w:r>
              <w:rPr>
                <w:rFonts w:hint="eastAsia" w:ascii="宋体" w:hAnsi="宋体"/>
                <w:bCs/>
                <w:color w:val="auto"/>
                <w:szCs w:val="21"/>
                <w:highlight w:val="none"/>
              </w:rPr>
              <w:t>内容不完整的</w:t>
            </w:r>
            <w:r>
              <w:rPr>
                <w:rFonts w:hint="eastAsia" w:ascii="宋体" w:hAnsi="宋体"/>
                <w:color w:val="auto"/>
                <w:szCs w:val="21"/>
                <w:highlight w:val="none"/>
              </w:rPr>
              <w:t>，得</w:t>
            </w:r>
            <w:r>
              <w:rPr>
                <w:rFonts w:ascii="宋体" w:hAnsi="宋体"/>
                <w:color w:val="auto"/>
                <w:szCs w:val="21"/>
                <w:highlight w:val="none"/>
              </w:rPr>
              <w:t>1</w:t>
            </w:r>
            <w:r>
              <w:rPr>
                <w:rFonts w:hint="eastAsia" w:ascii="宋体" w:hAnsi="宋体"/>
                <w:color w:val="auto"/>
                <w:szCs w:val="21"/>
                <w:highlight w:val="none"/>
              </w:rPr>
              <w:t>分；</w:t>
            </w:r>
          </w:p>
          <w:p>
            <w:pPr>
              <w:spacing w:line="400" w:lineRule="exact"/>
              <w:rPr>
                <w:rFonts w:ascii="宋体" w:hAnsi="宋体"/>
                <w:color w:val="auto"/>
                <w:szCs w:val="21"/>
                <w:highlight w:val="none"/>
              </w:rPr>
            </w:pPr>
            <w:r>
              <w:rPr>
                <w:rFonts w:hint="eastAsia" w:ascii="宋体" w:hAnsi="宋体" w:cs="宋体"/>
                <w:bCs/>
                <w:color w:val="auto"/>
                <w:szCs w:val="21"/>
                <w:highlight w:val="none"/>
              </w:rPr>
              <w:t>⑤</w:t>
            </w:r>
            <w:r>
              <w:rPr>
                <w:rFonts w:hint="eastAsia" w:ascii="宋体" w:hAnsi="宋体"/>
                <w:bCs/>
                <w:color w:val="auto"/>
                <w:szCs w:val="21"/>
                <w:highlight w:val="none"/>
              </w:rPr>
              <w:t>没有提供本项方案的不得分。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79" w:type="pct"/>
            <w:vAlign w:val="center"/>
          </w:tcPr>
          <w:p>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822" w:type="pct"/>
            <w:vAlign w:val="center"/>
          </w:tcPr>
          <w:p>
            <w:pPr>
              <w:spacing w:line="400" w:lineRule="exact"/>
              <w:jc w:val="center"/>
              <w:rPr>
                <w:rFonts w:ascii="宋体" w:hAnsi="宋体"/>
                <w:bCs/>
                <w:color w:val="auto"/>
                <w:szCs w:val="21"/>
                <w:highlight w:val="none"/>
              </w:rPr>
            </w:pPr>
            <w:r>
              <w:rPr>
                <w:rFonts w:hint="eastAsia" w:ascii="宋体" w:hAnsi="宋体"/>
                <w:bCs/>
                <w:color w:val="auto"/>
                <w:szCs w:val="21"/>
                <w:highlight w:val="none"/>
              </w:rPr>
              <w:t>售后服务方案</w:t>
            </w:r>
          </w:p>
        </w:tc>
        <w:tc>
          <w:tcPr>
            <w:tcW w:w="538" w:type="pct"/>
            <w:gridSpan w:val="2"/>
            <w:vAlign w:val="center"/>
          </w:tcPr>
          <w:p>
            <w:pPr>
              <w:widowControl/>
              <w:spacing w:line="400" w:lineRule="exact"/>
              <w:jc w:val="center"/>
              <w:rPr>
                <w:rFonts w:ascii="宋体" w:hAnsi="宋体"/>
                <w:color w:val="auto"/>
                <w:szCs w:val="21"/>
                <w:highlight w:val="none"/>
              </w:rPr>
            </w:pPr>
            <w:r>
              <w:rPr>
                <w:rFonts w:hint="eastAsia" w:ascii="宋体" w:hAnsi="宋体"/>
                <w:color w:val="auto"/>
                <w:szCs w:val="21"/>
                <w:highlight w:val="none"/>
              </w:rPr>
              <w:t>10分</w:t>
            </w:r>
          </w:p>
        </w:tc>
        <w:tc>
          <w:tcPr>
            <w:tcW w:w="3161" w:type="pct"/>
            <w:vAlign w:val="center"/>
          </w:tcPr>
          <w:p>
            <w:pPr>
              <w:spacing w:before="31" w:beforeLines="10" w:after="30" w:line="440" w:lineRule="exact"/>
              <w:rPr>
                <w:rFonts w:ascii="宋体" w:hAnsi="宋体"/>
                <w:color w:val="auto"/>
                <w:szCs w:val="21"/>
                <w:highlight w:val="none"/>
              </w:rPr>
            </w:pPr>
            <w:r>
              <w:rPr>
                <w:rFonts w:hint="eastAsia" w:ascii="宋体" w:hAnsi="宋体"/>
                <w:color w:val="auto"/>
                <w:szCs w:val="21"/>
                <w:highlight w:val="none"/>
              </w:rPr>
              <w:t>根据投标人所提供售后服务方案（包括但不限于售后服务承诺、售后服务计划、售后保障措施、售后服务人员配置等）进行评审：</w:t>
            </w:r>
          </w:p>
          <w:p>
            <w:pPr>
              <w:spacing w:before="31" w:beforeLines="10" w:after="30" w:line="440" w:lineRule="exact"/>
              <w:rPr>
                <w:rFonts w:ascii="宋体" w:hAnsi="宋体"/>
                <w:color w:val="auto"/>
                <w:szCs w:val="21"/>
                <w:highlight w:val="none"/>
              </w:rPr>
            </w:pPr>
            <w:r>
              <w:rPr>
                <w:rFonts w:hint="eastAsia" w:ascii="宋体" w:hAnsi="宋体" w:cs="宋体"/>
                <w:color w:val="auto"/>
                <w:szCs w:val="21"/>
                <w:highlight w:val="none"/>
              </w:rPr>
              <w:t>①</w:t>
            </w:r>
            <w:r>
              <w:rPr>
                <w:rFonts w:hint="eastAsia" w:ascii="宋体" w:hAnsi="宋体"/>
                <w:color w:val="auto"/>
                <w:szCs w:val="21"/>
                <w:highlight w:val="none"/>
              </w:rPr>
              <w:t>售后服务承诺明确、合理，售后服务计划清晰明确、详细具体，售后服务人员组织架构完善、专业技术力量投入充足、技术人员组织安排及跟进处理流程详细具体合理，售后服务方案各项内容均具备，并能根据项目性质或采购需求提出合理可行的建议的，得1</w:t>
            </w:r>
            <w:r>
              <w:rPr>
                <w:rFonts w:ascii="宋体" w:hAnsi="宋体"/>
                <w:color w:val="auto"/>
                <w:szCs w:val="21"/>
                <w:highlight w:val="none"/>
              </w:rPr>
              <w:t>0</w:t>
            </w:r>
            <w:r>
              <w:rPr>
                <w:rFonts w:hint="eastAsia" w:ascii="宋体" w:hAnsi="宋体"/>
                <w:color w:val="auto"/>
                <w:szCs w:val="21"/>
                <w:highlight w:val="none"/>
              </w:rPr>
              <w:t>分；</w:t>
            </w:r>
          </w:p>
          <w:p>
            <w:pPr>
              <w:spacing w:before="31" w:beforeLines="10" w:after="30" w:line="440" w:lineRule="exact"/>
              <w:rPr>
                <w:rFonts w:ascii="宋体" w:hAnsi="宋体"/>
                <w:color w:val="auto"/>
                <w:szCs w:val="21"/>
                <w:highlight w:val="none"/>
              </w:rPr>
            </w:pPr>
            <w:r>
              <w:rPr>
                <w:rFonts w:hint="eastAsia" w:ascii="宋体" w:hAnsi="宋体" w:cs="宋体"/>
                <w:color w:val="auto"/>
                <w:szCs w:val="21"/>
                <w:highlight w:val="none"/>
              </w:rPr>
              <w:t>②</w:t>
            </w:r>
            <w:r>
              <w:rPr>
                <w:rFonts w:hint="eastAsia" w:ascii="宋体" w:hAnsi="宋体"/>
                <w:color w:val="auto"/>
                <w:szCs w:val="21"/>
                <w:highlight w:val="none"/>
              </w:rPr>
              <w:t>售后服务承诺合理，售后服务计划明确具体，售后服务人员组织架构完善、专业技术力量投入充足、技术人员组织安排及跟进处理流程合理，售后服务方案各项内容均具备的，得</w:t>
            </w:r>
            <w:r>
              <w:rPr>
                <w:rFonts w:ascii="宋体" w:hAnsi="宋体"/>
                <w:color w:val="auto"/>
                <w:szCs w:val="21"/>
                <w:highlight w:val="none"/>
              </w:rPr>
              <w:t>7</w:t>
            </w:r>
            <w:r>
              <w:rPr>
                <w:rFonts w:hint="eastAsia" w:ascii="宋体" w:hAnsi="宋体"/>
                <w:color w:val="auto"/>
                <w:szCs w:val="21"/>
                <w:highlight w:val="none"/>
              </w:rPr>
              <w:t>分；</w:t>
            </w:r>
          </w:p>
          <w:p>
            <w:pPr>
              <w:spacing w:before="31" w:beforeLines="10" w:after="30" w:line="440" w:lineRule="exact"/>
              <w:rPr>
                <w:rFonts w:ascii="宋体" w:hAnsi="宋体"/>
                <w:color w:val="auto"/>
                <w:szCs w:val="21"/>
                <w:highlight w:val="none"/>
              </w:rPr>
            </w:pPr>
            <w:r>
              <w:rPr>
                <w:rFonts w:hint="eastAsia" w:ascii="宋体" w:hAnsi="宋体" w:cs="宋体"/>
                <w:color w:val="auto"/>
                <w:szCs w:val="21"/>
                <w:highlight w:val="none"/>
              </w:rPr>
              <w:t>③</w:t>
            </w:r>
            <w:r>
              <w:rPr>
                <w:rFonts w:hint="eastAsia" w:ascii="宋体" w:hAnsi="宋体"/>
                <w:color w:val="auto"/>
                <w:szCs w:val="21"/>
                <w:highlight w:val="none"/>
              </w:rPr>
              <w:t>售后服务承诺合理，售后服务计划明确，但售后服务人员组织架构不完善、专业技术力量投入欠缺、技术人员组织安排及跟进处理流程不合理，售后服务方案部分内容有缺漏的，得</w:t>
            </w:r>
            <w:r>
              <w:rPr>
                <w:rFonts w:ascii="宋体" w:hAnsi="宋体"/>
                <w:color w:val="auto"/>
                <w:szCs w:val="21"/>
                <w:highlight w:val="none"/>
              </w:rPr>
              <w:t>4</w:t>
            </w:r>
            <w:r>
              <w:rPr>
                <w:rFonts w:hint="eastAsia" w:ascii="宋体" w:hAnsi="宋体"/>
                <w:color w:val="auto"/>
                <w:szCs w:val="21"/>
                <w:highlight w:val="none"/>
              </w:rPr>
              <w:t>分；</w:t>
            </w:r>
          </w:p>
          <w:p>
            <w:pPr>
              <w:spacing w:before="31" w:beforeLines="10" w:after="30" w:line="440" w:lineRule="exact"/>
              <w:rPr>
                <w:rFonts w:ascii="宋体" w:hAnsi="宋体"/>
                <w:color w:val="auto"/>
                <w:szCs w:val="21"/>
                <w:highlight w:val="none"/>
              </w:rPr>
            </w:pPr>
            <w:r>
              <w:rPr>
                <w:rFonts w:hint="eastAsia" w:ascii="宋体" w:hAnsi="宋体" w:cs="宋体"/>
                <w:color w:val="auto"/>
                <w:szCs w:val="21"/>
                <w:highlight w:val="none"/>
              </w:rPr>
              <w:t>④</w:t>
            </w:r>
            <w:r>
              <w:rPr>
                <w:rFonts w:hint="eastAsia" w:ascii="宋体" w:hAnsi="宋体"/>
                <w:color w:val="auto"/>
                <w:szCs w:val="21"/>
                <w:highlight w:val="none"/>
              </w:rPr>
              <w:t>售后服务承诺不合理，售后服务计划不明确，售后服务人员组织架构不完善、专业技术力量投入欠缺、技术人员组织安排及跟进处理流程不合理，售后服务方案内容不完整的，得</w:t>
            </w:r>
            <w:r>
              <w:rPr>
                <w:rFonts w:ascii="宋体" w:hAnsi="宋体"/>
                <w:color w:val="auto"/>
                <w:szCs w:val="21"/>
                <w:highlight w:val="none"/>
              </w:rPr>
              <w:t>1</w:t>
            </w:r>
            <w:r>
              <w:rPr>
                <w:rFonts w:hint="eastAsia" w:ascii="宋体" w:hAnsi="宋体"/>
                <w:color w:val="auto"/>
                <w:szCs w:val="21"/>
                <w:highlight w:val="none"/>
              </w:rPr>
              <w:t>分；</w:t>
            </w:r>
          </w:p>
          <w:p>
            <w:pPr>
              <w:spacing w:line="400" w:lineRule="exact"/>
              <w:rPr>
                <w:rFonts w:ascii="宋体" w:hAnsi="宋体"/>
                <w:color w:val="auto"/>
                <w:szCs w:val="21"/>
                <w:highlight w:val="none"/>
              </w:rPr>
            </w:pPr>
            <w:r>
              <w:rPr>
                <w:rFonts w:hint="eastAsia" w:ascii="宋体" w:hAnsi="宋体" w:cs="宋体"/>
                <w:bCs/>
                <w:color w:val="auto"/>
                <w:szCs w:val="21"/>
                <w:highlight w:val="none"/>
              </w:rPr>
              <w:t>⑤</w:t>
            </w:r>
            <w:r>
              <w:rPr>
                <w:rFonts w:hint="eastAsia" w:ascii="宋体" w:hAnsi="宋体"/>
                <w:bCs/>
                <w:color w:val="auto"/>
                <w:szCs w:val="21"/>
                <w:highlight w:val="none"/>
              </w:rPr>
              <w:t>没有提供本项方案的不得分。</w:t>
            </w:r>
          </w:p>
        </w:tc>
      </w:tr>
      <w:bookmarkEnd w:id="36"/>
    </w:tbl>
    <w:p>
      <w:pPr>
        <w:spacing w:line="400" w:lineRule="exact"/>
        <w:jc w:val="center"/>
        <w:rPr>
          <w:rFonts w:hint="default"/>
          <w:b/>
          <w:color w:val="auto"/>
          <w:sz w:val="24"/>
          <w:highlight w:val="none"/>
        </w:rPr>
      </w:pPr>
    </w:p>
    <w:p>
      <w:pPr>
        <w:pStyle w:val="74"/>
        <w:numPr>
          <w:ilvl w:val="0"/>
          <w:numId w:val="68"/>
        </w:numPr>
        <w:snapToGrid w:val="0"/>
        <w:spacing w:line="360" w:lineRule="auto"/>
        <w:ind w:left="284" w:hanging="284"/>
        <w:contextualSpacing/>
        <w:outlineLvl w:val="3"/>
        <w:rPr>
          <w:rFonts w:hint="default"/>
          <w:color w:val="auto"/>
          <w:highlight w:val="none"/>
        </w:rPr>
      </w:pPr>
      <w:r>
        <w:rPr>
          <w:rFonts w:ascii="宋体" w:hAnsi="宋体" w:eastAsia="宋体"/>
          <w:b/>
          <w:color w:val="auto"/>
          <w:sz w:val="21"/>
          <w:szCs w:val="21"/>
          <w:highlight w:val="none"/>
        </w:rPr>
        <w:t>汇总、排序</w:t>
      </w:r>
    </w:p>
    <w:p>
      <w:pPr>
        <w:pStyle w:val="74"/>
        <w:snapToGrid w:val="0"/>
        <w:spacing w:after="156" w:afterLines="50" w:line="360" w:lineRule="auto"/>
        <w:ind w:firstLine="420" w:firstLineChars="200"/>
        <w:contextualSpacing/>
        <w:rPr>
          <w:rFonts w:hint="default" w:ascii="宋体" w:hAnsi="宋体" w:eastAsia="宋体"/>
          <w:color w:val="auto"/>
          <w:sz w:val="24"/>
          <w:szCs w:val="24"/>
          <w:highlight w:val="none"/>
        </w:rPr>
      </w:pPr>
      <w:r>
        <w:rPr>
          <w:rFonts w:ascii="宋体" w:hAnsi="宋体" w:eastAsia="宋体"/>
          <w:color w:val="auto"/>
          <w:sz w:val="21"/>
          <w:szCs w:val="21"/>
          <w:highlight w:val="none"/>
        </w:rPr>
        <w:t>评审结果按评审后总得分由高到低顺序排列。评审得分相同的，按最终报价由低到高顺序排列。得分且最终报价相同的，由磋商小组采取随机抽取的方式确定。排名第一的供应商为第一成交候选人，排名第二的供应商为第二成交候选人。</w:t>
      </w:r>
    </w:p>
    <w:p>
      <w:pPr>
        <w:pStyle w:val="74"/>
        <w:numPr>
          <w:ilvl w:val="0"/>
          <w:numId w:val="68"/>
        </w:numPr>
        <w:snapToGrid w:val="0"/>
        <w:spacing w:line="360" w:lineRule="auto"/>
        <w:ind w:left="284" w:hanging="284"/>
        <w:contextualSpacing/>
        <w:outlineLvl w:val="3"/>
        <w:rPr>
          <w:rFonts w:hint="default"/>
          <w:color w:val="auto"/>
          <w:highlight w:val="none"/>
        </w:rPr>
      </w:pPr>
      <w:r>
        <w:rPr>
          <w:rFonts w:ascii="宋体" w:hAnsi="宋体" w:eastAsia="宋体"/>
          <w:b/>
          <w:color w:val="auto"/>
          <w:sz w:val="21"/>
          <w:szCs w:val="21"/>
          <w:highlight w:val="none"/>
        </w:rPr>
        <w:t>其他无效响应的情形</w:t>
      </w:r>
    </w:p>
    <w:p>
      <w:pPr>
        <w:pStyle w:val="74"/>
        <w:numPr>
          <w:ilvl w:val="0"/>
          <w:numId w:val="73"/>
        </w:numPr>
        <w:spacing w:line="360" w:lineRule="auto"/>
        <w:ind w:left="442" w:hanging="442"/>
        <w:rPr>
          <w:rFonts w:hint="default" w:ascii="宋体" w:hAnsi="宋体" w:eastAsia="宋体"/>
          <w:color w:val="auto"/>
          <w:sz w:val="21"/>
          <w:szCs w:val="21"/>
          <w:highlight w:val="none"/>
        </w:rPr>
      </w:pPr>
      <w:r>
        <w:rPr>
          <w:rFonts w:ascii="宋体" w:hAnsi="宋体" w:eastAsia="宋体"/>
          <w:color w:val="auto"/>
          <w:sz w:val="21"/>
          <w:szCs w:val="21"/>
          <w:highlight w:val="none"/>
        </w:rPr>
        <w:t>评审期间，供应商没有按磋商小组的要求提交法定代表人或其委托代理人签字的澄清、说明、补正或改变了响应文件的实质性内容的。</w:t>
      </w:r>
    </w:p>
    <w:p>
      <w:pPr>
        <w:pStyle w:val="74"/>
        <w:numPr>
          <w:ilvl w:val="0"/>
          <w:numId w:val="73"/>
        </w:numPr>
        <w:spacing w:line="360" w:lineRule="auto"/>
        <w:ind w:left="442" w:hanging="442"/>
        <w:rPr>
          <w:rFonts w:hint="default" w:ascii="宋体" w:hAnsi="宋体" w:eastAsia="宋体"/>
          <w:color w:val="auto"/>
          <w:sz w:val="21"/>
          <w:szCs w:val="21"/>
          <w:highlight w:val="none"/>
        </w:rPr>
      </w:pPr>
      <w:r>
        <w:rPr>
          <w:rFonts w:ascii="宋体" w:hAnsi="宋体" w:eastAsia="宋体"/>
          <w:color w:val="auto"/>
          <w:sz w:val="21"/>
          <w:szCs w:val="21"/>
          <w:highlight w:val="none"/>
        </w:rPr>
        <w:t>响应文件提供虚假材料的。</w:t>
      </w:r>
    </w:p>
    <w:p>
      <w:pPr>
        <w:pStyle w:val="74"/>
        <w:numPr>
          <w:ilvl w:val="0"/>
          <w:numId w:val="73"/>
        </w:numPr>
        <w:spacing w:line="360" w:lineRule="auto"/>
        <w:ind w:left="442" w:hanging="442"/>
        <w:rPr>
          <w:rFonts w:hint="default" w:ascii="宋体" w:hAnsi="宋体" w:eastAsia="宋体"/>
          <w:color w:val="auto"/>
          <w:sz w:val="21"/>
          <w:szCs w:val="21"/>
          <w:highlight w:val="none"/>
        </w:rPr>
      </w:pPr>
      <w:r>
        <w:rPr>
          <w:rFonts w:ascii="宋体" w:hAnsi="宋体" w:eastAsia="宋体"/>
          <w:color w:val="auto"/>
          <w:sz w:val="21"/>
          <w:szCs w:val="21"/>
          <w:highlight w:val="none"/>
        </w:rPr>
        <w:t>供应商以他人名义响应、串通响应、以行贿手段谋取成交或者以其他弄虚作假方式响应的。</w:t>
      </w:r>
    </w:p>
    <w:p>
      <w:pPr>
        <w:pStyle w:val="74"/>
        <w:numPr>
          <w:ilvl w:val="0"/>
          <w:numId w:val="73"/>
        </w:numPr>
        <w:spacing w:line="360" w:lineRule="auto"/>
        <w:ind w:left="442" w:hanging="442"/>
        <w:rPr>
          <w:rFonts w:hint="default" w:ascii="宋体" w:hAnsi="宋体" w:eastAsia="宋体"/>
          <w:color w:val="auto"/>
          <w:sz w:val="21"/>
          <w:szCs w:val="21"/>
          <w:highlight w:val="none"/>
        </w:rPr>
      </w:pPr>
      <w:r>
        <w:rPr>
          <w:rFonts w:ascii="宋体" w:hAnsi="宋体" w:eastAsia="宋体"/>
          <w:color w:val="auto"/>
          <w:sz w:val="21"/>
          <w:szCs w:val="21"/>
          <w:highlight w:val="none"/>
        </w:rPr>
        <w:t>供应商对采购人、采购代理机构、磋商小组及其工作人员施加影响，有碍招标公平、公正的。</w:t>
      </w:r>
    </w:p>
    <w:p>
      <w:pPr>
        <w:pStyle w:val="74"/>
        <w:numPr>
          <w:ilvl w:val="0"/>
          <w:numId w:val="73"/>
        </w:numPr>
        <w:spacing w:line="360" w:lineRule="auto"/>
        <w:ind w:left="442" w:hanging="442"/>
        <w:rPr>
          <w:rFonts w:hint="default" w:ascii="宋体" w:hAnsi="宋体" w:eastAsia="宋体"/>
          <w:color w:val="auto"/>
          <w:sz w:val="21"/>
          <w:szCs w:val="21"/>
          <w:highlight w:val="none"/>
        </w:rPr>
      </w:pPr>
      <w:r>
        <w:rPr>
          <w:rFonts w:ascii="宋体" w:hAnsi="宋体" w:eastAsia="宋体"/>
          <w:color w:val="auto"/>
          <w:sz w:val="21"/>
          <w:szCs w:val="21"/>
          <w:highlight w:val="none"/>
        </w:rPr>
        <w:t>响应文件含有采购人不能接受的附加条件的。</w:t>
      </w:r>
    </w:p>
    <w:p>
      <w:pPr>
        <w:pStyle w:val="74"/>
        <w:numPr>
          <w:ilvl w:val="0"/>
          <w:numId w:val="73"/>
        </w:numPr>
        <w:spacing w:line="360" w:lineRule="auto"/>
        <w:ind w:left="442" w:hanging="442"/>
        <w:rPr>
          <w:rFonts w:hint="default" w:ascii="宋体" w:hAnsi="宋体" w:eastAsia="宋体"/>
          <w:color w:val="auto"/>
          <w:sz w:val="16"/>
          <w:szCs w:val="16"/>
          <w:highlight w:val="none"/>
        </w:rPr>
      </w:pPr>
      <w:r>
        <w:rPr>
          <w:rFonts w:ascii="宋体" w:hAnsi="宋体" w:eastAsia="宋体"/>
          <w:color w:val="auto"/>
          <w:sz w:val="21"/>
          <w:szCs w:val="21"/>
          <w:highlight w:val="none"/>
        </w:rPr>
        <w:t>法律、法规和磋商文件规定的其他无效情形。</w:t>
      </w:r>
    </w:p>
    <w:p>
      <w:pPr>
        <w:spacing w:line="360" w:lineRule="auto"/>
        <w:rPr>
          <w:rFonts w:asciiTheme="minorEastAsia" w:hAnsiTheme="minorEastAsia" w:eastAsiaTheme="minorEastAsia"/>
          <w:bCs/>
          <w:color w:val="auto"/>
          <w:szCs w:val="21"/>
          <w:highlight w:val="none"/>
        </w:rPr>
      </w:pPr>
    </w:p>
    <w:p>
      <w:pPr>
        <w:pStyle w:val="2"/>
        <w:keepNext w:val="0"/>
        <w:keepLines w:val="0"/>
        <w:pageBreakBefore/>
        <w:spacing w:after="240" w:line="360" w:lineRule="auto"/>
        <w:jc w:val="center"/>
        <w:rPr>
          <w:rFonts w:ascii="宋体" w:hAnsi="宋体"/>
          <w:color w:val="auto"/>
          <w:sz w:val="36"/>
          <w:szCs w:val="36"/>
          <w:highlight w:val="none"/>
        </w:rPr>
      </w:pPr>
      <w:bookmarkStart w:id="37" w:name="_Toc169807544"/>
      <w:bookmarkStart w:id="38" w:name="_Toc170228132"/>
      <w:bookmarkStart w:id="39" w:name="_Toc169799783"/>
      <w:bookmarkStart w:id="40" w:name="_Toc521951136"/>
      <w:bookmarkStart w:id="41" w:name="_Toc405313956"/>
      <w:bookmarkStart w:id="42" w:name="_Toc391627752"/>
      <w:r>
        <w:rPr>
          <w:rFonts w:asciiTheme="minorEastAsia" w:hAnsiTheme="minorEastAsia" w:eastAsiaTheme="minorEastAsia"/>
          <w:color w:val="auto"/>
          <w:spacing w:val="20"/>
          <w:sz w:val="32"/>
          <w:szCs w:val="32"/>
          <w:highlight w:val="none"/>
        </w:rPr>
        <w:t>第五章 合同文本</w:t>
      </w:r>
      <w:bookmarkEnd w:id="37"/>
      <w:bookmarkEnd w:id="38"/>
      <w:bookmarkEnd w:id="39"/>
    </w:p>
    <w:p>
      <w:pPr>
        <w:pStyle w:val="58"/>
        <w:rPr>
          <w:rFonts w:ascii="宋体" w:hAnsi="宋体"/>
          <w:b/>
          <w:color w:val="auto"/>
          <w:highlight w:val="none"/>
        </w:rPr>
      </w:pPr>
      <w:r>
        <w:rPr>
          <w:rFonts w:hint="eastAsia" w:ascii="宋体" w:hAnsi="宋体"/>
          <w:b/>
          <w:color w:val="auto"/>
          <w:highlight w:val="none"/>
        </w:rPr>
        <w:t>合同编号：</w:t>
      </w:r>
    </w:p>
    <w:p>
      <w:pPr>
        <w:spacing w:before="936" w:beforeLines="300" w:line="360" w:lineRule="auto"/>
        <w:jc w:val="center"/>
        <w:rPr>
          <w:rFonts w:ascii="宋体" w:hAnsi="宋体" w:cs="宋体"/>
          <w:b/>
          <w:color w:val="auto"/>
          <w:sz w:val="24"/>
          <w:szCs w:val="24"/>
          <w:highlight w:val="none"/>
        </w:rPr>
      </w:pPr>
    </w:p>
    <w:p>
      <w:pPr>
        <w:spacing w:before="936" w:beforeLines="300" w:line="360" w:lineRule="auto"/>
        <w:jc w:val="center"/>
        <w:rPr>
          <w:rFonts w:ascii="宋体" w:hAnsi="宋体"/>
          <w:b/>
          <w:color w:val="auto"/>
          <w:sz w:val="72"/>
          <w:szCs w:val="72"/>
          <w:highlight w:val="none"/>
        </w:rPr>
      </w:pPr>
      <w:r>
        <w:rPr>
          <w:rFonts w:hint="eastAsia" w:ascii="宋体" w:hAnsi="宋体" w:cs="宋体"/>
          <w:b/>
          <w:color w:val="auto"/>
          <w:sz w:val="72"/>
          <w:szCs w:val="72"/>
          <w:highlight w:val="none"/>
        </w:rPr>
        <w:t>建设工程</w:t>
      </w:r>
      <w:r>
        <w:rPr>
          <w:rFonts w:hint="eastAsia" w:ascii="宋体" w:hAnsi="宋体"/>
          <w:b/>
          <w:color w:val="auto"/>
          <w:sz w:val="72"/>
          <w:szCs w:val="72"/>
          <w:highlight w:val="none"/>
        </w:rPr>
        <w:t>施工合同</w:t>
      </w:r>
    </w:p>
    <w:p>
      <w:pPr>
        <w:spacing w:before="1092" w:beforeLines="350" w:after="468" w:afterLines="150" w:line="360" w:lineRule="auto"/>
        <w:jc w:val="center"/>
        <w:rPr>
          <w:rFonts w:ascii="宋体" w:hAnsi="宋体"/>
          <w:b/>
          <w:bCs/>
          <w:color w:val="auto"/>
          <w:spacing w:val="60"/>
          <w:sz w:val="52"/>
          <w:szCs w:val="52"/>
          <w:highlight w:val="none"/>
        </w:rPr>
      </w:pPr>
      <w:r>
        <w:rPr>
          <w:rFonts w:hint="eastAsia" w:ascii="宋体" w:hAnsi="宋体"/>
          <w:b/>
          <w:bCs/>
          <w:color w:val="auto"/>
          <w:spacing w:val="60"/>
          <w:sz w:val="52"/>
          <w:szCs w:val="52"/>
          <w:highlight w:val="none"/>
        </w:rPr>
        <w:t>合同文件</w:t>
      </w:r>
    </w:p>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p>
    <w:tbl>
      <w:tblPr>
        <w:tblStyle w:val="23"/>
        <w:tblW w:w="74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0"/>
        <w:gridCol w:w="5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770" w:type="dxa"/>
          </w:tcPr>
          <w:p>
            <w:pPr>
              <w:spacing w:line="360" w:lineRule="auto"/>
              <w:rPr>
                <w:rFonts w:ascii="宋体" w:hAnsi="宋体"/>
                <w:b/>
                <w:bCs/>
                <w:color w:val="auto"/>
                <w:sz w:val="28"/>
                <w:szCs w:val="28"/>
                <w:highlight w:val="none"/>
              </w:rPr>
            </w:pPr>
            <w:r>
              <w:rPr>
                <w:rFonts w:hint="eastAsia" w:ascii="宋体" w:hAnsi="宋体"/>
                <w:b/>
                <w:bCs/>
                <w:color w:val="auto"/>
                <w:sz w:val="28"/>
                <w:szCs w:val="28"/>
                <w:highlight w:val="none"/>
              </w:rPr>
              <w:t>工程名称：</w:t>
            </w:r>
          </w:p>
        </w:tc>
        <w:tc>
          <w:tcPr>
            <w:tcW w:w="5662" w:type="dxa"/>
          </w:tcPr>
          <w:p>
            <w:pPr>
              <w:spacing w:line="360" w:lineRule="auto"/>
              <w:rPr>
                <w:rFonts w:ascii="宋体" w:hAnsi="宋体"/>
                <w:b/>
                <w:bCs/>
                <w:color w:val="auto"/>
                <w:sz w:val="28"/>
                <w:szCs w:val="28"/>
                <w:highlight w:val="none"/>
                <w:u w:val="single"/>
              </w:rPr>
            </w:pPr>
            <w:r>
              <w:rPr>
                <w:rFonts w:hint="eastAsia" w:ascii="宋体" w:hAnsi="宋体"/>
                <w:b/>
                <w:bCs/>
                <w:color w:val="auto"/>
                <w:sz w:val="28"/>
                <w:szCs w:val="28"/>
                <w:highlight w:val="none"/>
                <w:u w:val="single"/>
              </w:rPr>
              <w:t xml:space="preserve"> </w:t>
            </w:r>
            <w:r>
              <w:rPr>
                <w:rFonts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 xml:space="preserve">           </w:t>
            </w:r>
            <w:r>
              <w:rPr>
                <w:rFonts w:ascii="宋体" w:hAnsi="宋体"/>
                <w:b/>
                <w:bCs/>
                <w:color w:val="auto"/>
                <w:sz w:val="28"/>
                <w:szCs w:val="28"/>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770" w:type="dxa"/>
          </w:tcPr>
          <w:p>
            <w:pPr>
              <w:spacing w:line="360" w:lineRule="auto"/>
              <w:rPr>
                <w:rFonts w:ascii="宋体" w:hAnsi="宋体"/>
                <w:b/>
                <w:bCs/>
                <w:color w:val="auto"/>
                <w:sz w:val="28"/>
                <w:szCs w:val="28"/>
                <w:highlight w:val="none"/>
              </w:rPr>
            </w:pPr>
            <w:r>
              <w:rPr>
                <w:rFonts w:hint="eastAsia" w:ascii="宋体" w:hAnsi="宋体"/>
                <w:b/>
                <w:bCs/>
                <w:color w:val="auto"/>
                <w:sz w:val="28"/>
                <w:szCs w:val="28"/>
                <w:highlight w:val="none"/>
              </w:rPr>
              <w:t>工程地点：</w:t>
            </w:r>
          </w:p>
        </w:tc>
        <w:tc>
          <w:tcPr>
            <w:tcW w:w="5662" w:type="dxa"/>
          </w:tcPr>
          <w:p>
            <w:pPr>
              <w:spacing w:line="360" w:lineRule="auto"/>
              <w:rPr>
                <w:rFonts w:ascii="宋体" w:hAnsi="宋体"/>
                <w:b/>
                <w:bCs/>
                <w:color w:val="auto"/>
                <w:sz w:val="28"/>
                <w:szCs w:val="28"/>
                <w:highlight w:val="none"/>
                <w:u w:val="single"/>
              </w:rPr>
            </w:pPr>
            <w:r>
              <w:rPr>
                <w:rFonts w:hint="eastAsia" w:ascii="宋体" w:hAnsi="宋体"/>
                <w:b/>
                <w:bCs/>
                <w:color w:val="auto"/>
                <w:sz w:val="28"/>
                <w:szCs w:val="28"/>
                <w:highlight w:val="none"/>
                <w:u w:val="single"/>
              </w:rPr>
              <w:t xml:space="preserve">  </w:t>
            </w:r>
            <w:r>
              <w:rPr>
                <w:rFonts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 xml:space="preserve">       </w:t>
            </w:r>
            <w:r>
              <w:rPr>
                <w:rFonts w:ascii="宋体" w:hAnsi="宋体"/>
                <w:b/>
                <w:bCs/>
                <w:color w:val="auto"/>
                <w:sz w:val="28"/>
                <w:szCs w:val="28"/>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770" w:type="dxa"/>
          </w:tcPr>
          <w:p>
            <w:pPr>
              <w:spacing w:line="360" w:lineRule="auto"/>
              <w:rPr>
                <w:rFonts w:ascii="宋体" w:hAnsi="宋体"/>
                <w:b/>
                <w:bCs/>
                <w:color w:val="auto"/>
                <w:spacing w:val="9"/>
                <w:sz w:val="28"/>
                <w:szCs w:val="28"/>
                <w:highlight w:val="none"/>
              </w:rPr>
            </w:pPr>
            <w:r>
              <w:rPr>
                <w:rFonts w:hint="eastAsia" w:ascii="宋体" w:hAnsi="宋体"/>
                <w:b/>
                <w:bCs/>
                <w:color w:val="auto"/>
                <w:spacing w:val="9"/>
                <w:sz w:val="28"/>
                <w:szCs w:val="28"/>
                <w:highlight w:val="none"/>
              </w:rPr>
              <w:t>发 包 人：</w:t>
            </w:r>
          </w:p>
        </w:tc>
        <w:tc>
          <w:tcPr>
            <w:tcW w:w="5662" w:type="dxa"/>
          </w:tcPr>
          <w:p>
            <w:pPr>
              <w:spacing w:line="360" w:lineRule="auto"/>
              <w:rPr>
                <w:rFonts w:ascii="宋体" w:hAnsi="宋体"/>
                <w:b/>
                <w:bCs/>
                <w:color w:val="auto"/>
                <w:sz w:val="28"/>
                <w:szCs w:val="28"/>
                <w:highlight w:val="none"/>
                <w:u w:val="single"/>
              </w:rPr>
            </w:pPr>
            <w:r>
              <w:rPr>
                <w:rFonts w:hint="eastAsia" w:ascii="宋体" w:hAnsi="宋体"/>
                <w:b/>
                <w:bCs/>
                <w:color w:val="auto"/>
                <w:sz w:val="28"/>
                <w:szCs w:val="28"/>
                <w:highlight w:val="none"/>
                <w:u w:val="single"/>
              </w:rPr>
              <w:t xml:space="preserve"> </w:t>
            </w:r>
            <w:r>
              <w:rPr>
                <w:rFonts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 xml:space="preserve">           </w:t>
            </w:r>
            <w:r>
              <w:rPr>
                <w:rFonts w:ascii="宋体" w:hAnsi="宋体"/>
                <w:b/>
                <w:bCs/>
                <w:color w:val="auto"/>
                <w:sz w:val="28"/>
                <w:szCs w:val="28"/>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770" w:type="dxa"/>
          </w:tcPr>
          <w:p>
            <w:pPr>
              <w:spacing w:line="360" w:lineRule="auto"/>
              <w:rPr>
                <w:rFonts w:ascii="宋体" w:hAnsi="宋体"/>
                <w:b/>
                <w:bCs/>
                <w:color w:val="auto"/>
                <w:spacing w:val="9"/>
                <w:sz w:val="28"/>
                <w:szCs w:val="28"/>
                <w:highlight w:val="none"/>
              </w:rPr>
            </w:pPr>
            <w:r>
              <w:rPr>
                <w:rFonts w:hint="eastAsia" w:ascii="宋体" w:hAnsi="宋体"/>
                <w:b/>
                <w:bCs/>
                <w:color w:val="auto"/>
                <w:spacing w:val="9"/>
                <w:sz w:val="28"/>
                <w:szCs w:val="28"/>
                <w:highlight w:val="none"/>
              </w:rPr>
              <w:t>承 包 人：</w:t>
            </w:r>
          </w:p>
        </w:tc>
        <w:tc>
          <w:tcPr>
            <w:tcW w:w="5662" w:type="dxa"/>
          </w:tcPr>
          <w:p>
            <w:pPr>
              <w:spacing w:line="360" w:lineRule="auto"/>
              <w:rPr>
                <w:rFonts w:ascii="宋体" w:hAnsi="宋体"/>
                <w:b/>
                <w:bCs/>
                <w:color w:val="auto"/>
                <w:sz w:val="28"/>
                <w:szCs w:val="28"/>
                <w:highlight w:val="none"/>
                <w:u w:val="single"/>
              </w:rPr>
            </w:pPr>
            <w:r>
              <w:rPr>
                <w:rFonts w:ascii="宋体" w:hAnsi="宋体"/>
                <w:b/>
                <w:bCs/>
                <w:color w:val="auto"/>
                <w:sz w:val="28"/>
                <w:szCs w:val="28"/>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770" w:type="dxa"/>
          </w:tcPr>
          <w:p>
            <w:pPr>
              <w:spacing w:line="360" w:lineRule="auto"/>
              <w:rPr>
                <w:rFonts w:ascii="宋体" w:hAnsi="宋体"/>
                <w:b/>
                <w:bCs/>
                <w:color w:val="auto"/>
                <w:spacing w:val="9"/>
                <w:sz w:val="28"/>
                <w:szCs w:val="28"/>
                <w:highlight w:val="none"/>
              </w:rPr>
            </w:pPr>
            <w:r>
              <w:rPr>
                <w:rFonts w:hint="eastAsia" w:ascii="宋体" w:hAnsi="宋体"/>
                <w:b/>
                <w:bCs/>
                <w:color w:val="auto"/>
                <w:spacing w:val="9"/>
                <w:sz w:val="28"/>
                <w:szCs w:val="28"/>
                <w:highlight w:val="none"/>
              </w:rPr>
              <w:t>签订日期：</w:t>
            </w:r>
          </w:p>
        </w:tc>
        <w:tc>
          <w:tcPr>
            <w:tcW w:w="5662" w:type="dxa"/>
          </w:tcPr>
          <w:p>
            <w:pPr>
              <w:spacing w:line="360" w:lineRule="auto"/>
              <w:rPr>
                <w:rFonts w:ascii="宋体" w:hAnsi="宋体"/>
                <w:b/>
                <w:bCs/>
                <w:color w:val="auto"/>
                <w:sz w:val="28"/>
                <w:szCs w:val="28"/>
                <w:highlight w:val="none"/>
                <w:u w:val="single"/>
              </w:rPr>
            </w:pPr>
            <w:r>
              <w:rPr>
                <w:rFonts w:ascii="宋体" w:hAnsi="宋体"/>
                <w:b/>
                <w:bCs/>
                <w:color w:val="auto"/>
                <w:sz w:val="28"/>
                <w:szCs w:val="28"/>
                <w:highlight w:val="none"/>
                <w:u w:val="single"/>
              </w:rPr>
              <w:t xml:space="preserve">                                            </w:t>
            </w:r>
          </w:p>
        </w:tc>
      </w:tr>
    </w:tbl>
    <w:p>
      <w:pPr>
        <w:pageBreakBefore/>
        <w:spacing w:before="312" w:beforeLines="100" w:line="360" w:lineRule="auto"/>
        <w:jc w:val="center"/>
        <w:rPr>
          <w:rFonts w:ascii="宋体" w:hAnsi="宋体"/>
          <w:color w:val="auto"/>
          <w:sz w:val="44"/>
          <w:szCs w:val="44"/>
          <w:highlight w:val="none"/>
        </w:rPr>
      </w:pPr>
      <w:r>
        <w:rPr>
          <w:rFonts w:hint="eastAsia" w:ascii="宋体" w:hAnsi="宋体"/>
          <w:color w:val="auto"/>
          <w:sz w:val="44"/>
          <w:szCs w:val="44"/>
          <w:highlight w:val="none"/>
        </w:rPr>
        <w:t>施工合同</w:t>
      </w:r>
    </w:p>
    <w:p>
      <w:pPr>
        <w:pStyle w:val="65"/>
        <w:spacing w:line="360" w:lineRule="auto"/>
        <w:rPr>
          <w:rFonts w:ascii="宋体" w:hAnsi="宋体"/>
          <w:color w:val="auto"/>
          <w:szCs w:val="21"/>
          <w:highlight w:val="none"/>
        </w:rPr>
      </w:pPr>
      <w:r>
        <w:rPr>
          <w:rFonts w:hint="eastAsia" w:ascii="宋体" w:hAnsi="宋体"/>
          <w:color w:val="auto"/>
          <w:szCs w:val="21"/>
          <w:highlight w:val="none"/>
        </w:rPr>
        <w:t>合同编号：</w:t>
      </w:r>
    </w:p>
    <w:p>
      <w:pPr>
        <w:pStyle w:val="65"/>
        <w:spacing w:line="360" w:lineRule="auto"/>
        <w:rPr>
          <w:rFonts w:ascii="宋体" w:hAnsi="宋体"/>
          <w:color w:val="auto"/>
          <w:szCs w:val="21"/>
          <w:highlight w:val="none"/>
          <w:u w:val="singl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承包人：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本合同签订是根据于</w:t>
      </w:r>
      <w:r>
        <w:rPr>
          <w:rFonts w:hint="eastAsia" w:ascii="宋体" w:hAnsi="宋体"/>
          <w:color w:val="auto"/>
          <w:szCs w:val="21"/>
          <w:highlight w:val="none"/>
          <w:u w:val="single"/>
        </w:rPr>
        <w:t xml:space="preserve">    年   月   日</w:t>
      </w:r>
      <w:r>
        <w:rPr>
          <w:rFonts w:hint="eastAsia" w:ascii="宋体" w:hAnsi="宋体"/>
          <w:color w:val="auto"/>
          <w:szCs w:val="21"/>
          <w:highlight w:val="none"/>
        </w:rPr>
        <w:t>采购确定由承包人施工，按照《中华人民共和国民法典》、《中华人民共和国建筑法》、国家工商管理局和建设部颁发的（GF-2017-0201）《建设工程施工合同示范文本》，并结合兴宁市有关规定以及本工程的具体情况，订立本合同。</w:t>
      </w:r>
    </w:p>
    <w:p>
      <w:pPr>
        <w:pStyle w:val="32"/>
        <w:numPr>
          <w:ilvl w:val="0"/>
          <w:numId w:val="74"/>
        </w:numPr>
        <w:spacing w:line="360" w:lineRule="auto"/>
        <w:ind w:firstLineChars="0"/>
        <w:jc w:val="center"/>
        <w:rPr>
          <w:rFonts w:ascii="宋体" w:hAnsi="宋体"/>
          <w:b/>
          <w:color w:val="auto"/>
          <w:szCs w:val="21"/>
          <w:highlight w:val="none"/>
        </w:rPr>
      </w:pPr>
      <w:r>
        <w:rPr>
          <w:rFonts w:hint="eastAsia" w:ascii="宋体" w:hAnsi="宋体"/>
          <w:b/>
          <w:color w:val="auto"/>
          <w:szCs w:val="21"/>
          <w:highlight w:val="none"/>
        </w:rPr>
        <w:t>工程项目</w:t>
      </w:r>
    </w:p>
    <w:p>
      <w:pPr>
        <w:pStyle w:val="65"/>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工程名称：</w:t>
      </w:r>
      <w:r>
        <w:rPr>
          <w:rFonts w:hint="eastAsia" w:ascii="宋体" w:hAnsi="宋体"/>
          <w:color w:val="auto"/>
          <w:szCs w:val="21"/>
          <w:highlight w:val="none"/>
          <w:u w:val="single"/>
        </w:rPr>
        <w:t xml:space="preserve">                                                                </w:t>
      </w:r>
    </w:p>
    <w:p>
      <w:pPr>
        <w:pStyle w:val="19"/>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2.项目编号：</w:t>
      </w:r>
      <w:r>
        <w:rPr>
          <w:rFonts w:cs="Calibri"/>
          <w:color w:val="auto"/>
          <w:kern w:val="2"/>
          <w:sz w:val="21"/>
          <w:szCs w:val="21"/>
          <w:highlight w:val="none"/>
          <w:u w:val="single"/>
        </w:rPr>
        <w:t> </w:t>
      </w:r>
      <w:r>
        <w:rPr>
          <w:rFonts w:hint="eastAsia" w:cs="黑体"/>
          <w:color w:val="auto"/>
          <w:kern w:val="2"/>
          <w:sz w:val="21"/>
          <w:szCs w:val="21"/>
          <w:highlight w:val="none"/>
          <w:u w:val="single"/>
        </w:rPr>
        <w:t xml:space="preserve"> </w:t>
      </w:r>
      <w:r>
        <w:rPr>
          <w:rFonts w:cs="Calibri"/>
          <w:color w:val="auto"/>
          <w:kern w:val="2"/>
          <w:sz w:val="21"/>
          <w:szCs w:val="21"/>
          <w:highlight w:val="none"/>
          <w:u w:val="single"/>
        </w:rPr>
        <w:t> </w:t>
      </w:r>
      <w:r>
        <w:rPr>
          <w:rFonts w:hint="eastAsia" w:cs="黑体"/>
          <w:color w:val="auto"/>
          <w:kern w:val="2"/>
          <w:sz w:val="21"/>
          <w:szCs w:val="21"/>
          <w:highlight w:val="none"/>
          <w:u w:val="single"/>
        </w:rPr>
        <w:t xml:space="preserve"> </w:t>
      </w:r>
      <w:r>
        <w:rPr>
          <w:rFonts w:cs="Calibri"/>
          <w:color w:val="auto"/>
          <w:kern w:val="2"/>
          <w:sz w:val="21"/>
          <w:szCs w:val="21"/>
          <w:highlight w:val="none"/>
          <w:u w:val="single"/>
        </w:rPr>
        <w:t> </w:t>
      </w:r>
      <w:r>
        <w:rPr>
          <w:rFonts w:hint="eastAsia" w:cs="黑体"/>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p>
    <w:p>
      <w:pPr>
        <w:pStyle w:val="65"/>
        <w:spacing w:line="360" w:lineRule="auto"/>
        <w:rPr>
          <w:rFonts w:ascii="宋体" w:hAnsi="宋体"/>
          <w:color w:val="auto"/>
          <w:szCs w:val="21"/>
          <w:highlight w:val="none"/>
          <w:u w:val="single"/>
        </w:rPr>
      </w:pPr>
      <w:r>
        <w:rPr>
          <w:rFonts w:hint="eastAsia" w:ascii="宋体" w:hAnsi="宋体"/>
          <w:color w:val="auto"/>
          <w:szCs w:val="21"/>
          <w:highlight w:val="none"/>
        </w:rPr>
        <w:t>3.</w:t>
      </w:r>
      <w:r>
        <w:rPr>
          <w:rFonts w:ascii="宋体" w:hAnsi="宋体"/>
          <w:color w:val="auto"/>
          <w:szCs w:val="21"/>
          <w:highlight w:val="none"/>
        </w:rPr>
        <w:t>工程地点：</w:t>
      </w:r>
      <w:r>
        <w:rPr>
          <w:rFonts w:hint="eastAsia" w:ascii="宋体" w:hAnsi="宋体" w:cs="宋体"/>
          <w:color w:val="auto"/>
          <w:szCs w:val="21"/>
          <w:highlight w:val="none"/>
          <w:u w:val="single"/>
        </w:rPr>
        <w:t xml:space="preserve">                                                                </w:t>
      </w:r>
    </w:p>
    <w:p>
      <w:pPr>
        <w:pStyle w:val="19"/>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4.</w:t>
      </w:r>
      <w:r>
        <w:rPr>
          <w:color w:val="auto"/>
          <w:kern w:val="2"/>
          <w:sz w:val="21"/>
          <w:szCs w:val="21"/>
          <w:highlight w:val="none"/>
        </w:rPr>
        <w:t>工程内容：</w:t>
      </w:r>
      <w:r>
        <w:rPr>
          <w:rFonts w:hint="eastAsia"/>
          <w:color w:val="auto"/>
          <w:kern w:val="2"/>
          <w:sz w:val="21"/>
          <w:szCs w:val="21"/>
          <w:highlight w:val="none"/>
          <w:u w:val="single"/>
        </w:rPr>
        <w:t>详见图纸与工程量清单</w:t>
      </w:r>
    </w:p>
    <w:p>
      <w:pPr>
        <w:pStyle w:val="19"/>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5.</w:t>
      </w:r>
      <w:r>
        <w:rPr>
          <w:color w:val="auto"/>
          <w:kern w:val="2"/>
          <w:sz w:val="21"/>
          <w:szCs w:val="21"/>
          <w:highlight w:val="none"/>
        </w:rPr>
        <w:t>承包</w:t>
      </w:r>
      <w:r>
        <w:rPr>
          <w:rFonts w:hint="eastAsia"/>
          <w:color w:val="auto"/>
          <w:kern w:val="2"/>
          <w:sz w:val="21"/>
          <w:szCs w:val="21"/>
          <w:highlight w:val="none"/>
        </w:rPr>
        <w:t>范围</w:t>
      </w:r>
      <w:r>
        <w:rPr>
          <w:color w:val="auto"/>
          <w:kern w:val="2"/>
          <w:sz w:val="21"/>
          <w:szCs w:val="21"/>
          <w:highlight w:val="none"/>
        </w:rPr>
        <w:t>：</w:t>
      </w:r>
      <w:r>
        <w:rPr>
          <w:rFonts w:hint="eastAsia"/>
          <w:color w:val="auto"/>
          <w:kern w:val="2"/>
          <w:sz w:val="21"/>
          <w:szCs w:val="21"/>
          <w:highlight w:val="none"/>
          <w:u w:val="single"/>
        </w:rPr>
        <w:t xml:space="preserve">                                                                </w:t>
      </w:r>
      <w:r>
        <w:rPr>
          <w:color w:val="auto"/>
          <w:kern w:val="2"/>
          <w:sz w:val="21"/>
          <w:szCs w:val="21"/>
          <w:highlight w:val="none"/>
        </w:rPr>
        <w:t xml:space="preserve"> </w:t>
      </w:r>
    </w:p>
    <w:p>
      <w:pPr>
        <w:pStyle w:val="19"/>
        <w:spacing w:before="0" w:beforeAutospacing="0" w:after="0" w:afterAutospacing="0" w:line="360" w:lineRule="auto"/>
        <w:rPr>
          <w:rFonts w:cs="华文宋体"/>
          <w:color w:val="auto"/>
          <w:sz w:val="21"/>
          <w:szCs w:val="21"/>
          <w:highlight w:val="none"/>
          <w:u w:val="single"/>
        </w:rPr>
      </w:pPr>
      <w:r>
        <w:rPr>
          <w:color w:val="auto"/>
          <w:kern w:val="2"/>
          <w:sz w:val="21"/>
          <w:szCs w:val="21"/>
          <w:highlight w:val="none"/>
        </w:rPr>
        <w:t>6</w:t>
      </w:r>
      <w:r>
        <w:rPr>
          <w:rFonts w:hint="eastAsia"/>
          <w:color w:val="auto"/>
          <w:kern w:val="2"/>
          <w:sz w:val="21"/>
          <w:szCs w:val="21"/>
          <w:highlight w:val="none"/>
        </w:rPr>
        <w:t>.资金来源：</w:t>
      </w:r>
      <w:r>
        <w:rPr>
          <w:rFonts w:hint="eastAsia"/>
          <w:color w:val="auto"/>
          <w:kern w:val="2"/>
          <w:sz w:val="21"/>
          <w:szCs w:val="21"/>
          <w:highlight w:val="none"/>
          <w:u w:val="single"/>
        </w:rPr>
        <w:t xml:space="preserve">                     </w:t>
      </w:r>
    </w:p>
    <w:p>
      <w:pPr>
        <w:pStyle w:val="19"/>
        <w:spacing w:line="360" w:lineRule="auto"/>
        <w:jc w:val="center"/>
        <w:rPr>
          <w:b/>
          <w:color w:val="auto"/>
          <w:sz w:val="21"/>
          <w:szCs w:val="21"/>
          <w:highlight w:val="none"/>
        </w:rPr>
      </w:pPr>
      <w:r>
        <w:rPr>
          <w:rFonts w:hint="eastAsia"/>
          <w:b/>
          <w:color w:val="auto"/>
          <w:sz w:val="21"/>
          <w:szCs w:val="21"/>
          <w:highlight w:val="none"/>
        </w:rPr>
        <w:t xml:space="preserve">第二条 </w:t>
      </w:r>
      <w:r>
        <w:rPr>
          <w:rFonts w:cs="Calibri"/>
          <w:b/>
          <w:color w:val="auto"/>
          <w:sz w:val="21"/>
          <w:szCs w:val="21"/>
          <w:highlight w:val="none"/>
        </w:rPr>
        <w:t> </w:t>
      </w:r>
      <w:r>
        <w:rPr>
          <w:rFonts w:hint="eastAsia"/>
          <w:b/>
          <w:color w:val="auto"/>
          <w:sz w:val="21"/>
          <w:szCs w:val="21"/>
          <w:highlight w:val="none"/>
        </w:rPr>
        <w:t>工程价款</w:t>
      </w:r>
    </w:p>
    <w:p>
      <w:pPr>
        <w:spacing w:line="360" w:lineRule="auto"/>
        <w:rPr>
          <w:rFonts w:ascii="宋体" w:hAnsi="宋体"/>
          <w:color w:val="auto"/>
          <w:szCs w:val="21"/>
          <w:highlight w:val="none"/>
        </w:rPr>
      </w:pPr>
      <w:r>
        <w:rPr>
          <w:rFonts w:hint="eastAsia" w:ascii="宋体" w:hAnsi="宋体"/>
          <w:color w:val="auto"/>
          <w:szCs w:val="21"/>
          <w:highlight w:val="none"/>
        </w:rPr>
        <w:t>1.合同总价为：</w:t>
      </w:r>
      <w:r>
        <w:rPr>
          <w:rFonts w:hint="eastAsia" w:ascii="宋体" w:hAnsi="宋体"/>
          <w:color w:val="auto"/>
          <w:szCs w:val="21"/>
          <w:highlight w:val="none"/>
          <w:u w:val="single"/>
        </w:rPr>
        <w:t>人民币（大写）                           （￥        元）</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其中：</w:t>
      </w:r>
    </w:p>
    <w:p>
      <w:pPr>
        <w:spacing w:line="360" w:lineRule="auto"/>
        <w:rPr>
          <w:rFonts w:ascii="宋体" w:hAnsi="宋体"/>
          <w:color w:val="auto"/>
          <w:szCs w:val="21"/>
          <w:highlight w:val="none"/>
        </w:rPr>
      </w:pPr>
      <w:r>
        <w:rPr>
          <w:rFonts w:hint="eastAsia" w:ascii="宋体" w:hAnsi="宋体"/>
          <w:color w:val="auto"/>
          <w:szCs w:val="21"/>
          <w:highlight w:val="none"/>
        </w:rPr>
        <w:t>(1)含税工程造价(未含绿色施工安全防护措施单列费)：</w:t>
      </w:r>
      <w:r>
        <w:rPr>
          <w:rFonts w:hint="eastAsia" w:ascii="宋体" w:hAnsi="宋体"/>
          <w:color w:val="auto"/>
          <w:szCs w:val="21"/>
          <w:highlight w:val="none"/>
          <w:u w:val="single"/>
        </w:rPr>
        <w:t>人民币（大写）                   （￥          元）</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(2)绿色施工安全防护措施单列费：</w:t>
      </w:r>
      <w:r>
        <w:rPr>
          <w:rFonts w:hint="eastAsia" w:ascii="宋体" w:hAnsi="宋体"/>
          <w:color w:val="auto"/>
          <w:szCs w:val="21"/>
          <w:highlight w:val="none"/>
          <w:u w:val="single"/>
        </w:rPr>
        <w:t>人民币（大写）                 （￥           元）</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人工费：</w:t>
      </w:r>
      <w:r>
        <w:rPr>
          <w:rFonts w:hint="eastAsia" w:ascii="宋体" w:hAnsi="宋体"/>
          <w:color w:val="auto"/>
          <w:szCs w:val="21"/>
          <w:highlight w:val="none"/>
          <w:u w:val="single"/>
        </w:rPr>
        <w:t>人民币（大写）                 （￥           元）</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2.本合同实行总价包干，承包人按定标价包人工、包材料、包工期、包安全。</w:t>
      </w:r>
    </w:p>
    <w:p>
      <w:pPr>
        <w:spacing w:line="360" w:lineRule="auto"/>
        <w:rPr>
          <w:rFonts w:ascii="宋体" w:hAnsi="宋体"/>
          <w:color w:val="auto"/>
          <w:szCs w:val="21"/>
          <w:highlight w:val="none"/>
        </w:rPr>
      </w:pPr>
      <w:r>
        <w:rPr>
          <w:rFonts w:hint="eastAsia" w:ascii="宋体" w:hAnsi="宋体"/>
          <w:color w:val="auto"/>
          <w:szCs w:val="21"/>
          <w:highlight w:val="none"/>
        </w:rPr>
        <w:t>3.按国家规定由承包人缴纳的各种税收已包含在本工程造价内，由承包人向税收部门支付。</w:t>
      </w:r>
    </w:p>
    <w:p>
      <w:pPr>
        <w:pStyle w:val="19"/>
        <w:spacing w:line="360" w:lineRule="auto"/>
        <w:jc w:val="center"/>
        <w:rPr>
          <w:b/>
          <w:color w:val="auto"/>
          <w:sz w:val="21"/>
          <w:szCs w:val="21"/>
          <w:highlight w:val="none"/>
        </w:rPr>
      </w:pPr>
      <w:r>
        <w:rPr>
          <w:rFonts w:hint="eastAsia"/>
          <w:b/>
          <w:color w:val="auto"/>
          <w:sz w:val="21"/>
          <w:szCs w:val="21"/>
          <w:highlight w:val="none"/>
        </w:rPr>
        <w:t xml:space="preserve">第三条 </w:t>
      </w:r>
      <w:r>
        <w:rPr>
          <w:rFonts w:cs="Calibri"/>
          <w:b/>
          <w:color w:val="auto"/>
          <w:sz w:val="21"/>
          <w:szCs w:val="21"/>
          <w:highlight w:val="none"/>
        </w:rPr>
        <w:t> </w:t>
      </w:r>
      <w:r>
        <w:rPr>
          <w:rFonts w:hint="eastAsia"/>
          <w:b/>
          <w:color w:val="auto"/>
          <w:sz w:val="21"/>
          <w:szCs w:val="21"/>
          <w:highlight w:val="none"/>
        </w:rPr>
        <w:t>合同工期</w:t>
      </w:r>
    </w:p>
    <w:p>
      <w:pPr>
        <w:spacing w:line="360" w:lineRule="auto"/>
        <w:rPr>
          <w:rFonts w:ascii="宋体" w:hAnsi="宋体"/>
          <w:color w:val="auto"/>
          <w:szCs w:val="21"/>
          <w:highlight w:val="none"/>
        </w:rPr>
      </w:pPr>
      <w:r>
        <w:rPr>
          <w:rFonts w:hint="eastAsia" w:ascii="宋体" w:hAnsi="宋体"/>
          <w:color w:val="auto"/>
          <w:szCs w:val="21"/>
          <w:highlight w:val="none"/>
        </w:rPr>
        <w:t>1.工程合同工期总日历天数：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天。 </w:t>
      </w:r>
    </w:p>
    <w:p>
      <w:pPr>
        <w:spacing w:line="360" w:lineRule="auto"/>
        <w:rPr>
          <w:rFonts w:ascii="宋体" w:hAnsi="宋体"/>
          <w:color w:val="auto"/>
          <w:szCs w:val="21"/>
          <w:highlight w:val="none"/>
        </w:rPr>
      </w:pPr>
      <w:r>
        <w:rPr>
          <w:rFonts w:hint="eastAsia" w:ascii="宋体" w:hAnsi="宋体"/>
          <w:color w:val="auto"/>
          <w:szCs w:val="21"/>
          <w:highlight w:val="none"/>
        </w:rPr>
        <w:t>拟从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日开始施工，至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日竣工完成。</w:t>
      </w:r>
    </w:p>
    <w:p>
      <w:pPr>
        <w:spacing w:line="360" w:lineRule="auto"/>
        <w:rPr>
          <w:rFonts w:ascii="宋体" w:hAnsi="宋体"/>
          <w:color w:val="auto"/>
          <w:szCs w:val="21"/>
          <w:highlight w:val="none"/>
        </w:rPr>
      </w:pPr>
      <w:r>
        <w:rPr>
          <w:rFonts w:hint="eastAsia" w:ascii="宋体" w:hAnsi="宋体"/>
          <w:color w:val="auto"/>
          <w:szCs w:val="21"/>
          <w:highlight w:val="none"/>
        </w:rPr>
        <w:t>(1)实际开工时间以发包人或监理单位发出的书面进场通知所载明时间为准，竣工时间以发包人复核批准的时间为准。</w:t>
      </w:r>
    </w:p>
    <w:p>
      <w:pPr>
        <w:spacing w:line="360" w:lineRule="auto"/>
        <w:rPr>
          <w:rFonts w:ascii="宋体" w:hAnsi="宋体"/>
          <w:color w:val="auto"/>
          <w:szCs w:val="21"/>
          <w:highlight w:val="none"/>
        </w:rPr>
      </w:pPr>
      <w:r>
        <w:rPr>
          <w:rFonts w:hint="eastAsia" w:ascii="宋体" w:hAnsi="宋体"/>
          <w:color w:val="auto"/>
          <w:szCs w:val="21"/>
          <w:highlight w:val="none"/>
        </w:rPr>
        <w:t>(2)承包人必须按监理单位和发包人书面批准的施工进度计划组织施工，并接受监理工程师对进度的检查、监督，确保工程总工期目标的实现。</w:t>
      </w:r>
    </w:p>
    <w:p>
      <w:pPr>
        <w:spacing w:line="360" w:lineRule="auto"/>
        <w:jc w:val="left"/>
        <w:rPr>
          <w:rFonts w:ascii="宋体" w:hAnsi="宋体"/>
          <w:color w:val="auto"/>
          <w:szCs w:val="21"/>
          <w:highlight w:val="none"/>
        </w:rPr>
      </w:pPr>
      <w:r>
        <w:rPr>
          <w:rFonts w:hint="eastAsia" w:ascii="宋体" w:hAnsi="宋体"/>
          <w:color w:val="auto"/>
          <w:szCs w:val="21"/>
          <w:highlight w:val="none"/>
        </w:rPr>
        <w:t>2.承包人应在签订本合同后的2天内，向监理工程师提交开工申请书，并附上表明已做好开工准备的有关资料。除另有约定外，监理工程师应在本合同签订后的3 天内报发包人批准后向承包人发出开工令；承包人应在接到开工令后的2 天内开工。由于承包人原因逾期提交开工申请或接到开工令逾期开工的，将以开工令规定的开工时间计算实际开工日期。</w:t>
      </w:r>
    </w:p>
    <w:p>
      <w:pPr>
        <w:spacing w:line="360" w:lineRule="auto"/>
        <w:ind w:left="210" w:hanging="210" w:hangingChars="100"/>
        <w:jc w:val="left"/>
        <w:rPr>
          <w:rFonts w:ascii="宋体" w:hAnsi="宋体"/>
          <w:color w:val="auto"/>
          <w:szCs w:val="21"/>
          <w:highlight w:val="none"/>
        </w:rPr>
      </w:pPr>
      <w:r>
        <w:rPr>
          <w:rFonts w:hint="eastAsia" w:ascii="宋体" w:hAnsi="宋体"/>
          <w:color w:val="auto"/>
          <w:szCs w:val="21"/>
          <w:highlight w:val="none"/>
        </w:rPr>
        <w:t>3.如遇下列情况，经发包人现场代表签证后，工期可相应顺延：</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(1)发包人未能按约定提供施工设计图纸及其它开工条件；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(2)发包人未能按约定的时间支付工程预付款、安全文明施工费和进度款；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(3)发包人代表或施工现场发包人雇用的其他人员造成的人为因素；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(4)监理工程师未按照合同约定及时提供所需指令、回复等；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(5)工程变更（含增加合同工作内容、改变合同的任何一项工作等）；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(6)一周内非承包人原因停水、停电、停气造成停工累计超过8 小时；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(7)不可抗力因素；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(8)因发包人原因导致的暂停施工；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(9)非承包人失误、违约，以及监理工程师同意的工期顺延；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(10)发包人造成工期延误的其他原因。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4.因承包人原因造成施工延迟的，不得请求顺延工期。 </w:t>
      </w:r>
    </w:p>
    <w:p>
      <w:pPr>
        <w:pStyle w:val="19"/>
        <w:spacing w:line="360" w:lineRule="auto"/>
        <w:jc w:val="center"/>
        <w:rPr>
          <w:b/>
          <w:color w:val="auto"/>
          <w:sz w:val="21"/>
          <w:szCs w:val="21"/>
          <w:highlight w:val="none"/>
        </w:rPr>
      </w:pPr>
      <w:r>
        <w:rPr>
          <w:rFonts w:hint="eastAsia"/>
          <w:b/>
          <w:color w:val="auto"/>
          <w:sz w:val="21"/>
          <w:szCs w:val="21"/>
          <w:highlight w:val="none"/>
        </w:rPr>
        <w:t>第四条</w:t>
      </w:r>
      <w:r>
        <w:rPr>
          <w:b/>
          <w:color w:val="auto"/>
          <w:sz w:val="21"/>
          <w:szCs w:val="21"/>
          <w:highlight w:val="none"/>
        </w:rPr>
        <w:t xml:space="preserve">  </w:t>
      </w:r>
      <w:r>
        <w:rPr>
          <w:rFonts w:hint="eastAsia"/>
          <w:b/>
          <w:color w:val="auto"/>
          <w:sz w:val="21"/>
          <w:szCs w:val="21"/>
          <w:highlight w:val="none"/>
        </w:rPr>
        <w:t>双方工作的约定</w:t>
      </w:r>
    </w:p>
    <w:p>
      <w:pPr>
        <w:spacing w:line="360" w:lineRule="auto"/>
        <w:ind w:left="315" w:hanging="315" w:hangingChars="150"/>
        <w:jc w:val="left"/>
        <w:rPr>
          <w:rFonts w:ascii="宋体" w:hAnsi="宋体"/>
          <w:color w:val="auto"/>
          <w:szCs w:val="21"/>
          <w:highlight w:val="none"/>
        </w:rPr>
      </w:pPr>
      <w:r>
        <w:rPr>
          <w:rFonts w:hint="eastAsia" w:ascii="宋体" w:hAnsi="宋体"/>
          <w:color w:val="auto"/>
          <w:szCs w:val="21"/>
          <w:highlight w:val="none"/>
        </w:rPr>
        <w:t>1.发包人工作的约定，包括但不限于：</w:t>
      </w:r>
    </w:p>
    <w:p>
      <w:pPr>
        <w:spacing w:line="360" w:lineRule="auto"/>
        <w:jc w:val="left"/>
        <w:rPr>
          <w:rFonts w:ascii="宋体" w:hAnsi="宋体"/>
          <w:color w:val="auto"/>
          <w:szCs w:val="21"/>
          <w:highlight w:val="none"/>
        </w:rPr>
      </w:pPr>
      <w:r>
        <w:rPr>
          <w:rFonts w:hint="eastAsia" w:ascii="宋体" w:hAnsi="宋体"/>
          <w:color w:val="auto"/>
          <w:szCs w:val="21"/>
          <w:highlight w:val="none"/>
        </w:rPr>
        <w:t>(1)在本合同签订之时，发包人应指定发包人代表，由其直接负责与承包人的联系工作。</w:t>
      </w:r>
    </w:p>
    <w:p>
      <w:pPr>
        <w:spacing w:line="360" w:lineRule="auto"/>
        <w:jc w:val="left"/>
        <w:rPr>
          <w:rFonts w:ascii="宋体" w:hAnsi="宋体"/>
          <w:color w:val="auto"/>
          <w:szCs w:val="21"/>
          <w:highlight w:val="none"/>
        </w:rPr>
      </w:pPr>
      <w:r>
        <w:rPr>
          <w:rFonts w:hint="eastAsia" w:ascii="宋体" w:hAnsi="宋体"/>
          <w:color w:val="auto"/>
          <w:szCs w:val="21"/>
          <w:highlight w:val="none"/>
        </w:rPr>
        <w:t>发包人代表：</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(2)开工前，发包人应对施工场地进行清理，使施工场地具备施工条件；</w:t>
      </w:r>
    </w:p>
    <w:p>
      <w:pPr>
        <w:spacing w:line="360" w:lineRule="auto"/>
        <w:jc w:val="left"/>
        <w:rPr>
          <w:rFonts w:ascii="宋体" w:hAnsi="宋体"/>
          <w:color w:val="auto"/>
          <w:szCs w:val="21"/>
          <w:highlight w:val="none"/>
        </w:rPr>
      </w:pPr>
      <w:r>
        <w:rPr>
          <w:rFonts w:hint="eastAsia" w:ascii="宋体" w:hAnsi="宋体"/>
          <w:color w:val="auto"/>
          <w:szCs w:val="21"/>
          <w:highlight w:val="none"/>
        </w:rPr>
        <w:t>(3)协助承包人办理水、电、通讯线路接驳的手续，相关费用由承包人承担；</w:t>
      </w:r>
    </w:p>
    <w:p>
      <w:pPr>
        <w:spacing w:line="360" w:lineRule="auto"/>
        <w:jc w:val="left"/>
        <w:rPr>
          <w:rFonts w:ascii="宋体" w:hAnsi="宋体"/>
          <w:color w:val="auto"/>
          <w:szCs w:val="21"/>
          <w:highlight w:val="yellow"/>
        </w:rPr>
      </w:pPr>
      <w:r>
        <w:rPr>
          <w:rFonts w:hint="eastAsia" w:ascii="宋体" w:hAnsi="宋体"/>
          <w:color w:val="auto"/>
          <w:szCs w:val="21"/>
          <w:highlight w:val="yellow"/>
        </w:rPr>
        <w:t>(4)与承包人协调划定</w:t>
      </w:r>
      <w:r>
        <w:rPr>
          <w:rFonts w:hint="eastAsia" w:ascii="宋体" w:hAnsi="宋体"/>
          <w:color w:val="auto"/>
          <w:szCs w:val="21"/>
          <w:highlight w:val="yellow"/>
          <w:lang w:val="en-US" w:eastAsia="zh-CN"/>
        </w:rPr>
        <w:t>施工场地</w:t>
      </w:r>
      <w:r>
        <w:rPr>
          <w:rFonts w:hint="eastAsia" w:ascii="宋体" w:hAnsi="宋体"/>
          <w:color w:val="auto"/>
          <w:szCs w:val="21"/>
          <w:highlight w:val="yellow"/>
        </w:rPr>
        <w:t>施工通道；</w:t>
      </w:r>
    </w:p>
    <w:p>
      <w:pPr>
        <w:spacing w:line="360" w:lineRule="auto"/>
        <w:ind w:left="344" w:leftChars="1" w:hanging="342" w:hangingChars="163"/>
        <w:jc w:val="left"/>
        <w:rPr>
          <w:rFonts w:ascii="宋体" w:hAnsi="宋体"/>
          <w:color w:val="auto"/>
          <w:szCs w:val="21"/>
          <w:highlight w:val="yellow"/>
        </w:rPr>
      </w:pPr>
      <w:r>
        <w:rPr>
          <w:rFonts w:hint="eastAsia" w:ascii="宋体" w:hAnsi="宋体"/>
          <w:color w:val="auto"/>
          <w:szCs w:val="21"/>
          <w:highlight w:val="yellow"/>
        </w:rPr>
        <w:t>(5)协助承包人办理施工人员出入</w:t>
      </w:r>
      <w:r>
        <w:rPr>
          <w:rFonts w:hint="eastAsia" w:ascii="宋体" w:hAnsi="宋体"/>
          <w:color w:val="auto"/>
          <w:szCs w:val="21"/>
          <w:highlight w:val="yellow"/>
          <w:lang w:val="en-US" w:eastAsia="zh-CN"/>
        </w:rPr>
        <w:t>施工场地</w:t>
      </w:r>
      <w:r>
        <w:rPr>
          <w:rFonts w:hint="eastAsia" w:ascii="宋体" w:hAnsi="宋体"/>
          <w:color w:val="auto"/>
          <w:szCs w:val="21"/>
          <w:highlight w:val="yellow"/>
        </w:rPr>
        <w:t>的手续；</w:t>
      </w:r>
    </w:p>
    <w:p>
      <w:pPr>
        <w:spacing w:line="360" w:lineRule="auto"/>
        <w:ind w:left="344" w:leftChars="1" w:hanging="342" w:hangingChars="163"/>
        <w:jc w:val="left"/>
        <w:rPr>
          <w:rFonts w:ascii="宋体" w:hAnsi="宋体"/>
          <w:color w:val="auto"/>
          <w:szCs w:val="21"/>
          <w:highlight w:val="none"/>
        </w:rPr>
      </w:pPr>
      <w:r>
        <w:rPr>
          <w:rFonts w:hint="eastAsia" w:ascii="宋体" w:hAnsi="宋体"/>
          <w:color w:val="auto"/>
          <w:szCs w:val="21"/>
          <w:highlight w:val="none"/>
        </w:rPr>
        <w:t>(6)合同签订后</w:t>
      </w:r>
      <w:r>
        <w:rPr>
          <w:rFonts w:ascii="宋体" w:hAnsi="宋体"/>
          <w:color w:val="auto"/>
          <w:szCs w:val="21"/>
          <w:highlight w:val="none"/>
        </w:rPr>
        <w:t>3</w:t>
      </w:r>
      <w:r>
        <w:rPr>
          <w:rFonts w:hint="eastAsia" w:ascii="宋体" w:hAnsi="宋体"/>
          <w:color w:val="auto"/>
          <w:szCs w:val="21"/>
          <w:highlight w:val="none"/>
        </w:rPr>
        <w:t>日内向承包人提供施工设计图纸、设计文件；</w:t>
      </w:r>
    </w:p>
    <w:p>
      <w:pPr>
        <w:spacing w:line="360" w:lineRule="auto"/>
        <w:ind w:left="344" w:leftChars="1" w:hanging="342" w:hangingChars="163"/>
        <w:jc w:val="left"/>
        <w:rPr>
          <w:rFonts w:ascii="宋体" w:hAnsi="宋体"/>
          <w:color w:val="auto"/>
          <w:szCs w:val="21"/>
          <w:highlight w:val="none"/>
        </w:rPr>
      </w:pPr>
      <w:r>
        <w:rPr>
          <w:rFonts w:hint="eastAsia" w:ascii="宋体" w:hAnsi="宋体"/>
          <w:color w:val="auto"/>
          <w:szCs w:val="21"/>
          <w:highlight w:val="none"/>
        </w:rPr>
        <w:t>(7)组织图纸会审和设计交底；</w:t>
      </w:r>
    </w:p>
    <w:p>
      <w:pPr>
        <w:spacing w:line="360" w:lineRule="auto"/>
        <w:ind w:left="344" w:leftChars="1" w:hanging="342" w:hangingChars="163"/>
        <w:jc w:val="left"/>
        <w:rPr>
          <w:rFonts w:ascii="宋体" w:hAnsi="宋体"/>
          <w:color w:val="auto"/>
          <w:szCs w:val="21"/>
          <w:highlight w:val="none"/>
        </w:rPr>
      </w:pPr>
      <w:r>
        <w:rPr>
          <w:rFonts w:hint="eastAsia" w:ascii="宋体" w:hAnsi="宋体"/>
          <w:color w:val="auto"/>
          <w:szCs w:val="21"/>
          <w:highlight w:val="none"/>
        </w:rPr>
        <w:t>(8)及时对隐蔽工程及变更工程进行验收确认，并按时支付工程款。</w:t>
      </w:r>
    </w:p>
    <w:p>
      <w:pPr>
        <w:spacing w:line="360" w:lineRule="auto"/>
        <w:ind w:left="2"/>
        <w:jc w:val="left"/>
        <w:rPr>
          <w:rFonts w:ascii="宋体" w:hAnsi="宋体"/>
          <w:color w:val="auto"/>
          <w:szCs w:val="21"/>
          <w:highlight w:val="none"/>
        </w:rPr>
      </w:pPr>
      <w:r>
        <w:rPr>
          <w:rFonts w:hint="eastAsia" w:ascii="宋体" w:hAnsi="宋体"/>
          <w:color w:val="auto"/>
          <w:szCs w:val="21"/>
          <w:highlight w:val="none"/>
        </w:rPr>
        <w:t xml:space="preserve">2.承包人工作的约定，包括但不限于： </w:t>
      </w:r>
    </w:p>
    <w:p>
      <w:pPr>
        <w:spacing w:line="360" w:lineRule="auto"/>
        <w:jc w:val="left"/>
        <w:rPr>
          <w:rFonts w:ascii="宋体" w:hAnsi="宋体"/>
          <w:color w:val="auto"/>
          <w:szCs w:val="21"/>
          <w:highlight w:val="none"/>
        </w:rPr>
      </w:pPr>
      <w:r>
        <w:rPr>
          <w:rFonts w:hint="eastAsia" w:ascii="宋体" w:hAnsi="宋体"/>
          <w:color w:val="auto"/>
          <w:szCs w:val="21"/>
          <w:highlight w:val="none"/>
        </w:rPr>
        <w:t>(1)在本合同签订之时，承包人应指定项目负责人，由其直接负责与发包人的联系工作。该项目负责人应在签订合同时提交在承包人处缴纳社保三个月或以上的证明。</w:t>
      </w:r>
    </w:p>
    <w:p>
      <w:pPr>
        <w:spacing w:line="360" w:lineRule="auto"/>
        <w:jc w:val="left"/>
        <w:rPr>
          <w:rFonts w:ascii="宋体" w:hAnsi="宋体"/>
          <w:color w:val="auto"/>
          <w:szCs w:val="21"/>
          <w:highlight w:val="none"/>
        </w:rPr>
      </w:pPr>
      <w:r>
        <w:rPr>
          <w:rFonts w:hint="eastAsia" w:ascii="宋体" w:hAnsi="宋体"/>
          <w:color w:val="auto"/>
          <w:szCs w:val="21"/>
          <w:highlight w:val="none"/>
        </w:rPr>
        <w:t>承包人项目负责人：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(2)严格按照工程进度计划施工，并按照要求提交工程进度报告和进度计划；保证不将工程违法、非法转包、分包，否则发包方有权追究承包方违约责任；</w:t>
      </w:r>
    </w:p>
    <w:p>
      <w:pPr>
        <w:spacing w:line="360" w:lineRule="auto"/>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按照合同约定和监理工程师的指令施工;</w:t>
      </w:r>
    </w:p>
    <w:p>
      <w:pPr>
        <w:spacing w:line="360" w:lineRule="auto"/>
        <w:jc w:val="left"/>
        <w:rPr>
          <w:rFonts w:ascii="宋体" w:hAnsi="宋体"/>
          <w:color w:val="auto"/>
          <w:szCs w:val="21"/>
          <w:highlight w:val="none"/>
        </w:rPr>
      </w:pPr>
      <w:r>
        <w:rPr>
          <w:rFonts w:hint="eastAsia" w:ascii="宋体" w:hAnsi="宋体"/>
          <w:color w:val="auto"/>
          <w:szCs w:val="21"/>
          <w:highlight w:val="none"/>
        </w:rPr>
        <w:t>(4)负责施工场地安全保卫工作，防止因工程施工造成的人身伤害和财产损失；</w:t>
      </w:r>
    </w:p>
    <w:p>
      <w:pPr>
        <w:spacing w:line="360" w:lineRule="auto"/>
        <w:jc w:val="left"/>
        <w:rPr>
          <w:rFonts w:ascii="宋体" w:hAnsi="宋体"/>
          <w:color w:val="auto"/>
          <w:szCs w:val="21"/>
          <w:highlight w:val="yellow"/>
        </w:rPr>
      </w:pPr>
      <w:r>
        <w:rPr>
          <w:rFonts w:hint="eastAsia" w:ascii="宋体" w:hAnsi="宋体"/>
          <w:color w:val="auto"/>
          <w:szCs w:val="21"/>
          <w:highlight w:val="yellow"/>
        </w:rPr>
        <w:t>(5)</w:t>
      </w:r>
      <w:r>
        <w:rPr>
          <w:rFonts w:hint="eastAsia" w:ascii="宋体" w:hAnsi="宋体"/>
          <w:color w:val="auto"/>
          <w:szCs w:val="21"/>
          <w:highlight w:val="yellow"/>
          <w:lang w:val="zh-CN"/>
        </w:rPr>
        <w:t>遵守有关施工场地交通、环境保护、施工噪声、安全文明施工等的管理规定，办理有关手续，承包人承担由此发生的费用</w:t>
      </w:r>
      <w:r>
        <w:rPr>
          <w:rFonts w:hint="eastAsia" w:ascii="宋体" w:hAnsi="宋体"/>
          <w:color w:val="auto"/>
          <w:szCs w:val="21"/>
          <w:highlight w:val="yellow"/>
        </w:rPr>
        <w:t>；</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(6)合同工程已竣工未移交给发包人之前，负责已完工程的照管工作。照管期间发生损坏的，应予以修复并承担费用；发包人要求采取特殊保护措施的，由发包人承担相应费用； </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rPr>
        <w:t>(7)</w:t>
      </w:r>
      <w:r>
        <w:rPr>
          <w:rFonts w:hint="eastAsia" w:ascii="宋体" w:hAnsi="宋体"/>
          <w:color w:val="auto"/>
          <w:szCs w:val="21"/>
          <w:highlight w:val="none"/>
          <w:lang w:val="zh-CN"/>
        </w:rPr>
        <w:t>做好施工场地地下管线和邻近建筑物、构筑物、古树名木的保护工作，并承担有关费用；</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(8)遵守</w:t>
      </w:r>
      <w:r>
        <w:rPr>
          <w:rFonts w:hint="eastAsia" w:ascii="宋体" w:hAnsi="宋体"/>
          <w:color w:val="auto"/>
          <w:szCs w:val="21"/>
          <w:highlight w:val="yellow"/>
          <w:lang w:val="en-US" w:eastAsia="zh-CN"/>
        </w:rPr>
        <w:t>施工场地</w:t>
      </w:r>
      <w:r>
        <w:rPr>
          <w:rFonts w:hint="eastAsia" w:ascii="宋体" w:hAnsi="宋体"/>
          <w:color w:val="auto"/>
          <w:szCs w:val="21"/>
          <w:highlight w:val="none"/>
        </w:rPr>
        <w:t xml:space="preserve">有关环境卫生的管理规定，做好交工前施工现场的清理工作和建筑垃圾清运工作，保证施工场地的清洁，承包人承担因自身责任造成的损失和罚款； </w:t>
      </w:r>
    </w:p>
    <w:p>
      <w:pPr>
        <w:spacing w:line="360" w:lineRule="auto"/>
        <w:ind w:left="2"/>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.现场签证管理。项目涉及的所有需要办理现场签证的工程，须由</w:t>
      </w:r>
      <w:r>
        <w:rPr>
          <w:rFonts w:hint="eastAsia" w:ascii="宋体" w:hAnsi="宋体"/>
          <w:color w:val="auto"/>
          <w:szCs w:val="21"/>
          <w:highlight w:val="none"/>
          <w:lang w:val="en-US" w:eastAsia="zh-CN"/>
        </w:rPr>
        <w:t>承包人</w:t>
      </w:r>
      <w:r>
        <w:rPr>
          <w:rFonts w:hint="eastAsia" w:ascii="宋体" w:hAnsi="宋体"/>
          <w:color w:val="auto"/>
          <w:szCs w:val="21"/>
          <w:highlight w:val="none"/>
        </w:rPr>
        <w:t>提出申请，并经监理单位和</w:t>
      </w:r>
      <w:r>
        <w:rPr>
          <w:rFonts w:hint="eastAsia" w:ascii="宋体" w:hAnsi="宋体"/>
          <w:color w:val="auto"/>
          <w:szCs w:val="21"/>
          <w:highlight w:val="none"/>
          <w:lang w:val="en-US" w:eastAsia="zh-CN"/>
        </w:rPr>
        <w:t>发包人</w:t>
      </w:r>
      <w:r>
        <w:rPr>
          <w:rFonts w:hint="eastAsia" w:ascii="宋体" w:hAnsi="宋体"/>
          <w:color w:val="auto"/>
          <w:szCs w:val="21"/>
          <w:highlight w:val="none"/>
        </w:rPr>
        <w:t xml:space="preserve">现场管理人员2人以上进行现场核查验收(含丈量、核实，拍照、绘制简易图，标明尺寸)，按照规定办理签证手续。 </w:t>
      </w:r>
    </w:p>
    <w:p>
      <w:pPr>
        <w:pStyle w:val="19"/>
        <w:spacing w:line="360" w:lineRule="auto"/>
        <w:ind w:left="4"/>
        <w:jc w:val="center"/>
        <w:rPr>
          <w:b/>
          <w:color w:val="auto"/>
          <w:sz w:val="21"/>
          <w:szCs w:val="21"/>
          <w:highlight w:val="none"/>
        </w:rPr>
      </w:pPr>
      <w:r>
        <w:rPr>
          <w:rFonts w:hint="eastAsia"/>
          <w:b/>
          <w:color w:val="auto"/>
          <w:sz w:val="21"/>
          <w:szCs w:val="21"/>
          <w:highlight w:val="none"/>
        </w:rPr>
        <w:t>第五条  工程质量管理</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1.承包人应严格遵守国家、省有关工程质量和施工安全的法律法规、标准与规范等规定，按照施工设计图纸和施工技术标准施工，不得偷工减料，不得擅自修改施工设计图纸，确保合同工程质量和施工安全。认真履行合同与磋商文件约定的工程质量和施工安全的职责和义务。</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 xml:space="preserve">2.承包人应在施工场地设置专门的工程质量和施工安全管理机构，配备专职管理人员，建立完善的管理制度。 </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3.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spacing w:line="360" w:lineRule="auto"/>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zh-CN"/>
        </w:rPr>
        <w:t>工程质量标准：</w:t>
      </w:r>
      <w:r>
        <w:rPr>
          <w:rFonts w:hint="eastAsia" w:ascii="宋体" w:hAnsi="宋体"/>
          <w:color w:val="auto"/>
          <w:szCs w:val="21"/>
          <w:highlight w:val="none"/>
          <w:u w:val="single"/>
          <w:lang w:val="zh-CN"/>
        </w:rPr>
        <w:t>达到国家或行业质量检验评定的合格标准</w:t>
      </w:r>
      <w:r>
        <w:rPr>
          <w:rFonts w:hint="eastAsia" w:ascii="宋体" w:hAnsi="宋体"/>
          <w:color w:val="auto"/>
          <w:szCs w:val="21"/>
          <w:highlight w:val="none"/>
          <w:lang w:val="zh-CN"/>
        </w:rPr>
        <w:t>。工程质量验收评定达不到约定的质量标准，由承包人付给发包人金额为合同总价10%的违约金，并无条件返工至合格。</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5.承包人对合同工程的质量向发包人负责，其职责包括但不限于下列内容：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(1)编制施工技术方案，确定施工技术措施；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(2)提供和组织足够的工程技术人员，检查和控制工程施工质量；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(3)把控施工所用的材料和工程设备，使其符合国家\省\市相关标准与规范、设计要求及合同的约定；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(4)负责合同工程施工中出现质量问题或竣工验收不合格的返修工作； </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(5)参加合同工程的所有验收工作，包括隐蔽验收、中间验收；参加竣工验收，组织发包人参加工程验收工作； </w:t>
      </w:r>
    </w:p>
    <w:p>
      <w:pPr>
        <w:spacing w:line="360" w:lineRule="auto"/>
        <w:jc w:val="left"/>
        <w:rPr>
          <w:rFonts w:ascii="宋体" w:hAnsi="宋体"/>
          <w:color w:val="auto"/>
          <w:szCs w:val="21"/>
          <w:highlight w:val="none"/>
        </w:rPr>
      </w:pPr>
      <w:r>
        <w:rPr>
          <w:rFonts w:hint="eastAsia" w:ascii="宋体" w:hAnsi="宋体"/>
          <w:color w:val="auto"/>
          <w:szCs w:val="21"/>
          <w:highlight w:val="none"/>
        </w:rPr>
        <w:t>(6)承担质量保修期的工程保修责任。</w:t>
      </w:r>
    </w:p>
    <w:p>
      <w:pPr>
        <w:spacing w:line="360" w:lineRule="auto"/>
        <w:jc w:val="left"/>
        <w:rPr>
          <w:rFonts w:ascii="宋体" w:hAnsi="宋体"/>
          <w:color w:val="auto"/>
          <w:szCs w:val="21"/>
          <w:highlight w:val="none"/>
        </w:rPr>
      </w:pPr>
      <w:r>
        <w:rPr>
          <w:rFonts w:hint="eastAsia" w:ascii="宋体" w:hAnsi="宋体"/>
          <w:color w:val="auto"/>
          <w:szCs w:val="21"/>
          <w:highlight w:val="none"/>
        </w:rPr>
        <w:t>6.承包人应建立健全完善的质量保证体系。在合同工程开工前，监理工程师有权要求承包人提交质量保证体系实施程序、施工质量检验制度和施工质量水平评定考核制度等文件、资料。</w:t>
      </w:r>
    </w:p>
    <w:p>
      <w:pPr>
        <w:pStyle w:val="19"/>
        <w:spacing w:line="360" w:lineRule="auto"/>
        <w:jc w:val="center"/>
        <w:rPr>
          <w:b/>
          <w:color w:val="auto"/>
          <w:sz w:val="21"/>
          <w:szCs w:val="21"/>
          <w:highlight w:val="none"/>
        </w:rPr>
      </w:pPr>
      <w:r>
        <w:rPr>
          <w:rFonts w:hint="eastAsia"/>
          <w:b/>
          <w:color w:val="auto"/>
          <w:sz w:val="21"/>
          <w:szCs w:val="21"/>
          <w:highlight w:val="none"/>
        </w:rPr>
        <w:t xml:space="preserve">第六条 </w:t>
      </w:r>
      <w:r>
        <w:rPr>
          <w:rFonts w:cs="Calibri"/>
          <w:b/>
          <w:color w:val="auto"/>
          <w:sz w:val="21"/>
          <w:szCs w:val="21"/>
          <w:highlight w:val="none"/>
        </w:rPr>
        <w:t> </w:t>
      </w:r>
      <w:r>
        <w:rPr>
          <w:rFonts w:hint="eastAsia"/>
          <w:b/>
          <w:color w:val="auto"/>
          <w:sz w:val="21"/>
          <w:szCs w:val="21"/>
          <w:highlight w:val="none"/>
        </w:rPr>
        <w:t>建筑材料、货物的供应和采购</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rPr>
        <w:t>1.</w:t>
      </w:r>
      <w:r>
        <w:rPr>
          <w:rFonts w:hint="eastAsia" w:ascii="宋体" w:hAnsi="宋体"/>
          <w:color w:val="auto"/>
          <w:szCs w:val="21"/>
          <w:highlight w:val="none"/>
          <w:lang w:val="zh-CN"/>
        </w:rPr>
        <w:t>承包人必须按磋商文件的材料品牌明细表中列明的材料、设备要求或磋商图纸要求，在施工中将选用的材料、设备品牌型号及设备配置的详细清单及样板报设计人、监理人、发包人批准后方可采购。否则，发包人对该材料、设备的费用将不予计量和结算，所造成的一切后果由承包人负责。</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 xml:space="preserve">承包人采购材料货物的其他要求： </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(1)承包人购买的材料、设备必须符合设计和规范要求，必须向发包人提供厂家批号、出厂合格证、质量检验书等资料证明，发包人可随时对承包人所购买的材料、设备进行监督、检查；</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 xml:space="preserve">(2)承包人必须按磋商图纸和施工技术标准施工，不得擅自修改工程设计，不得偷工减料，施工中每批进入工地的建筑材料、设备必须有监理工程师签字；  </w:t>
      </w:r>
    </w:p>
    <w:p>
      <w:pPr>
        <w:spacing w:line="360" w:lineRule="auto"/>
        <w:jc w:val="left"/>
        <w:rPr>
          <w:rFonts w:ascii="宋体" w:hAnsi="宋体"/>
          <w:color w:val="auto"/>
          <w:szCs w:val="21"/>
          <w:highlight w:val="none"/>
        </w:rPr>
      </w:pPr>
      <w:r>
        <w:rPr>
          <w:rFonts w:hint="eastAsia" w:ascii="宋体" w:hAnsi="宋体"/>
          <w:color w:val="auto"/>
          <w:szCs w:val="21"/>
          <w:highlight w:val="none"/>
          <w:lang w:val="zh-CN"/>
        </w:rPr>
        <w:t>(3)本工程对材料及设备的要求，若磋商文件的材料明细表、磋商图纸、工程量清单所注明的要求不相同时，均以材料明细表为准；若磋商图纸、工程量清单所注明的要求不相同时，则以磋商图纸为准。</w:t>
      </w:r>
    </w:p>
    <w:p>
      <w:pPr>
        <w:spacing w:line="360" w:lineRule="auto"/>
        <w:jc w:val="left"/>
        <w:rPr>
          <w:rFonts w:ascii="宋体" w:hAnsi="宋体"/>
          <w:color w:val="auto"/>
          <w:szCs w:val="21"/>
          <w:highlight w:val="none"/>
        </w:rPr>
      </w:pPr>
      <w:r>
        <w:rPr>
          <w:rFonts w:hint="eastAsia" w:ascii="宋体" w:hAnsi="宋体"/>
          <w:color w:val="auto"/>
          <w:szCs w:val="21"/>
          <w:highlight w:val="none"/>
        </w:rPr>
        <w:t>3.承包人应将各项材料和工程设备的供货人及品种、规格、数量和供货时间等情况以书面形式提交监理工程师确认，并由其报发包人批准后实施供货。承包人应在材料和工程设备到货前至少提前24 小时，以书面形式通知发包人和监理工程师，并在监理工程师的见证下与发包人共同清点。</w:t>
      </w:r>
    </w:p>
    <w:p>
      <w:pPr>
        <w:spacing w:line="360" w:lineRule="auto"/>
        <w:jc w:val="left"/>
        <w:rPr>
          <w:rFonts w:ascii="宋体" w:hAnsi="宋体"/>
          <w:color w:val="auto"/>
          <w:szCs w:val="21"/>
          <w:highlight w:val="none"/>
        </w:rPr>
      </w:pPr>
      <w:r>
        <w:rPr>
          <w:rFonts w:hint="eastAsia" w:ascii="宋体" w:hAnsi="宋体"/>
          <w:color w:val="auto"/>
          <w:szCs w:val="21"/>
          <w:highlight w:val="none"/>
        </w:rPr>
        <w:t>4.承包人采购的材料和工程设备不符合标准与规范、设计要求和合同约定的要求时，应按照监理工程师的指令将其运出施工场地，重新采购符合要求的产品，由此增加的费用和（或）延误的工期由承包人承担。</w:t>
      </w:r>
    </w:p>
    <w:p>
      <w:pPr>
        <w:spacing w:line="360" w:lineRule="auto"/>
        <w:jc w:val="left"/>
        <w:rPr>
          <w:rFonts w:ascii="宋体" w:hAnsi="宋体"/>
          <w:color w:val="auto"/>
          <w:szCs w:val="21"/>
          <w:highlight w:val="none"/>
        </w:rPr>
      </w:pPr>
      <w:r>
        <w:rPr>
          <w:rFonts w:hint="eastAsia" w:ascii="宋体" w:hAnsi="宋体"/>
          <w:color w:val="auto"/>
          <w:szCs w:val="21"/>
          <w:highlight w:val="none"/>
        </w:rPr>
        <w:t>5.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spacing w:line="360" w:lineRule="auto"/>
        <w:jc w:val="left"/>
        <w:rPr>
          <w:rFonts w:ascii="宋体" w:hAnsi="宋体"/>
          <w:color w:val="auto"/>
          <w:szCs w:val="21"/>
          <w:highlight w:val="none"/>
        </w:rPr>
      </w:pPr>
      <w:r>
        <w:rPr>
          <w:rFonts w:hint="eastAsia" w:ascii="宋体" w:hAnsi="宋体"/>
          <w:color w:val="auto"/>
          <w:szCs w:val="21"/>
          <w:highlight w:val="none"/>
        </w:rPr>
        <w:t>6.如果承包人不执行监理工程师按规定发出的指令,则发包人可自行或指派第三方执行该指令，由此发生的费用由承包人承担。该笔款项经造价工程师核实后，由发包人从应付或将付给或将付给承包人的工程款中扣除。</w:t>
      </w:r>
    </w:p>
    <w:p>
      <w:pPr>
        <w:spacing w:line="360" w:lineRule="auto"/>
        <w:jc w:val="left"/>
        <w:rPr>
          <w:rFonts w:ascii="宋体" w:hAnsi="宋体"/>
          <w:color w:val="auto"/>
          <w:szCs w:val="21"/>
          <w:highlight w:val="none"/>
        </w:rPr>
      </w:pPr>
      <w:r>
        <w:rPr>
          <w:rFonts w:hint="eastAsia" w:ascii="宋体" w:hAnsi="宋体"/>
          <w:color w:val="auto"/>
          <w:szCs w:val="21"/>
          <w:highlight w:val="none"/>
        </w:rPr>
        <w:t>7.由此引起合同价款的增减将根据兴宁市财政局的有关规定进行审定。</w:t>
      </w:r>
    </w:p>
    <w:p>
      <w:pPr>
        <w:pStyle w:val="19"/>
        <w:spacing w:line="360" w:lineRule="auto"/>
        <w:jc w:val="center"/>
        <w:rPr>
          <w:b/>
          <w:color w:val="auto"/>
          <w:sz w:val="21"/>
          <w:szCs w:val="21"/>
          <w:highlight w:val="none"/>
        </w:rPr>
      </w:pPr>
      <w:r>
        <w:rPr>
          <w:rFonts w:hint="eastAsia"/>
          <w:b/>
          <w:color w:val="auto"/>
          <w:sz w:val="21"/>
          <w:szCs w:val="21"/>
          <w:highlight w:val="none"/>
        </w:rPr>
        <w:t xml:space="preserve">第七条 </w:t>
      </w:r>
      <w:r>
        <w:rPr>
          <w:rFonts w:cs="Calibri"/>
          <w:b/>
          <w:color w:val="auto"/>
          <w:sz w:val="21"/>
          <w:szCs w:val="21"/>
          <w:highlight w:val="none"/>
        </w:rPr>
        <w:t> </w:t>
      </w:r>
      <w:r>
        <w:rPr>
          <w:rFonts w:hint="eastAsia"/>
          <w:b/>
          <w:color w:val="auto"/>
          <w:sz w:val="21"/>
          <w:szCs w:val="21"/>
          <w:highlight w:val="none"/>
        </w:rPr>
        <w:t>安全文明施工</w:t>
      </w:r>
    </w:p>
    <w:p>
      <w:pPr>
        <w:spacing w:line="360" w:lineRule="auto"/>
        <w:jc w:val="left"/>
        <w:rPr>
          <w:rFonts w:ascii="宋体" w:hAnsi="宋体"/>
          <w:color w:val="auto"/>
          <w:szCs w:val="21"/>
          <w:highlight w:val="none"/>
        </w:rPr>
      </w:pPr>
      <w:r>
        <w:rPr>
          <w:rFonts w:hint="eastAsia" w:ascii="宋体" w:hAnsi="宋体"/>
          <w:color w:val="auto"/>
          <w:szCs w:val="21"/>
          <w:highlight w:val="none"/>
        </w:rPr>
        <w:t>1.承包人应建立健全安全生产责任制，制定并落实安全生产规章制度，严格执行施工技术规范，自觉接受有关部门的监督和管理。</w:t>
      </w:r>
    </w:p>
    <w:p>
      <w:pPr>
        <w:spacing w:line="360" w:lineRule="auto"/>
        <w:jc w:val="left"/>
        <w:rPr>
          <w:rFonts w:ascii="宋体" w:hAnsi="宋体"/>
          <w:color w:val="auto"/>
          <w:szCs w:val="21"/>
          <w:highlight w:val="none"/>
        </w:rPr>
      </w:pPr>
      <w:r>
        <w:rPr>
          <w:rFonts w:hint="eastAsia" w:ascii="宋体" w:hAnsi="宋体"/>
          <w:color w:val="auto"/>
          <w:szCs w:val="21"/>
          <w:highlight w:val="none"/>
        </w:rPr>
        <w:t>2.承包人对安全文明施工费应专款专用，不得挪作他用，否则发包人有权责令其限期改正；逾期未改正的，可以责令其暂停施工，由此增加的费用和（或）延误的工期由承包人承担。</w:t>
      </w:r>
    </w:p>
    <w:p>
      <w:pPr>
        <w:spacing w:line="360" w:lineRule="auto"/>
        <w:jc w:val="left"/>
        <w:rPr>
          <w:rFonts w:ascii="宋体" w:hAnsi="宋体"/>
          <w:color w:val="auto"/>
          <w:szCs w:val="21"/>
          <w:highlight w:val="none"/>
        </w:rPr>
      </w:pPr>
      <w:r>
        <w:rPr>
          <w:rFonts w:hint="eastAsia" w:ascii="宋体" w:hAnsi="宋体"/>
          <w:color w:val="auto"/>
          <w:szCs w:val="21"/>
          <w:highlight w:val="none"/>
        </w:rPr>
        <w:t>3.承包人应在</w:t>
      </w:r>
      <w:bookmarkStart w:id="72" w:name="_GoBack"/>
      <w:bookmarkEnd w:id="72"/>
      <w:r>
        <w:rPr>
          <w:rFonts w:hint="eastAsia" w:ascii="宋体" w:hAnsi="宋体"/>
          <w:color w:val="auto"/>
          <w:szCs w:val="21"/>
          <w:highlight w:val="none"/>
        </w:rPr>
        <w:t>施工过程做到保护环境，清洁卫生，具体要求如下：</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(1)及时清理施工现场余泥、废弃泥石、建筑垃圾等杂物，保证现场清洁卫生；</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(2)严禁施工运输车辆超装滥载，运送土方、沙石、建筑垃圾等的车辆一律要封盖处理，对散落地面的要及时清扫洗，保持道路清洁；</w:t>
      </w:r>
    </w:p>
    <w:p>
      <w:pPr>
        <w:spacing w:line="360" w:lineRule="auto"/>
        <w:jc w:val="left"/>
        <w:rPr>
          <w:rFonts w:ascii="宋体" w:hAnsi="宋体"/>
          <w:color w:val="auto"/>
          <w:szCs w:val="21"/>
          <w:highlight w:val="none"/>
        </w:rPr>
      </w:pPr>
      <w:r>
        <w:rPr>
          <w:rFonts w:hint="eastAsia" w:ascii="宋体" w:hAnsi="宋体"/>
          <w:color w:val="auto"/>
          <w:szCs w:val="21"/>
          <w:highlight w:val="none"/>
          <w:lang w:val="zh-CN"/>
        </w:rPr>
        <w:t>(3)保持施工场地平整，材料要按规定分类堆放整齐，并插牌标明材料名称、规格，道路施工地段材料堆放不得影响道路交通。</w:t>
      </w:r>
    </w:p>
    <w:p>
      <w:pPr>
        <w:spacing w:line="360" w:lineRule="auto"/>
        <w:jc w:val="left"/>
        <w:rPr>
          <w:rFonts w:ascii="宋体" w:hAnsi="宋体"/>
          <w:color w:val="auto"/>
          <w:szCs w:val="21"/>
          <w:highlight w:val="none"/>
        </w:rPr>
      </w:pPr>
      <w:r>
        <w:rPr>
          <w:rFonts w:hint="eastAsia" w:ascii="宋体" w:hAnsi="宋体"/>
          <w:color w:val="auto"/>
          <w:szCs w:val="21"/>
          <w:highlight w:val="none"/>
        </w:rPr>
        <w:t xml:space="preserve">4.承包人应在施工过程中确保施工安全，具体要求如下：  </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(1)现场施工及管理人员要按规定颜色统一着装、佩带工作证、戴安全帽、穿反光衣，其中施工人员戴黄色安全帽，施工队技术人员戴白色安全帽，</w:t>
      </w:r>
      <w:r>
        <w:rPr>
          <w:rFonts w:hint="eastAsia" w:ascii="宋体" w:hAnsi="宋体"/>
          <w:color w:val="auto"/>
          <w:szCs w:val="21"/>
          <w:highlight w:val="none"/>
          <w:lang w:val="en-US" w:eastAsia="zh-CN"/>
        </w:rPr>
        <w:t>发包人</w:t>
      </w:r>
      <w:r>
        <w:rPr>
          <w:rFonts w:hint="eastAsia" w:ascii="宋体" w:hAnsi="宋体"/>
          <w:color w:val="auto"/>
          <w:szCs w:val="21"/>
          <w:highlight w:val="none"/>
          <w:lang w:val="zh-CN"/>
        </w:rPr>
        <w:t>的工作人员戴红色安全帽，所有安全帽上应标明单位名称；</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 xml:space="preserve">(2)高空作业须系安全带； </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 xml:space="preserve">(3)施工现场危险地段应设置明显安全标志，夜间须悬挂红色警示灯；  </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(4)挖掘作业时，承包人须指派技术人员现场指挥，确保各种管线的安全，大型机械作业应有专人指挥；</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 xml:space="preserve">(5)施工地段及工棚的临时电力、通信等设施，要按规范规程安装，严禁私拉乱接，开闸后应及时上锁，加强管理； </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 xml:space="preserve">(6)施工场所应按消防要求配置消防货物，加强保卫巡逻，消除各种安全隐患。  </w:t>
      </w:r>
    </w:p>
    <w:p>
      <w:pPr>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 xml:space="preserve">5.承包人应在施工过程中做好工地宣传工作，具体要求如下：  </w:t>
      </w:r>
    </w:p>
    <w:p>
      <w:pPr>
        <w:tabs>
          <w:tab w:val="left" w:pos="207"/>
        </w:tabs>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 xml:space="preserve">(1)施工现场应设置安全文明施工宣传标语，标语书写要规范、悬挂要整齐；  </w:t>
      </w:r>
    </w:p>
    <w:p>
      <w:pPr>
        <w:tabs>
          <w:tab w:val="left" w:pos="207"/>
        </w:tabs>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(2)施工场地要在显眼地方设置公示牌，公开工程名称、开工和竣工日期、设计单位、</w:t>
      </w:r>
      <w:r>
        <w:rPr>
          <w:rFonts w:hint="eastAsia" w:ascii="宋体" w:hAnsi="宋体"/>
          <w:color w:val="auto"/>
          <w:szCs w:val="21"/>
          <w:highlight w:val="none"/>
          <w:lang w:val="en-US" w:eastAsia="zh-CN"/>
        </w:rPr>
        <w:t>承包</w:t>
      </w:r>
      <w:r>
        <w:rPr>
          <w:rFonts w:hint="eastAsia" w:ascii="宋体" w:hAnsi="宋体"/>
          <w:color w:val="auto"/>
          <w:szCs w:val="21"/>
          <w:highlight w:val="none"/>
          <w:lang w:val="zh-CN"/>
        </w:rPr>
        <w:t xml:space="preserve">人及法人代表、承包人现场负责人（建造师）、技术负责人、监理单位、项目总监、现场监理代表、发包人项目负责人及投诉电话等内容；  </w:t>
      </w:r>
    </w:p>
    <w:p>
      <w:pPr>
        <w:tabs>
          <w:tab w:val="left" w:pos="207"/>
        </w:tabs>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 xml:space="preserve">(3)工地办公室要统一悬挂有关制度、岗位职责、人员分工安排、规程、图表及各种记录；  </w:t>
      </w:r>
    </w:p>
    <w:p>
      <w:pPr>
        <w:tabs>
          <w:tab w:val="left" w:pos="207"/>
        </w:tabs>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(4)</w:t>
      </w:r>
      <w:r>
        <w:rPr>
          <w:rFonts w:hint="eastAsia" w:ascii="宋体" w:hAnsi="宋体"/>
          <w:color w:val="auto"/>
          <w:szCs w:val="21"/>
          <w:highlight w:val="none"/>
          <w:lang w:val="en-US" w:eastAsia="zh-CN"/>
        </w:rPr>
        <w:t>承包</w:t>
      </w:r>
      <w:r>
        <w:rPr>
          <w:rFonts w:hint="eastAsia" w:ascii="宋体" w:hAnsi="宋体"/>
          <w:color w:val="auto"/>
          <w:szCs w:val="21"/>
          <w:highlight w:val="none"/>
          <w:lang w:val="zh-CN"/>
        </w:rPr>
        <w:t>人要加强安全教育，定期组织施工人员学习培训，组织安全知识考试，考试合格者才能上岗作业。</w:t>
      </w:r>
    </w:p>
    <w:p>
      <w:pPr>
        <w:spacing w:line="360" w:lineRule="auto"/>
        <w:jc w:val="left"/>
        <w:rPr>
          <w:rFonts w:ascii="宋体" w:hAnsi="宋体"/>
          <w:color w:val="auto"/>
          <w:szCs w:val="21"/>
          <w:highlight w:val="none"/>
        </w:rPr>
      </w:pPr>
      <w:r>
        <w:rPr>
          <w:rFonts w:hint="eastAsia" w:ascii="宋体" w:hAnsi="宋体"/>
          <w:color w:val="auto"/>
          <w:szCs w:val="21"/>
          <w:highlight w:val="none"/>
        </w:rPr>
        <w:t>6.承包人应依法参加工伤保险，依法为施工现场从事危险作业人员办理意外伤害保险，为从业人员缴纳保险费。因承包方在施工过程中造成的人身损害，赔偿责任由承包方承担。</w:t>
      </w:r>
    </w:p>
    <w:p>
      <w:pPr>
        <w:spacing w:line="360" w:lineRule="auto"/>
        <w:jc w:val="left"/>
        <w:rPr>
          <w:rFonts w:ascii="宋体" w:hAnsi="宋体"/>
          <w:color w:val="auto"/>
          <w:szCs w:val="21"/>
          <w:highlight w:val="none"/>
        </w:rPr>
      </w:pPr>
      <w:r>
        <w:rPr>
          <w:rFonts w:hint="eastAsia" w:ascii="宋体" w:hAnsi="宋体"/>
          <w:color w:val="auto"/>
          <w:szCs w:val="21"/>
          <w:highlight w:val="none"/>
        </w:rPr>
        <w:t>7.承包人应制定对危险性较大的分部分项工程及施工现场易发生重大安全事故的部位、环节的预防、监控措施和应急预案，配备必要的应急救援器材、设备。</w:t>
      </w:r>
    </w:p>
    <w:p>
      <w:pPr>
        <w:spacing w:line="360" w:lineRule="auto"/>
        <w:jc w:val="left"/>
        <w:rPr>
          <w:rFonts w:ascii="宋体" w:hAnsi="宋体"/>
          <w:color w:val="auto"/>
          <w:szCs w:val="21"/>
          <w:highlight w:val="none"/>
        </w:rPr>
      </w:pPr>
      <w:r>
        <w:rPr>
          <w:rFonts w:hint="eastAsia" w:ascii="宋体" w:hAnsi="宋体"/>
          <w:color w:val="auto"/>
          <w:szCs w:val="21"/>
          <w:highlight w:val="none"/>
        </w:rPr>
        <w:t>8.承包人应建立健全施工现场安全管理档案、台账，认真履行法律法规规定的其他责任。</w:t>
      </w:r>
    </w:p>
    <w:p>
      <w:pPr>
        <w:spacing w:line="360" w:lineRule="auto"/>
        <w:jc w:val="left"/>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.项目的施工人员及车辆进出</w:t>
      </w:r>
      <w:r>
        <w:rPr>
          <w:rFonts w:hint="eastAsia" w:ascii="宋体" w:hAnsi="宋体"/>
          <w:color w:val="auto"/>
          <w:szCs w:val="21"/>
          <w:highlight w:val="yellow"/>
          <w:lang w:val="en-US" w:eastAsia="zh-CN"/>
        </w:rPr>
        <w:t>施工场地</w:t>
      </w:r>
      <w:r>
        <w:rPr>
          <w:rFonts w:hint="eastAsia" w:ascii="宋体" w:hAnsi="宋体"/>
          <w:color w:val="auto"/>
          <w:szCs w:val="21"/>
          <w:highlight w:val="none"/>
        </w:rPr>
        <w:t>将严格遵守</w:t>
      </w:r>
      <w:r>
        <w:rPr>
          <w:rFonts w:hint="eastAsia" w:ascii="宋体" w:hAnsi="宋体" w:cs="黑体"/>
          <w:color w:val="auto"/>
          <w:highlight w:val="none"/>
          <w:lang w:val="en-US" w:eastAsia="zh-CN"/>
        </w:rPr>
        <w:t>发包人</w:t>
      </w:r>
      <w:r>
        <w:rPr>
          <w:rFonts w:hint="eastAsia" w:ascii="宋体" w:hAnsi="宋体"/>
          <w:color w:val="auto"/>
          <w:szCs w:val="21"/>
          <w:highlight w:val="none"/>
        </w:rPr>
        <w:t>相关管理规定，维护</w:t>
      </w:r>
      <w:r>
        <w:rPr>
          <w:rFonts w:hint="eastAsia" w:ascii="宋体" w:hAnsi="宋体"/>
          <w:color w:val="auto"/>
          <w:szCs w:val="21"/>
          <w:highlight w:val="yellow"/>
          <w:lang w:val="en-US" w:eastAsia="zh-CN"/>
        </w:rPr>
        <w:t>施工场地</w:t>
      </w:r>
      <w:r>
        <w:rPr>
          <w:rFonts w:hint="eastAsia" w:ascii="宋体" w:hAnsi="宋体"/>
          <w:color w:val="auto"/>
          <w:szCs w:val="21"/>
          <w:highlight w:val="none"/>
        </w:rPr>
        <w:t>的安全稳定。</w:t>
      </w:r>
    </w:p>
    <w:p>
      <w:pPr>
        <w:pStyle w:val="19"/>
        <w:spacing w:line="360" w:lineRule="auto"/>
        <w:jc w:val="center"/>
        <w:rPr>
          <w:b/>
          <w:color w:val="auto"/>
          <w:sz w:val="21"/>
          <w:szCs w:val="21"/>
          <w:highlight w:val="none"/>
        </w:rPr>
      </w:pPr>
      <w:r>
        <w:rPr>
          <w:rFonts w:hint="eastAsia"/>
          <w:b/>
          <w:color w:val="auto"/>
          <w:sz w:val="21"/>
          <w:szCs w:val="21"/>
          <w:highlight w:val="none"/>
        </w:rPr>
        <w:t>第八条  工程的支付、结算及质量保证金的约定</w:t>
      </w:r>
    </w:p>
    <w:p>
      <w:pPr>
        <w:spacing w:line="360" w:lineRule="auto"/>
        <w:jc w:val="left"/>
        <w:rPr>
          <w:rFonts w:ascii="宋体" w:hAnsi="宋体"/>
          <w:color w:val="auto"/>
          <w:szCs w:val="21"/>
          <w:highlight w:val="none"/>
        </w:rPr>
      </w:pPr>
      <w:r>
        <w:rPr>
          <w:rFonts w:hint="eastAsia" w:ascii="宋体" w:hAnsi="宋体"/>
          <w:color w:val="auto"/>
          <w:szCs w:val="21"/>
          <w:highlight w:val="none"/>
        </w:rPr>
        <w:t>一、工程的支付、结算</w:t>
      </w:r>
    </w:p>
    <w:p>
      <w:pPr>
        <w:spacing w:line="360" w:lineRule="auto"/>
        <w:jc w:val="left"/>
        <w:rPr>
          <w:rFonts w:ascii="宋体" w:hAnsi="宋体" w:cs="黑体"/>
          <w:color w:val="auto"/>
          <w:highlight w:val="none"/>
        </w:rPr>
      </w:pPr>
      <w:r>
        <w:rPr>
          <w:rFonts w:hint="eastAsia" w:ascii="宋体" w:hAnsi="宋体" w:cs="黑体"/>
          <w:color w:val="auto"/>
          <w:highlight w:val="none"/>
        </w:rPr>
        <w:t>1.签订合同并确认进场后 10 个工作日内，支付合同总价（不含暂列金额、暂估价）的 30%。预付款按照期中应支付进度款的50%的比例逐步扣回，直到扣完为止；</w:t>
      </w:r>
    </w:p>
    <w:p>
      <w:pPr>
        <w:spacing w:line="360" w:lineRule="auto"/>
        <w:jc w:val="left"/>
        <w:rPr>
          <w:rFonts w:ascii="宋体" w:hAnsi="宋体" w:cs="黑体"/>
          <w:color w:val="auto"/>
          <w:highlight w:val="none"/>
        </w:rPr>
      </w:pPr>
      <w:r>
        <w:rPr>
          <w:rFonts w:hint="eastAsia" w:ascii="宋体" w:hAnsi="宋体" w:cs="黑体"/>
          <w:color w:val="auto"/>
          <w:highlight w:val="none"/>
        </w:rPr>
        <w:t xml:space="preserve">2.工程款按工程施工进度付款，具体为： </w:t>
      </w:r>
    </w:p>
    <w:p>
      <w:pPr>
        <w:spacing w:line="360" w:lineRule="auto"/>
        <w:jc w:val="left"/>
        <w:rPr>
          <w:rFonts w:ascii="宋体" w:hAnsi="宋体" w:cs="黑体"/>
          <w:color w:val="auto"/>
          <w:highlight w:val="none"/>
        </w:rPr>
      </w:pPr>
      <w:r>
        <w:rPr>
          <w:rFonts w:hint="eastAsia" w:ascii="宋体" w:hAnsi="宋体" w:cs="黑体"/>
          <w:color w:val="auto"/>
          <w:highlight w:val="none"/>
        </w:rPr>
        <w:t>1)工程款按工程施工进度付款，付款申请最低额度不少于合同价(不含暂列金额、暂估价)的5%；</w:t>
      </w:r>
    </w:p>
    <w:p>
      <w:pPr>
        <w:spacing w:line="360" w:lineRule="auto"/>
        <w:jc w:val="left"/>
        <w:rPr>
          <w:rFonts w:ascii="宋体" w:hAnsi="宋体" w:cs="黑体"/>
          <w:color w:val="auto"/>
          <w:highlight w:val="none"/>
        </w:rPr>
      </w:pPr>
      <w:r>
        <w:rPr>
          <w:rFonts w:hint="eastAsia" w:ascii="宋体" w:hAnsi="宋体" w:cs="黑体"/>
          <w:color w:val="auto"/>
          <w:highlight w:val="none"/>
        </w:rPr>
        <w:t>2)竣工验收合格后，最高付至工程合同价内实际完成工程造价(不含暂列金额、暂估价)的90%，最低付至工程合同价内实际完成工程造价(不含暂列金额、暂估价)的80%；暂列金额、暂估价以合同内暂定的金额为支付限额，进度款按实际完成工程造价的80%支付；经</w:t>
      </w:r>
      <w:r>
        <w:rPr>
          <w:rFonts w:hint="eastAsia" w:ascii="宋体" w:hAnsi="宋体" w:cs="黑体"/>
          <w:color w:val="auto"/>
          <w:highlight w:val="none"/>
          <w:lang w:val="en-US" w:eastAsia="zh-CN"/>
        </w:rPr>
        <w:t>发包人</w:t>
      </w:r>
      <w:r>
        <w:rPr>
          <w:rFonts w:hint="eastAsia" w:ascii="宋体" w:hAnsi="宋体" w:cs="黑体"/>
          <w:color w:val="auto"/>
          <w:highlight w:val="none"/>
        </w:rPr>
        <w:t>上级主管部门批准增加部分，经</w:t>
      </w:r>
      <w:r>
        <w:rPr>
          <w:rFonts w:hint="eastAsia" w:ascii="宋体" w:hAnsi="宋体" w:cs="黑体"/>
          <w:color w:val="auto"/>
          <w:highlight w:val="none"/>
          <w:lang w:val="en-US" w:eastAsia="zh-CN"/>
        </w:rPr>
        <w:t>发包人</w:t>
      </w:r>
      <w:r>
        <w:rPr>
          <w:rFonts w:hint="eastAsia" w:ascii="宋体" w:hAnsi="宋体" w:cs="黑体"/>
          <w:color w:val="auto"/>
          <w:highlight w:val="none"/>
        </w:rPr>
        <w:t>及上级单位召开协调会同意增加部分的工程款按实际完成工程造价的80%支付，具体在补充合同中约定；待工程竣工验收合格并经</w:t>
      </w:r>
      <w:r>
        <w:rPr>
          <w:rFonts w:hint="eastAsia" w:ascii="宋体" w:hAnsi="宋体" w:cs="黑体"/>
          <w:color w:val="auto"/>
          <w:highlight w:val="none"/>
          <w:lang w:val="en-US" w:eastAsia="zh-CN"/>
        </w:rPr>
        <w:t>发包人</w:t>
      </w:r>
      <w:r>
        <w:rPr>
          <w:rFonts w:hint="eastAsia" w:ascii="宋体" w:hAnsi="宋体" w:cs="黑体"/>
          <w:color w:val="auto"/>
          <w:highlight w:val="none"/>
        </w:rPr>
        <w:t>上级主管部门委托的有资质的第三方审核机构对结算审核定案后，扣除质量保证金合同结算总额的3%，其余款在上级单位年度预算拨款到位后30个工作日内付清</w:t>
      </w:r>
    </w:p>
    <w:p>
      <w:pPr>
        <w:spacing w:line="360" w:lineRule="auto"/>
        <w:jc w:val="left"/>
        <w:rPr>
          <w:rFonts w:hint="eastAsia" w:ascii="宋体" w:hAnsi="宋体" w:cs="黑体"/>
          <w:color w:val="auto"/>
          <w:highlight w:val="none"/>
        </w:rPr>
      </w:pPr>
      <w:r>
        <w:rPr>
          <w:rFonts w:hint="eastAsia" w:ascii="宋体" w:hAnsi="宋体" w:cs="黑体"/>
          <w:color w:val="auto"/>
          <w:highlight w:val="none"/>
        </w:rPr>
        <w:t>3.支付说明:</w:t>
      </w:r>
      <w:r>
        <w:rPr>
          <w:rFonts w:hint="eastAsia" w:ascii="宋体" w:hAnsi="宋体" w:cs="黑体"/>
          <w:color w:val="auto"/>
          <w:highlight w:val="none"/>
          <w:lang w:val="en-US" w:eastAsia="zh-CN"/>
        </w:rPr>
        <w:t>承包人</w:t>
      </w:r>
      <w:r>
        <w:rPr>
          <w:rFonts w:hint="eastAsia" w:ascii="宋体" w:hAnsi="宋体" w:cs="黑体"/>
          <w:color w:val="auto"/>
          <w:highlight w:val="none"/>
        </w:rPr>
        <w:t>将“完成工程量清单”和“工程付款申请书”等相关的资料呈报监理单位、</w:t>
      </w:r>
      <w:r>
        <w:rPr>
          <w:rFonts w:hint="eastAsia" w:ascii="宋体" w:hAnsi="宋体" w:cs="黑体"/>
          <w:color w:val="auto"/>
          <w:highlight w:val="none"/>
          <w:lang w:val="en-US" w:eastAsia="zh-CN"/>
        </w:rPr>
        <w:t>发包人</w:t>
      </w:r>
      <w:r>
        <w:rPr>
          <w:rFonts w:hint="eastAsia" w:ascii="宋体" w:hAnsi="宋体" w:cs="黑体"/>
          <w:color w:val="auto"/>
          <w:highlight w:val="none"/>
        </w:rPr>
        <w:t>以及上级单位核实,并经有关审批程序审批并在上级单位年度预算拨款到位后30个工作日内直接支付工程款至</w:t>
      </w:r>
      <w:r>
        <w:rPr>
          <w:rFonts w:hint="eastAsia" w:ascii="宋体" w:hAnsi="宋体" w:cs="黑体"/>
          <w:color w:val="auto"/>
          <w:highlight w:val="none"/>
          <w:lang w:val="en-US" w:eastAsia="zh-CN"/>
        </w:rPr>
        <w:t>承包人</w:t>
      </w:r>
      <w:r>
        <w:rPr>
          <w:rFonts w:hint="eastAsia" w:ascii="宋体" w:hAnsi="宋体" w:cs="黑体"/>
          <w:color w:val="auto"/>
          <w:highlight w:val="none"/>
        </w:rPr>
        <w:t>基本账户。</w:t>
      </w:r>
    </w:p>
    <w:p>
      <w:pPr>
        <w:spacing w:line="360" w:lineRule="auto"/>
        <w:jc w:val="left"/>
        <w:rPr>
          <w:rFonts w:hint="default" w:ascii="宋体" w:hAnsi="宋体" w:eastAsia="宋体" w:cs="黑体"/>
          <w:color w:val="auto"/>
          <w:highlight w:val="none"/>
          <w:lang w:val="en-US" w:eastAsia="zh-CN"/>
        </w:rPr>
      </w:pPr>
      <w:r>
        <w:rPr>
          <w:rFonts w:hint="eastAsia" w:ascii="宋体" w:hAnsi="宋体" w:cs="黑体"/>
          <w:color w:val="auto"/>
          <w:highlight w:val="none"/>
          <w:lang w:val="en-US" w:eastAsia="zh-CN"/>
        </w:rPr>
        <w:t>4.</w:t>
      </w:r>
      <w:r>
        <w:rPr>
          <w:rFonts w:hint="eastAsia" w:ascii="宋体" w:hAnsi="宋体"/>
          <w:color w:val="auto"/>
          <w:szCs w:val="21"/>
          <w:highlight w:val="none"/>
        </w:rPr>
        <w:t>付款前提为上级单位年度预算拨款到位。</w:t>
      </w:r>
    </w:p>
    <w:p>
      <w:pPr>
        <w:pStyle w:val="19"/>
        <w:spacing w:line="360" w:lineRule="auto"/>
        <w:jc w:val="center"/>
        <w:rPr>
          <w:b/>
          <w:color w:val="auto"/>
          <w:sz w:val="21"/>
          <w:szCs w:val="21"/>
          <w:highlight w:val="none"/>
        </w:rPr>
      </w:pPr>
      <w:r>
        <w:rPr>
          <w:rFonts w:hint="eastAsia"/>
          <w:b/>
          <w:color w:val="auto"/>
          <w:sz w:val="21"/>
          <w:szCs w:val="21"/>
          <w:highlight w:val="none"/>
        </w:rPr>
        <w:t>第九条 竣工验收</w:t>
      </w:r>
    </w:p>
    <w:p>
      <w:pPr>
        <w:spacing w:line="360" w:lineRule="auto"/>
        <w:jc w:val="left"/>
        <w:rPr>
          <w:rFonts w:ascii="宋体" w:hAnsi="宋体"/>
          <w:color w:val="auto"/>
          <w:szCs w:val="21"/>
          <w:highlight w:val="none"/>
        </w:rPr>
      </w:pPr>
      <w:r>
        <w:rPr>
          <w:rFonts w:hint="eastAsia" w:ascii="宋体" w:hAnsi="宋体"/>
          <w:color w:val="auto"/>
          <w:szCs w:val="21"/>
          <w:highlight w:val="none"/>
        </w:rPr>
        <w:t>1.工程交接后，承包人应按照以下要求对施工场地进行清理，直至监理工程师检验合格为止。竣工清场费用由承包人承担。</w:t>
      </w:r>
    </w:p>
    <w:p>
      <w:pPr>
        <w:spacing w:line="440" w:lineRule="exact"/>
        <w:jc w:val="left"/>
        <w:rPr>
          <w:rFonts w:ascii="宋体" w:hAnsi="宋体"/>
          <w:color w:val="auto"/>
          <w:szCs w:val="21"/>
          <w:highlight w:val="none"/>
        </w:rPr>
      </w:pPr>
      <w:r>
        <w:rPr>
          <w:rFonts w:hint="eastAsia" w:ascii="宋体" w:hAnsi="宋体"/>
          <w:color w:val="auto"/>
          <w:szCs w:val="21"/>
          <w:highlight w:val="none"/>
        </w:rPr>
        <w:t>(1)施工场地内残留的垃圾已全部清除出场；</w:t>
      </w:r>
    </w:p>
    <w:p>
      <w:pPr>
        <w:spacing w:line="440" w:lineRule="exact"/>
        <w:jc w:val="left"/>
        <w:rPr>
          <w:rFonts w:ascii="宋体" w:hAnsi="宋体"/>
          <w:color w:val="auto"/>
          <w:szCs w:val="21"/>
          <w:highlight w:val="none"/>
        </w:rPr>
      </w:pPr>
      <w:r>
        <w:rPr>
          <w:rFonts w:hint="eastAsia" w:ascii="宋体" w:hAnsi="宋体"/>
          <w:color w:val="auto"/>
          <w:szCs w:val="21"/>
          <w:highlight w:val="none"/>
        </w:rPr>
        <w:t>(2)临时设施已拆除，场地已按照合同要求进行清理、平整或复原；</w:t>
      </w:r>
    </w:p>
    <w:p>
      <w:pPr>
        <w:spacing w:line="440" w:lineRule="exact"/>
        <w:jc w:val="left"/>
        <w:rPr>
          <w:rFonts w:ascii="宋体" w:hAnsi="宋体"/>
          <w:color w:val="auto"/>
          <w:szCs w:val="21"/>
          <w:highlight w:val="none"/>
        </w:rPr>
      </w:pPr>
      <w:r>
        <w:rPr>
          <w:rFonts w:hint="eastAsia" w:ascii="宋体" w:hAnsi="宋体"/>
          <w:color w:val="auto"/>
          <w:szCs w:val="21"/>
          <w:highlight w:val="none"/>
        </w:rPr>
        <w:t>(3)按照合同约定应撤离的承包人设备和剩余的材料，包括废弃的施工设备和材料，已按照计划撤离施工场地；</w:t>
      </w:r>
    </w:p>
    <w:p>
      <w:pPr>
        <w:spacing w:line="440" w:lineRule="exact"/>
        <w:jc w:val="left"/>
        <w:rPr>
          <w:rFonts w:ascii="宋体" w:hAnsi="宋体"/>
          <w:color w:val="auto"/>
          <w:szCs w:val="21"/>
          <w:highlight w:val="none"/>
        </w:rPr>
      </w:pPr>
      <w:r>
        <w:rPr>
          <w:rFonts w:hint="eastAsia" w:ascii="宋体" w:hAnsi="宋体"/>
          <w:color w:val="auto"/>
          <w:szCs w:val="21"/>
          <w:highlight w:val="none"/>
        </w:rPr>
        <w:t>(4)建筑物周边及其附近道路、河道的施工堆积物，已按照监理工程师指示全部清理；</w:t>
      </w:r>
    </w:p>
    <w:p>
      <w:pPr>
        <w:spacing w:line="440" w:lineRule="exact"/>
        <w:jc w:val="left"/>
        <w:rPr>
          <w:rFonts w:ascii="宋体" w:hAnsi="宋体"/>
          <w:color w:val="auto"/>
          <w:szCs w:val="21"/>
          <w:highlight w:val="none"/>
        </w:rPr>
      </w:pPr>
      <w:r>
        <w:rPr>
          <w:rFonts w:hint="eastAsia" w:ascii="宋体" w:hAnsi="宋体"/>
          <w:color w:val="auto"/>
          <w:szCs w:val="21"/>
          <w:highlight w:val="none"/>
        </w:rPr>
        <w:t>(5)监理工程师指示的其他场地清理工作已全部完成。 如承包人未按照监理工程师的要求恢复临时占地，或者场地清理未达到合同约定的，发包人可自行或委托第三方恢复或清理，所发生的费用从应支付或将支付给承包人的款项中扣除。</w:t>
      </w:r>
    </w:p>
    <w:p>
      <w:pPr>
        <w:pStyle w:val="19"/>
        <w:spacing w:line="360" w:lineRule="auto"/>
        <w:jc w:val="center"/>
        <w:rPr>
          <w:b/>
          <w:color w:val="auto"/>
          <w:sz w:val="21"/>
          <w:szCs w:val="21"/>
          <w:highlight w:val="none"/>
        </w:rPr>
      </w:pPr>
      <w:r>
        <w:rPr>
          <w:rFonts w:hint="eastAsia"/>
          <w:b/>
          <w:color w:val="auto"/>
          <w:sz w:val="21"/>
          <w:szCs w:val="21"/>
          <w:highlight w:val="none"/>
        </w:rPr>
        <w:t xml:space="preserve">第十条 </w:t>
      </w:r>
      <w:r>
        <w:rPr>
          <w:rFonts w:cs="Calibri"/>
          <w:b/>
          <w:color w:val="auto"/>
          <w:sz w:val="21"/>
          <w:szCs w:val="21"/>
          <w:highlight w:val="none"/>
        </w:rPr>
        <w:t> </w:t>
      </w:r>
      <w:r>
        <w:rPr>
          <w:rFonts w:hint="eastAsia"/>
          <w:b/>
          <w:color w:val="auto"/>
          <w:sz w:val="21"/>
          <w:szCs w:val="21"/>
          <w:highlight w:val="none"/>
        </w:rPr>
        <w:t>质量保修</w:t>
      </w:r>
    </w:p>
    <w:p>
      <w:pPr>
        <w:spacing w:line="360" w:lineRule="auto"/>
        <w:jc w:val="left"/>
        <w:rPr>
          <w:rFonts w:ascii="宋体" w:hAnsi="宋体"/>
          <w:color w:val="auto"/>
          <w:szCs w:val="21"/>
          <w:highlight w:val="none"/>
        </w:rPr>
      </w:pPr>
      <w:r>
        <w:rPr>
          <w:rFonts w:hint="eastAsia" w:ascii="宋体" w:hAnsi="宋体"/>
          <w:color w:val="auto"/>
          <w:szCs w:val="21"/>
          <w:highlight w:val="none"/>
        </w:rPr>
        <w:t>1.在工程移交发包人后，承包人仍应按合同约定的工程各部位保修年限承担保修义务。</w:t>
      </w:r>
    </w:p>
    <w:p>
      <w:pPr>
        <w:spacing w:line="360" w:lineRule="auto"/>
        <w:jc w:val="left"/>
        <w:rPr>
          <w:rFonts w:ascii="宋体" w:hAnsi="宋体"/>
          <w:color w:val="auto"/>
          <w:szCs w:val="21"/>
          <w:highlight w:val="none"/>
        </w:rPr>
      </w:pPr>
      <w:r>
        <w:rPr>
          <w:rFonts w:hint="eastAsia" w:ascii="宋体" w:hAnsi="宋体"/>
          <w:color w:val="auto"/>
          <w:szCs w:val="21"/>
          <w:highlight w:val="none"/>
        </w:rPr>
        <w:t>2.质保期的约定：本工程质保期为：</w:t>
      </w:r>
      <w:r>
        <w:rPr>
          <w:rFonts w:hint="eastAsia" w:ascii="宋体" w:hAnsi="宋体"/>
          <w:color w:val="auto"/>
          <w:szCs w:val="21"/>
          <w:highlight w:val="none"/>
          <w:u w:val="single"/>
        </w:rPr>
        <w:t xml:space="preserve">     </w:t>
      </w:r>
      <w:r>
        <w:rPr>
          <w:rFonts w:hint="eastAsia" w:ascii="宋体" w:hAnsi="宋体"/>
          <w:color w:val="auto"/>
          <w:szCs w:val="21"/>
          <w:highlight w:val="none"/>
        </w:rPr>
        <w:t>年，</w:t>
      </w:r>
      <w:bookmarkStart w:id="43" w:name="_Hlk18332191"/>
      <w:r>
        <w:rPr>
          <w:rFonts w:hint="eastAsia" w:ascii="宋体" w:hAnsi="宋体"/>
          <w:color w:val="auto"/>
          <w:szCs w:val="21"/>
          <w:highlight w:val="none"/>
        </w:rPr>
        <w:t>质保期</w:t>
      </w:r>
      <w:bookmarkEnd w:id="43"/>
      <w:r>
        <w:rPr>
          <w:rFonts w:hint="eastAsia" w:ascii="宋体" w:hAnsi="宋体"/>
          <w:color w:val="auto"/>
          <w:szCs w:val="21"/>
          <w:highlight w:val="none"/>
        </w:rPr>
        <w:t>自验收合格之日期起计算。</w:t>
      </w:r>
    </w:p>
    <w:p>
      <w:pPr>
        <w:spacing w:line="360" w:lineRule="auto"/>
        <w:jc w:val="left"/>
        <w:rPr>
          <w:rFonts w:ascii="宋体" w:hAnsi="宋体"/>
          <w:color w:val="auto"/>
          <w:szCs w:val="21"/>
          <w:highlight w:val="none"/>
        </w:rPr>
      </w:pPr>
      <w:r>
        <w:rPr>
          <w:rFonts w:hint="eastAsia" w:ascii="宋体" w:hAnsi="宋体"/>
          <w:color w:val="auto"/>
          <w:szCs w:val="21"/>
          <w:highlight w:val="none"/>
        </w:rPr>
        <w:t>3.工程质量保修期限的约定：</w:t>
      </w:r>
    </w:p>
    <w:p>
      <w:pPr>
        <w:spacing w:line="360" w:lineRule="auto"/>
        <w:rPr>
          <w:rFonts w:ascii="宋体" w:hAnsi="宋体"/>
          <w:color w:val="auto"/>
          <w:szCs w:val="21"/>
          <w:highlight w:val="none"/>
        </w:rPr>
      </w:pPr>
      <w:r>
        <w:rPr>
          <w:rFonts w:hint="eastAsia" w:ascii="宋体" w:hAnsi="宋体"/>
          <w:color w:val="auto"/>
          <w:szCs w:val="21"/>
          <w:highlight w:val="none"/>
        </w:rPr>
        <w:t>(1)电气管线工程、给排水管道工程、货物安装工程为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p>
    <w:p>
      <w:pPr>
        <w:spacing w:line="360" w:lineRule="auto"/>
        <w:rPr>
          <w:rFonts w:ascii="宋体" w:hAnsi="宋体"/>
          <w:color w:val="auto"/>
          <w:szCs w:val="21"/>
          <w:highlight w:val="none"/>
        </w:rPr>
      </w:pPr>
      <w:r>
        <w:rPr>
          <w:rFonts w:hint="eastAsia" w:ascii="宋体" w:hAnsi="宋体"/>
          <w:color w:val="auto"/>
          <w:szCs w:val="21"/>
          <w:highlight w:val="none"/>
        </w:rPr>
        <w:t>(2)装饰装修工程为</w:t>
      </w:r>
      <w:r>
        <w:rPr>
          <w:rFonts w:hint="eastAsia" w:ascii="宋体" w:hAnsi="宋体"/>
          <w:color w:val="auto"/>
          <w:szCs w:val="21"/>
          <w:highlight w:val="none"/>
          <w:u w:val="single"/>
        </w:rPr>
        <w:t xml:space="preserve">   </w:t>
      </w:r>
      <w:r>
        <w:rPr>
          <w:rFonts w:hint="eastAsia" w:ascii="宋体" w:hAnsi="宋体"/>
          <w:color w:val="auto"/>
          <w:szCs w:val="21"/>
          <w:highlight w:val="none"/>
        </w:rPr>
        <w:t>年；</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其他项目为</w:t>
      </w:r>
      <w:r>
        <w:rPr>
          <w:rFonts w:hint="eastAsia" w:ascii="宋体" w:hAnsi="宋体"/>
          <w:color w:val="auto"/>
          <w:szCs w:val="21"/>
          <w:highlight w:val="none"/>
          <w:u w:val="single"/>
        </w:rPr>
        <w:t xml:space="preserve">      </w:t>
      </w:r>
      <w:r>
        <w:rPr>
          <w:rFonts w:hint="eastAsia" w:ascii="宋体" w:hAnsi="宋体"/>
          <w:color w:val="auto"/>
          <w:szCs w:val="21"/>
          <w:highlight w:val="none"/>
        </w:rPr>
        <w:t>年。</w:t>
      </w:r>
    </w:p>
    <w:p>
      <w:pPr>
        <w:spacing w:line="360" w:lineRule="auto"/>
        <w:jc w:val="left"/>
        <w:rPr>
          <w:rFonts w:ascii="宋体" w:hAnsi="宋体"/>
          <w:color w:val="auto"/>
          <w:szCs w:val="21"/>
          <w:highlight w:val="none"/>
        </w:rPr>
      </w:pPr>
      <w:r>
        <w:rPr>
          <w:rFonts w:hint="eastAsia" w:ascii="宋体" w:hAnsi="宋体"/>
          <w:color w:val="auto"/>
          <w:szCs w:val="21"/>
          <w:highlight w:val="none"/>
        </w:rPr>
        <w:t>4.工程质量保修期内，因承包人原因造成的质量问题，承包人应负责维修，并承担鉴定及维修费用。如承包人不维修也不承担费用，发包人可按合同约定从质保金中扣除，费用超出质保金额的，发包人可按合同约定向承包人进行索赔。承包人维修并承担相应费用后，不免除对工程的损失赔偿责任。承发包人有权要求承包人延长保修期，并应在原质量保修期届满前发出延长通知。扣除质量保修的各项支出后，承包方应再补齐相应的质量保证金。</w:t>
      </w:r>
    </w:p>
    <w:p>
      <w:pPr>
        <w:spacing w:line="360" w:lineRule="auto"/>
        <w:jc w:val="left"/>
        <w:rPr>
          <w:rFonts w:ascii="宋体" w:hAnsi="宋体"/>
          <w:color w:val="auto"/>
          <w:szCs w:val="21"/>
          <w:highlight w:val="none"/>
        </w:rPr>
      </w:pPr>
      <w:r>
        <w:rPr>
          <w:rFonts w:hint="eastAsia" w:ascii="宋体" w:hAnsi="宋体"/>
          <w:color w:val="auto"/>
          <w:szCs w:val="21"/>
          <w:highlight w:val="none"/>
        </w:rPr>
        <w:t>5.工程质量保修期内，承包人认真履行合同约定的保修责任。</w:t>
      </w:r>
    </w:p>
    <w:p>
      <w:pPr>
        <w:pStyle w:val="19"/>
        <w:spacing w:line="360" w:lineRule="auto"/>
        <w:jc w:val="center"/>
        <w:rPr>
          <w:b/>
          <w:color w:val="auto"/>
          <w:sz w:val="21"/>
          <w:szCs w:val="21"/>
          <w:highlight w:val="none"/>
        </w:rPr>
      </w:pPr>
      <w:r>
        <w:rPr>
          <w:rFonts w:hint="eastAsia"/>
          <w:b/>
          <w:color w:val="auto"/>
          <w:sz w:val="21"/>
          <w:szCs w:val="21"/>
          <w:highlight w:val="none"/>
        </w:rPr>
        <w:t xml:space="preserve">第十一条 </w:t>
      </w:r>
      <w:r>
        <w:rPr>
          <w:rFonts w:cs="Calibri"/>
          <w:b/>
          <w:color w:val="auto"/>
          <w:sz w:val="21"/>
          <w:szCs w:val="21"/>
          <w:highlight w:val="none"/>
        </w:rPr>
        <w:t> </w:t>
      </w:r>
      <w:r>
        <w:rPr>
          <w:rFonts w:hint="eastAsia"/>
          <w:b/>
          <w:color w:val="auto"/>
          <w:sz w:val="21"/>
          <w:szCs w:val="21"/>
          <w:highlight w:val="none"/>
        </w:rPr>
        <w:t>违约责任</w:t>
      </w:r>
    </w:p>
    <w:p>
      <w:pPr>
        <w:spacing w:line="360" w:lineRule="auto"/>
        <w:jc w:val="left"/>
        <w:rPr>
          <w:rFonts w:ascii="宋体" w:hAnsi="宋体"/>
          <w:color w:val="auto"/>
          <w:szCs w:val="21"/>
          <w:highlight w:val="none"/>
        </w:rPr>
      </w:pPr>
      <w:r>
        <w:rPr>
          <w:rFonts w:hint="eastAsia" w:ascii="宋体" w:hAnsi="宋体"/>
          <w:color w:val="auto"/>
          <w:szCs w:val="21"/>
          <w:highlight w:val="none"/>
        </w:rPr>
        <w:t>1.若发包人违约，导致本合同无法履行的，则发包人必须支付总工程款3%给承包人作为违约金，并承担所造成的损失。</w:t>
      </w:r>
    </w:p>
    <w:p>
      <w:pPr>
        <w:spacing w:line="360" w:lineRule="auto"/>
        <w:jc w:val="left"/>
        <w:rPr>
          <w:rFonts w:ascii="宋体" w:hAnsi="宋体"/>
          <w:color w:val="auto"/>
          <w:szCs w:val="21"/>
          <w:highlight w:val="none"/>
        </w:rPr>
      </w:pPr>
      <w:r>
        <w:rPr>
          <w:rFonts w:hint="eastAsia" w:ascii="宋体" w:hAnsi="宋体"/>
          <w:color w:val="auto"/>
          <w:szCs w:val="21"/>
          <w:highlight w:val="none"/>
        </w:rPr>
        <w:t>2.因承包人原因，导致本合同无法履行的，则承包人必须支付总工程款3%给发包人作为违约金，并承担所造成的损失。</w:t>
      </w:r>
    </w:p>
    <w:p>
      <w:pPr>
        <w:spacing w:line="360" w:lineRule="auto"/>
        <w:jc w:val="left"/>
        <w:rPr>
          <w:rFonts w:ascii="宋体" w:hAnsi="宋体"/>
          <w:color w:val="auto"/>
          <w:szCs w:val="21"/>
          <w:highlight w:val="none"/>
        </w:rPr>
      </w:pPr>
      <w:r>
        <w:rPr>
          <w:rFonts w:hint="eastAsia" w:ascii="宋体" w:hAnsi="宋体"/>
          <w:color w:val="auto"/>
          <w:szCs w:val="21"/>
          <w:highlight w:val="none"/>
        </w:rPr>
        <w:t>3.因发包人原因导致工期延误的，承包人有权要求发包人承担延误的责任和费用。</w:t>
      </w:r>
    </w:p>
    <w:p>
      <w:pPr>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承包人应按发包人的要求做好现场安全生产、文明施工并承担施工现场内的安全生产、文明施工责任，否则发包人将对承包人处予该项单列部分的安全文明施工措施费总额5%～10%的违约金。因承包人未履行安全生产、文明施工管理职责造成质量、安全事故的应承担相应的法律责任。</w:t>
      </w:r>
    </w:p>
    <w:p>
      <w:pPr>
        <w:pStyle w:val="19"/>
        <w:spacing w:line="360" w:lineRule="auto"/>
        <w:jc w:val="center"/>
        <w:rPr>
          <w:b/>
          <w:color w:val="auto"/>
          <w:sz w:val="21"/>
          <w:szCs w:val="21"/>
          <w:highlight w:val="none"/>
        </w:rPr>
      </w:pPr>
      <w:r>
        <w:rPr>
          <w:rFonts w:hint="eastAsia"/>
          <w:b/>
          <w:color w:val="auto"/>
          <w:sz w:val="21"/>
          <w:szCs w:val="21"/>
          <w:highlight w:val="none"/>
        </w:rPr>
        <w:t>第十二条  争端的解决</w:t>
      </w:r>
    </w:p>
    <w:p>
      <w:pPr>
        <w:spacing w:line="360" w:lineRule="auto"/>
        <w:rPr>
          <w:rFonts w:ascii="宋体" w:hAnsi="宋体"/>
          <w:color w:val="auto"/>
          <w:szCs w:val="21"/>
          <w:highlight w:val="none"/>
        </w:rPr>
      </w:pPr>
      <w:r>
        <w:rPr>
          <w:rFonts w:hint="eastAsia" w:ascii="宋体" w:hAnsi="宋体"/>
          <w:color w:val="auto"/>
          <w:szCs w:val="21"/>
          <w:highlight w:val="none"/>
        </w:rPr>
        <w:t>1.凡与本合同有关而引起的一切争议，甲乙双方应首先通过友好协商解决，如经协商仍</w:t>
      </w:r>
    </w:p>
    <w:p>
      <w:pPr>
        <w:spacing w:line="360" w:lineRule="auto"/>
        <w:rPr>
          <w:rFonts w:ascii="宋体" w:hAnsi="宋体"/>
          <w:color w:val="auto"/>
          <w:szCs w:val="21"/>
          <w:highlight w:val="none"/>
        </w:rPr>
      </w:pPr>
      <w:r>
        <w:rPr>
          <w:rFonts w:hint="eastAsia" w:ascii="宋体" w:hAnsi="宋体"/>
          <w:color w:val="auto"/>
          <w:szCs w:val="21"/>
          <w:highlight w:val="none"/>
        </w:rPr>
        <w:t>不能达成协议时，任何一方可以向发包人所在的地方法院提出诉讼。</w:t>
      </w:r>
    </w:p>
    <w:p>
      <w:pPr>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2.本合同的诉讼管辖地为兴宁市人民法院。</w:t>
      </w:r>
    </w:p>
    <w:p>
      <w:pPr>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3.在进行法院审理期间，除提交法院审理的事项外，合同其他部分仍应继续履行。</w:t>
      </w:r>
    </w:p>
    <w:p>
      <w:pPr>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4.本合同按照中华人民共和国的法律进行解释。</w:t>
      </w:r>
    </w:p>
    <w:p>
      <w:pPr>
        <w:pStyle w:val="19"/>
        <w:spacing w:line="360" w:lineRule="auto"/>
        <w:jc w:val="center"/>
        <w:rPr>
          <w:b/>
          <w:color w:val="auto"/>
          <w:sz w:val="21"/>
          <w:szCs w:val="21"/>
          <w:highlight w:val="none"/>
        </w:rPr>
      </w:pPr>
      <w:r>
        <w:rPr>
          <w:rFonts w:hint="eastAsia"/>
          <w:b/>
          <w:color w:val="auto"/>
          <w:sz w:val="21"/>
          <w:szCs w:val="21"/>
          <w:highlight w:val="none"/>
        </w:rPr>
        <w:t>第十三条  税和关税</w:t>
      </w:r>
    </w:p>
    <w:p>
      <w:pPr>
        <w:spacing w:line="360" w:lineRule="auto"/>
        <w:rPr>
          <w:rFonts w:ascii="宋体" w:hAnsi="宋体"/>
          <w:color w:val="auto"/>
          <w:szCs w:val="21"/>
          <w:highlight w:val="none"/>
        </w:rPr>
      </w:pPr>
      <w:r>
        <w:rPr>
          <w:rFonts w:hint="eastAsia" w:ascii="宋体" w:hAnsi="宋体"/>
          <w:color w:val="auto"/>
          <w:szCs w:val="21"/>
          <w:highlight w:val="none"/>
        </w:rPr>
        <w:t>1.中国政府根据现行税法规定对承包人或其雇员征收的与本合同有关的一切税费（包括但不限于设备和部件的进口关税、所有货物的国内增值税）均应由承包人负担。</w:t>
      </w:r>
    </w:p>
    <w:p>
      <w:pPr>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2.在中国境外发生的与本合同执行有关的一切税费均应由承包人负担。</w:t>
      </w:r>
    </w:p>
    <w:p>
      <w:pPr>
        <w:pStyle w:val="19"/>
        <w:spacing w:line="360" w:lineRule="auto"/>
        <w:jc w:val="center"/>
        <w:rPr>
          <w:b/>
          <w:color w:val="auto"/>
          <w:sz w:val="21"/>
          <w:szCs w:val="21"/>
          <w:highlight w:val="none"/>
        </w:rPr>
      </w:pPr>
      <w:r>
        <w:rPr>
          <w:rFonts w:hint="eastAsia"/>
          <w:b/>
          <w:color w:val="auto"/>
          <w:sz w:val="21"/>
          <w:szCs w:val="21"/>
          <w:highlight w:val="none"/>
        </w:rPr>
        <w:t>第十四条  其他</w:t>
      </w:r>
    </w:p>
    <w:p>
      <w:pPr>
        <w:spacing w:line="360" w:lineRule="auto"/>
        <w:rPr>
          <w:rFonts w:ascii="宋体" w:hAnsi="宋体"/>
          <w:color w:val="auto"/>
          <w:szCs w:val="21"/>
          <w:highlight w:val="none"/>
        </w:rPr>
      </w:pPr>
      <w:r>
        <w:rPr>
          <w:rFonts w:hint="eastAsia" w:ascii="宋体" w:hAnsi="宋体"/>
          <w:color w:val="auto"/>
          <w:szCs w:val="21"/>
          <w:highlight w:val="none"/>
        </w:rPr>
        <w:t>1.合同中未尽事项按磋商文件相关条款执行。</w:t>
      </w:r>
    </w:p>
    <w:p>
      <w:pPr>
        <w:spacing w:line="360" w:lineRule="auto"/>
        <w:rPr>
          <w:rFonts w:ascii="宋体" w:hAnsi="宋体"/>
          <w:color w:val="auto"/>
          <w:szCs w:val="21"/>
          <w:highlight w:val="none"/>
        </w:rPr>
      </w:pPr>
      <w:r>
        <w:rPr>
          <w:rFonts w:hint="eastAsia" w:ascii="宋体" w:hAnsi="宋体"/>
          <w:color w:val="auto"/>
          <w:szCs w:val="21"/>
          <w:highlight w:val="none"/>
        </w:rPr>
        <w:t>2.本合同之所有附件均为合同的有效组成部分，与本合同具有同等法律效力。合同与附件之间内容应认为是互为补充和解释，但如有模棱两可或相互矛盾之处，以文件排序在前或时间在后的文件为准。</w:t>
      </w:r>
    </w:p>
    <w:p>
      <w:pPr>
        <w:spacing w:line="360" w:lineRule="auto"/>
        <w:rPr>
          <w:rFonts w:ascii="宋体" w:hAnsi="宋体"/>
          <w:color w:val="auto"/>
          <w:szCs w:val="21"/>
          <w:highlight w:val="none"/>
        </w:rPr>
      </w:pPr>
      <w:r>
        <w:rPr>
          <w:rFonts w:hint="eastAsia" w:ascii="宋体" w:hAnsi="宋体"/>
          <w:color w:val="auto"/>
          <w:szCs w:val="21"/>
          <w:highlight w:val="none"/>
        </w:rPr>
        <w:t>3.在执行本合同的过程中，双方需遵守所有经甲乙双方签属确认的文件（包括会议纪要、补充协议、往来信函）即成为本合同的有效组成部分，其生效日期为双方签字盖章或确认之日期。</w:t>
      </w:r>
    </w:p>
    <w:p>
      <w:pPr>
        <w:spacing w:line="360" w:lineRule="auto"/>
        <w:rPr>
          <w:rFonts w:ascii="宋体" w:hAnsi="宋体"/>
          <w:color w:val="auto"/>
          <w:szCs w:val="21"/>
          <w:highlight w:val="none"/>
        </w:rPr>
      </w:pPr>
      <w:r>
        <w:rPr>
          <w:rFonts w:hint="eastAsia" w:ascii="宋体" w:hAnsi="宋体"/>
          <w:color w:val="auto"/>
          <w:szCs w:val="21"/>
          <w:highlight w:val="none"/>
        </w:rPr>
        <w:t>4.本合同一式捌份，发包人执肆份，承包人执肆份。本合同合计</w:t>
      </w:r>
      <w:r>
        <w:rPr>
          <w:rFonts w:ascii="宋体" w:hAnsi="宋体"/>
          <w:color w:val="auto"/>
          <w:szCs w:val="21"/>
          <w:highlight w:val="none"/>
          <w:u w:val="single"/>
        </w:rPr>
        <w:t xml:space="preserve">    </w:t>
      </w:r>
      <w:r>
        <w:rPr>
          <w:rFonts w:hint="eastAsia" w:ascii="宋体" w:hAnsi="宋体"/>
          <w:color w:val="auto"/>
          <w:szCs w:val="21"/>
          <w:highlight w:val="none"/>
        </w:rPr>
        <w:t>页A4纸张，缺页之合同为无效合同。</w:t>
      </w:r>
    </w:p>
    <w:p>
      <w:pPr>
        <w:pStyle w:val="65"/>
        <w:spacing w:line="360" w:lineRule="auto"/>
        <w:rPr>
          <w:rFonts w:ascii="宋体" w:hAnsi="宋体"/>
          <w:color w:val="auto"/>
          <w:szCs w:val="21"/>
          <w:highlight w:val="none"/>
        </w:rPr>
      </w:pPr>
    </w:p>
    <w:p>
      <w:pPr>
        <w:pStyle w:val="65"/>
        <w:spacing w:line="360" w:lineRule="auto"/>
        <w:rPr>
          <w:rFonts w:ascii="宋体" w:hAnsi="宋体"/>
          <w:color w:val="auto"/>
          <w:szCs w:val="21"/>
          <w:highlight w:val="none"/>
        </w:rPr>
      </w:pPr>
      <w:r>
        <w:rPr>
          <w:rFonts w:hint="eastAsia" w:ascii="宋体" w:hAnsi="宋体"/>
          <w:color w:val="auto"/>
          <w:szCs w:val="21"/>
          <w:highlight w:val="none"/>
        </w:rPr>
        <w:t>附件1：磋商报价清单</w:t>
      </w:r>
    </w:p>
    <w:p>
      <w:pPr>
        <w:pStyle w:val="65"/>
        <w:spacing w:line="36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2</w:t>
      </w:r>
      <w:r>
        <w:rPr>
          <w:rFonts w:hint="eastAsia" w:ascii="宋体" w:hAnsi="宋体"/>
          <w:color w:val="auto"/>
          <w:szCs w:val="21"/>
          <w:highlight w:val="none"/>
        </w:rPr>
        <w:t>：成交通知书</w:t>
      </w:r>
    </w:p>
    <w:p>
      <w:pPr>
        <w:pStyle w:val="65"/>
        <w:spacing w:line="360" w:lineRule="auto"/>
        <w:rPr>
          <w:rFonts w:ascii="宋体" w:hAnsi="宋体"/>
          <w:color w:val="auto"/>
          <w:szCs w:val="21"/>
          <w:highlight w:val="none"/>
        </w:rPr>
      </w:pPr>
    </w:p>
    <w:p>
      <w:pPr>
        <w:pStyle w:val="65"/>
        <w:spacing w:line="360" w:lineRule="auto"/>
        <w:ind w:left="5460" w:hanging="5460" w:hangingChars="2600"/>
        <w:rPr>
          <w:rFonts w:ascii="宋体" w:hAnsi="宋体"/>
          <w:color w:val="auto"/>
          <w:szCs w:val="21"/>
          <w:highlight w:val="none"/>
          <w:u w:val="single"/>
        </w:rPr>
      </w:pPr>
      <w:r>
        <w:rPr>
          <w:rFonts w:hint="eastAsia" w:ascii="宋体" w:hAnsi="宋体"/>
          <w:color w:val="auto"/>
          <w:szCs w:val="21"/>
          <w:highlight w:val="none"/>
        </w:rPr>
        <w:t>发包人（公章）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承包人（公章）</w:t>
      </w:r>
      <w:r>
        <w:rPr>
          <w:rFonts w:hint="eastAsia" w:ascii="宋体" w:hAnsi="宋体"/>
          <w:color w:val="auto"/>
          <w:szCs w:val="21"/>
          <w:highlight w:val="none"/>
          <w:u w:val="single"/>
        </w:rPr>
        <w:t xml:space="preserve">                       </w:t>
      </w:r>
    </w:p>
    <w:p>
      <w:pPr>
        <w:pStyle w:val="65"/>
        <w:spacing w:line="360" w:lineRule="auto"/>
        <w:rPr>
          <w:rFonts w:ascii="宋体" w:hAnsi="宋体"/>
          <w:color w:val="auto"/>
          <w:szCs w:val="21"/>
          <w:highlight w:val="none"/>
          <w:u w:val="singl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pPr>
        <w:pStyle w:val="65"/>
        <w:spacing w:line="360" w:lineRule="auto"/>
        <w:rPr>
          <w:rFonts w:ascii="宋体" w:hAnsi="宋体"/>
          <w:color w:val="auto"/>
          <w:szCs w:val="21"/>
          <w:highlight w:val="none"/>
          <w:u w:val="single"/>
        </w:rPr>
      </w:pPr>
      <w:r>
        <w:rPr>
          <w:rFonts w:hint="eastAsia" w:ascii="宋体" w:hAnsi="宋体"/>
          <w:color w:val="auto"/>
          <w:szCs w:val="21"/>
          <w:highlight w:val="none"/>
        </w:rPr>
        <w:t>授权代表人：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授权代表人：</w:t>
      </w:r>
      <w:r>
        <w:rPr>
          <w:rFonts w:hint="eastAsia" w:ascii="宋体" w:hAnsi="宋体"/>
          <w:color w:val="auto"/>
          <w:szCs w:val="21"/>
          <w:highlight w:val="none"/>
          <w:u w:val="single"/>
        </w:rPr>
        <w:t xml:space="preserve">                         </w:t>
      </w:r>
    </w:p>
    <w:p>
      <w:pPr>
        <w:pStyle w:val="65"/>
        <w:spacing w:line="360" w:lineRule="auto"/>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地址：</w:t>
      </w:r>
      <w:r>
        <w:rPr>
          <w:rFonts w:hint="eastAsia" w:ascii="宋体" w:hAnsi="宋体"/>
          <w:color w:val="auto"/>
          <w:szCs w:val="21"/>
          <w:highlight w:val="none"/>
          <w:u w:val="single"/>
        </w:rPr>
        <w:t xml:space="preserve">                               </w:t>
      </w:r>
    </w:p>
    <w:p>
      <w:pPr>
        <w:pStyle w:val="65"/>
        <w:spacing w:line="360" w:lineRule="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pStyle w:val="65"/>
        <w:spacing w:line="360" w:lineRule="auto"/>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pStyle w:val="67"/>
        <w:spacing w:before="0" w:beforeAutospacing="0" w:after="0" w:afterAutospacing="0" w:line="360" w:lineRule="auto"/>
        <w:rPr>
          <w:rFonts w:ascii="宋体" w:hAnsi="宋体"/>
          <w:color w:val="auto"/>
          <w:sz w:val="21"/>
          <w:szCs w:val="21"/>
          <w:highlight w:val="none"/>
          <w:u w:val="single"/>
        </w:rPr>
      </w:pPr>
      <w:r>
        <w:rPr>
          <w:rFonts w:hint="eastAsia" w:ascii="宋体" w:hAnsi="宋体"/>
          <w:color w:val="auto"/>
          <w:sz w:val="21"/>
          <w:szCs w:val="21"/>
          <w:highlight w:val="none"/>
        </w:rPr>
        <w:t>帐号：</w:t>
      </w:r>
      <w:r>
        <w:rPr>
          <w:rFonts w:hint="eastAsia"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帐号：</w:t>
      </w:r>
      <w:r>
        <w:rPr>
          <w:rFonts w:hint="eastAsia" w:ascii="宋体" w:hAnsi="宋体"/>
          <w:color w:val="auto"/>
          <w:sz w:val="21"/>
          <w:szCs w:val="21"/>
          <w:highlight w:val="none"/>
          <w:u w:val="single"/>
        </w:rPr>
        <w:t xml:space="preserve">                               </w:t>
      </w:r>
    </w:p>
    <w:p>
      <w:pPr>
        <w:pStyle w:val="19"/>
        <w:spacing w:before="0" w:beforeAutospacing="0" w:after="0" w:afterAutospacing="0" w:line="360" w:lineRule="auto"/>
        <w:rPr>
          <w:color w:val="auto"/>
          <w:sz w:val="21"/>
          <w:szCs w:val="21"/>
          <w:highlight w:val="none"/>
          <w:u w:val="single"/>
        </w:rPr>
      </w:pPr>
      <w:r>
        <w:rPr>
          <w:rFonts w:hint="eastAsia"/>
          <w:color w:val="auto"/>
          <w:sz w:val="21"/>
          <w:szCs w:val="21"/>
          <w:highlight w:val="none"/>
        </w:rPr>
        <w:t>纳税编码：</w:t>
      </w:r>
      <w:r>
        <w:rPr>
          <w:rFonts w:hint="eastAsia"/>
          <w:color w:val="auto"/>
          <w:sz w:val="21"/>
          <w:szCs w:val="21"/>
          <w:highlight w:val="none"/>
          <w:u w:val="single"/>
        </w:rPr>
        <w:t xml:space="preserve">                             </w:t>
      </w:r>
      <w:r>
        <w:rPr>
          <w:rFonts w:hint="eastAsia"/>
          <w:color w:val="auto"/>
          <w:sz w:val="21"/>
          <w:szCs w:val="21"/>
          <w:highlight w:val="none"/>
        </w:rPr>
        <w:t xml:space="preserve">   纳税编码：</w:t>
      </w:r>
      <w:r>
        <w:rPr>
          <w:rFonts w:hint="eastAsia"/>
          <w:color w:val="auto"/>
          <w:sz w:val="21"/>
          <w:szCs w:val="21"/>
          <w:highlight w:val="none"/>
          <w:u w:val="single"/>
        </w:rPr>
        <w:t xml:space="preserve">                            </w:t>
      </w:r>
    </w:p>
    <w:p>
      <w:pPr>
        <w:pStyle w:val="65"/>
        <w:spacing w:line="360" w:lineRule="auto"/>
        <w:rPr>
          <w:rFonts w:ascii="宋体" w:hAnsi="宋体"/>
          <w:color w:val="auto"/>
          <w:szCs w:val="21"/>
          <w:highlight w:val="none"/>
        </w:rPr>
      </w:pPr>
      <w:r>
        <w:rPr>
          <w:rFonts w:hint="eastAsia" w:ascii="宋体" w:hAnsi="宋体"/>
          <w:color w:val="auto"/>
          <w:szCs w:val="21"/>
          <w:highlight w:val="none"/>
        </w:rPr>
        <w:t>签约时间：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签约时间：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rPr>
          <w:rFonts w:ascii="宋体" w:hAnsi="宋体"/>
          <w:color w:val="auto"/>
          <w:szCs w:val="21"/>
          <w:highlight w:val="none"/>
        </w:rPr>
      </w:pPr>
    </w:p>
    <w:bookmarkEnd w:id="40"/>
    <w:bookmarkEnd w:id="41"/>
    <w:bookmarkEnd w:id="42"/>
    <w:p>
      <w:pPr>
        <w:pStyle w:val="2"/>
        <w:keepNext w:val="0"/>
        <w:keepLines w:val="0"/>
        <w:pageBreakBefore/>
        <w:spacing w:after="240" w:line="360" w:lineRule="auto"/>
        <w:jc w:val="center"/>
        <w:rPr>
          <w:color w:val="auto"/>
          <w:kern w:val="0"/>
          <w:sz w:val="20"/>
          <w:szCs w:val="20"/>
          <w:highlight w:val="none"/>
          <w:lang w:eastAsia="zh-Hans"/>
        </w:rPr>
      </w:pPr>
      <w:bookmarkStart w:id="44" w:name="_Toc169807545"/>
      <w:bookmarkStart w:id="45" w:name="_Toc169799784"/>
      <w:bookmarkStart w:id="46" w:name="_Toc170228133"/>
      <w:r>
        <w:rPr>
          <w:rFonts w:asciiTheme="minorEastAsia" w:hAnsiTheme="minorEastAsia" w:eastAsiaTheme="minorEastAsia"/>
          <w:color w:val="auto"/>
          <w:spacing w:val="20"/>
          <w:sz w:val="32"/>
          <w:szCs w:val="32"/>
          <w:highlight w:val="none"/>
        </w:rPr>
        <w:t xml:space="preserve">第六章 </w:t>
      </w:r>
      <w:r>
        <w:rPr>
          <w:rFonts w:hint="eastAsia" w:asciiTheme="minorEastAsia" w:hAnsiTheme="minorEastAsia" w:eastAsiaTheme="minorEastAsia"/>
          <w:color w:val="auto"/>
          <w:spacing w:val="20"/>
          <w:sz w:val="32"/>
          <w:szCs w:val="32"/>
          <w:highlight w:val="none"/>
        </w:rPr>
        <w:t>响应文件</w:t>
      </w:r>
      <w:r>
        <w:rPr>
          <w:rFonts w:asciiTheme="minorEastAsia" w:hAnsiTheme="minorEastAsia" w:eastAsiaTheme="minorEastAsia"/>
          <w:color w:val="auto"/>
          <w:spacing w:val="20"/>
          <w:sz w:val="32"/>
          <w:szCs w:val="32"/>
          <w:highlight w:val="none"/>
        </w:rPr>
        <w:t>格式</w:t>
      </w:r>
      <w:bookmarkEnd w:id="44"/>
      <w:bookmarkEnd w:id="45"/>
      <w:bookmarkEnd w:id="46"/>
    </w:p>
    <w:p>
      <w:pPr>
        <w:widowControl/>
        <w:jc w:val="left"/>
        <w:rPr>
          <w:color w:val="auto"/>
          <w:kern w:val="0"/>
          <w:sz w:val="20"/>
          <w:szCs w:val="20"/>
          <w:highlight w:val="none"/>
          <w:lang w:eastAsia="zh-Hans"/>
        </w:rPr>
      </w:pPr>
    </w:p>
    <w:p>
      <w:pPr>
        <w:spacing w:before="468" w:beforeLines="150"/>
        <w:jc w:val="center"/>
        <w:rPr>
          <w:rFonts w:ascii="宋体" w:hAnsi="宋体"/>
          <w:b/>
          <w:bCs/>
          <w:color w:val="auto"/>
          <w:sz w:val="60"/>
          <w:szCs w:val="60"/>
          <w:highlight w:val="none"/>
        </w:rPr>
      </w:pPr>
      <w:bookmarkStart w:id="47" w:name="_Toc169799785"/>
      <w:bookmarkStart w:id="48" w:name="_Hlk170195764"/>
      <w:r>
        <w:rPr>
          <w:rFonts w:hint="eastAsia" w:ascii="宋体" w:hAnsi="宋体"/>
          <w:b/>
          <w:bCs/>
          <w:color w:val="auto"/>
          <w:sz w:val="60"/>
          <w:szCs w:val="60"/>
          <w:highlight w:val="none"/>
        </w:rPr>
        <w:t>国家税务总局兴宁市税务局综合业务办公用房维修改造项目</w:t>
      </w:r>
    </w:p>
    <w:p>
      <w:pPr>
        <w:spacing w:before="468" w:beforeLines="150"/>
        <w:jc w:val="center"/>
        <w:rPr>
          <w:rFonts w:ascii="宋体" w:hAnsi="宋体"/>
          <w:b/>
          <w:bCs/>
          <w:color w:val="auto"/>
          <w:sz w:val="80"/>
          <w:szCs w:val="80"/>
          <w:highlight w:val="none"/>
        </w:rPr>
      </w:pPr>
      <w:r>
        <w:rPr>
          <w:rFonts w:hint="eastAsia" w:ascii="宋体" w:hAnsi="宋体"/>
          <w:b/>
          <w:bCs/>
          <w:color w:val="auto"/>
          <w:sz w:val="80"/>
          <w:szCs w:val="80"/>
          <w:highlight w:val="none"/>
        </w:rPr>
        <w:t>响应</w:t>
      </w:r>
      <w:r>
        <w:rPr>
          <w:rFonts w:ascii="宋体" w:hAnsi="宋体"/>
          <w:b/>
          <w:bCs/>
          <w:color w:val="auto"/>
          <w:sz w:val="80"/>
          <w:szCs w:val="80"/>
          <w:highlight w:val="none"/>
        </w:rPr>
        <w:t>文件</w:t>
      </w:r>
      <w:bookmarkEnd w:id="47"/>
    </w:p>
    <w:p>
      <w:pPr>
        <w:spacing w:after="1560" w:afterLines="500"/>
        <w:jc w:val="center"/>
        <w:rPr>
          <w:rFonts w:hint="eastAsia" w:ascii="宋体" w:hAnsi="宋体" w:eastAsia="宋体"/>
          <w:b/>
          <w:bCs/>
          <w:color w:val="auto"/>
          <w:sz w:val="44"/>
          <w:szCs w:val="48"/>
          <w:highlight w:val="none"/>
          <w:lang w:eastAsia="zh-CN"/>
        </w:rPr>
      </w:pPr>
      <w:bookmarkStart w:id="49" w:name="_Toc169799786"/>
      <w:r>
        <w:rPr>
          <w:rFonts w:ascii="宋体" w:hAnsi="宋体"/>
          <w:b/>
          <w:bCs/>
          <w:color w:val="auto"/>
          <w:sz w:val="44"/>
          <w:szCs w:val="48"/>
          <w:highlight w:val="none"/>
        </w:rPr>
        <w:t>（正本/副本）</w:t>
      </w:r>
      <w:bookmarkEnd w:id="49"/>
    </w:p>
    <w:p>
      <w:pPr>
        <w:spacing w:after="1560" w:afterLines="500"/>
        <w:jc w:val="center"/>
        <w:rPr>
          <w:rFonts w:hint="eastAsia" w:ascii="宋体" w:hAnsi="宋体" w:eastAsia="宋体"/>
          <w:b/>
          <w:bCs/>
          <w:color w:val="auto"/>
          <w:sz w:val="44"/>
          <w:szCs w:val="48"/>
          <w:highlight w:val="none"/>
          <w:lang w:eastAsia="zh-CN"/>
        </w:rPr>
      </w:pPr>
    </w:p>
    <w:p>
      <w:pPr>
        <w:spacing w:after="1560" w:afterLines="500"/>
        <w:jc w:val="center"/>
        <w:rPr>
          <w:rFonts w:ascii="宋体" w:hAnsi="宋体"/>
          <w:b/>
          <w:bCs/>
          <w:color w:val="auto"/>
          <w:highlight w:val="none"/>
        </w:rPr>
      </w:pPr>
    </w:p>
    <w:p>
      <w:pPr>
        <w:spacing w:before="468" w:beforeLines="150" w:line="600" w:lineRule="exact"/>
        <w:ind w:firstLine="1928" w:firstLineChars="600"/>
        <w:jc w:val="left"/>
        <w:rPr>
          <w:rFonts w:ascii="宋体" w:hAnsi="宋体"/>
          <w:color w:val="auto"/>
          <w:kern w:val="0"/>
          <w:sz w:val="32"/>
          <w:szCs w:val="32"/>
          <w:highlight w:val="none"/>
        </w:rPr>
      </w:pPr>
      <w:r>
        <w:rPr>
          <w:rFonts w:ascii="宋体" w:hAnsi="宋体"/>
          <w:b/>
          <w:color w:val="auto"/>
          <w:kern w:val="0"/>
          <w:sz w:val="32"/>
          <w:szCs w:val="32"/>
          <w:highlight w:val="none"/>
          <w:lang w:eastAsia="zh-Hans"/>
        </w:rPr>
        <w:t>项目编号：</w:t>
      </w:r>
      <w:r>
        <w:rPr>
          <w:rFonts w:ascii="宋体" w:hAnsi="宋体"/>
          <w:b/>
          <w:color w:val="auto"/>
          <w:kern w:val="0"/>
          <w:sz w:val="32"/>
          <w:szCs w:val="32"/>
          <w:highlight w:val="none"/>
        </w:rPr>
        <w:t>ZHMZCZ2024001</w:t>
      </w:r>
    </w:p>
    <w:p>
      <w:pPr>
        <w:spacing w:before="468" w:beforeLines="150" w:line="600" w:lineRule="exact"/>
        <w:ind w:firstLine="1928" w:firstLineChars="600"/>
        <w:jc w:val="left"/>
        <w:rPr>
          <w:rFonts w:hint="eastAsia" w:ascii="宋体" w:hAnsi="宋体" w:eastAsia="宋体" w:cs="宋体"/>
          <w:b/>
          <w:color w:val="auto"/>
          <w:spacing w:val="40"/>
          <w:sz w:val="32"/>
          <w:szCs w:val="32"/>
          <w:highlight w:val="none"/>
          <w:lang w:eastAsia="zh-Hans"/>
        </w:rPr>
      </w:pPr>
      <w:r>
        <w:rPr>
          <w:rFonts w:hint="eastAsia" w:ascii="宋体" w:hAnsi="宋体"/>
          <w:b/>
          <w:color w:val="auto"/>
          <w:kern w:val="0"/>
          <w:sz w:val="32"/>
          <w:szCs w:val="32"/>
          <w:highlight w:val="none"/>
        </w:rPr>
        <w:t>供应商</w:t>
      </w:r>
      <w:r>
        <w:rPr>
          <w:rFonts w:ascii="宋体" w:hAnsi="宋体"/>
          <w:b/>
          <w:color w:val="auto"/>
          <w:kern w:val="0"/>
          <w:sz w:val="32"/>
          <w:szCs w:val="32"/>
          <w:highlight w:val="none"/>
          <w:lang w:eastAsia="zh-Hans"/>
        </w:rPr>
        <w:t>名称</w:t>
      </w:r>
      <w:r>
        <w:rPr>
          <w:rFonts w:hint="eastAsia" w:ascii="宋体" w:hAnsi="宋体"/>
          <w:b/>
          <w:color w:val="auto"/>
          <w:kern w:val="0"/>
          <w:sz w:val="32"/>
          <w:szCs w:val="32"/>
          <w:highlight w:val="none"/>
          <w:lang w:eastAsia="zh-Hans"/>
        </w:rPr>
        <w:t>：</w:t>
      </w:r>
    </w:p>
    <w:p>
      <w:pPr>
        <w:spacing w:before="468" w:beforeLines="150" w:line="600" w:lineRule="exact"/>
        <w:jc w:val="center"/>
        <w:rPr>
          <w:color w:val="auto"/>
          <w:kern w:val="0"/>
          <w:sz w:val="20"/>
          <w:szCs w:val="20"/>
          <w:highlight w:val="none"/>
        </w:rPr>
      </w:pPr>
      <w:r>
        <w:rPr>
          <w:rFonts w:hint="eastAsia" w:ascii="宋体" w:hAnsi="宋体" w:eastAsia="宋体" w:cs="宋体"/>
          <w:b/>
          <w:color w:val="auto"/>
          <w:spacing w:val="40"/>
          <w:sz w:val="32"/>
          <w:szCs w:val="32"/>
          <w:highlight w:val="none"/>
          <w:lang w:eastAsia="zh-Hans"/>
        </w:rPr>
        <w:t xml:space="preserve"> 年</w:t>
      </w:r>
      <w:r>
        <w:rPr>
          <w:rFonts w:ascii="宋体" w:hAnsi="宋体"/>
          <w:b/>
          <w:color w:val="auto"/>
          <w:kern w:val="0"/>
          <w:sz w:val="32"/>
          <w:szCs w:val="32"/>
          <w:highlight w:val="none"/>
          <w:lang w:eastAsia="zh-Hans"/>
        </w:rPr>
        <w:t xml:space="preserve"> 月 日</w:t>
      </w:r>
      <w:bookmarkEnd w:id="48"/>
    </w:p>
    <w:p>
      <w:pPr>
        <w:pageBreakBefore/>
        <w:spacing w:after="156" w:afterLines="50"/>
        <w:jc w:val="center"/>
        <w:outlineLvl w:val="3"/>
        <w:rPr>
          <w:color w:val="auto"/>
          <w:kern w:val="0"/>
          <w:sz w:val="20"/>
          <w:szCs w:val="20"/>
          <w:highlight w:val="none"/>
          <w:lang w:eastAsia="zh-Hans"/>
        </w:rPr>
      </w:pPr>
      <w:r>
        <w:rPr>
          <w:rFonts w:hint="eastAsia"/>
          <w:b/>
          <w:color w:val="auto"/>
          <w:kern w:val="0"/>
          <w:sz w:val="32"/>
          <w:highlight w:val="none"/>
          <w:lang w:eastAsia="zh-Hans"/>
        </w:rPr>
        <w:t>响应</w:t>
      </w:r>
      <w:r>
        <w:rPr>
          <w:b/>
          <w:color w:val="auto"/>
          <w:kern w:val="0"/>
          <w:sz w:val="32"/>
          <w:highlight w:val="none"/>
          <w:lang w:eastAsia="zh-Hans"/>
        </w:rPr>
        <w:t>文件目录</w:t>
      </w:r>
    </w:p>
    <w:p>
      <w:pPr>
        <w:widowControl/>
        <w:snapToGrid w:val="0"/>
        <w:spacing w:line="360" w:lineRule="auto"/>
        <w:contextualSpacing/>
        <w:jc w:val="left"/>
        <w:rPr>
          <w:color w:val="auto"/>
          <w:kern w:val="0"/>
          <w:szCs w:val="21"/>
          <w:highlight w:val="none"/>
          <w:lang w:eastAsia="zh-Hans"/>
        </w:rPr>
      </w:pPr>
      <w:r>
        <w:rPr>
          <w:color w:val="auto"/>
          <w:kern w:val="0"/>
          <w:szCs w:val="21"/>
          <w:highlight w:val="none"/>
          <w:lang w:eastAsia="zh-Hans"/>
        </w:rPr>
        <w:t>一、</w:t>
      </w:r>
      <w:r>
        <w:rPr>
          <w:rFonts w:hint="eastAsia"/>
          <w:color w:val="auto"/>
          <w:kern w:val="0"/>
          <w:szCs w:val="21"/>
          <w:highlight w:val="none"/>
          <w:lang w:eastAsia="zh-Hans"/>
        </w:rPr>
        <w:t>响应承诺</w:t>
      </w:r>
      <w:r>
        <w:rPr>
          <w:color w:val="auto"/>
          <w:kern w:val="0"/>
          <w:szCs w:val="21"/>
          <w:highlight w:val="none"/>
          <w:lang w:eastAsia="zh-Hans"/>
        </w:rPr>
        <w:t>函</w:t>
      </w:r>
    </w:p>
    <w:p>
      <w:pPr>
        <w:widowControl/>
        <w:snapToGrid w:val="0"/>
        <w:spacing w:line="360" w:lineRule="auto"/>
        <w:contextualSpacing/>
        <w:jc w:val="left"/>
        <w:rPr>
          <w:color w:val="auto"/>
          <w:kern w:val="0"/>
          <w:szCs w:val="21"/>
          <w:highlight w:val="none"/>
          <w:lang w:eastAsia="zh-Hans"/>
        </w:rPr>
      </w:pPr>
      <w:r>
        <w:rPr>
          <w:color w:val="auto"/>
          <w:kern w:val="0"/>
          <w:szCs w:val="21"/>
          <w:highlight w:val="none"/>
          <w:lang w:eastAsia="zh-Hans"/>
        </w:rPr>
        <w:t>二、</w:t>
      </w:r>
      <w:r>
        <w:rPr>
          <w:rFonts w:hint="eastAsia"/>
          <w:color w:val="auto"/>
          <w:kern w:val="0"/>
          <w:szCs w:val="21"/>
          <w:highlight w:val="none"/>
          <w:lang w:eastAsia="zh-Hans"/>
        </w:rPr>
        <w:t>首次报价表</w:t>
      </w:r>
    </w:p>
    <w:p>
      <w:pPr>
        <w:widowControl/>
        <w:snapToGrid w:val="0"/>
        <w:spacing w:line="360" w:lineRule="auto"/>
        <w:contextualSpacing/>
        <w:jc w:val="left"/>
        <w:rPr>
          <w:color w:val="auto"/>
          <w:kern w:val="0"/>
          <w:szCs w:val="21"/>
          <w:highlight w:val="none"/>
          <w:lang w:eastAsia="zh-Hans"/>
        </w:rPr>
      </w:pPr>
      <w:r>
        <w:rPr>
          <w:color w:val="auto"/>
          <w:kern w:val="0"/>
          <w:szCs w:val="21"/>
          <w:highlight w:val="none"/>
          <w:lang w:eastAsia="zh-Hans"/>
        </w:rPr>
        <w:t>三、分项报价表</w:t>
      </w:r>
    </w:p>
    <w:p>
      <w:pPr>
        <w:widowControl/>
        <w:snapToGrid w:val="0"/>
        <w:spacing w:line="360" w:lineRule="auto"/>
        <w:contextualSpacing/>
        <w:jc w:val="left"/>
        <w:rPr>
          <w:color w:val="auto"/>
          <w:kern w:val="0"/>
          <w:szCs w:val="21"/>
          <w:highlight w:val="none"/>
        </w:rPr>
      </w:pPr>
      <w:r>
        <w:rPr>
          <w:color w:val="auto"/>
          <w:kern w:val="0"/>
          <w:szCs w:val="21"/>
          <w:highlight w:val="none"/>
          <w:lang w:eastAsia="zh-Hans"/>
        </w:rPr>
        <w:t>四、</w:t>
      </w:r>
      <w:r>
        <w:rPr>
          <w:rFonts w:hint="eastAsia"/>
          <w:color w:val="auto"/>
          <w:kern w:val="0"/>
          <w:szCs w:val="21"/>
          <w:highlight w:val="none"/>
          <w:lang w:eastAsia="zh-Hans"/>
        </w:rPr>
        <w:t>中小企业声明函</w:t>
      </w:r>
    </w:p>
    <w:p>
      <w:pPr>
        <w:widowControl/>
        <w:snapToGrid w:val="0"/>
        <w:spacing w:line="360" w:lineRule="auto"/>
        <w:contextualSpacing/>
        <w:jc w:val="left"/>
        <w:rPr>
          <w:color w:val="auto"/>
          <w:kern w:val="0"/>
          <w:szCs w:val="21"/>
          <w:highlight w:val="none"/>
        </w:rPr>
      </w:pPr>
      <w:r>
        <w:rPr>
          <w:rFonts w:hint="eastAsia"/>
          <w:color w:val="auto"/>
          <w:kern w:val="0"/>
          <w:szCs w:val="21"/>
          <w:highlight w:val="none"/>
        </w:rPr>
        <w:t>五、</w:t>
      </w:r>
      <w:r>
        <w:rPr>
          <w:color w:val="auto"/>
          <w:kern w:val="0"/>
          <w:szCs w:val="21"/>
          <w:highlight w:val="none"/>
          <w:lang w:eastAsia="zh-Hans"/>
        </w:rPr>
        <w:t>监狱企业</w:t>
      </w:r>
    </w:p>
    <w:p>
      <w:pPr>
        <w:widowControl/>
        <w:snapToGrid w:val="0"/>
        <w:spacing w:line="360" w:lineRule="auto"/>
        <w:contextualSpacing/>
        <w:jc w:val="left"/>
        <w:rPr>
          <w:color w:val="auto"/>
          <w:kern w:val="0"/>
          <w:szCs w:val="21"/>
          <w:highlight w:val="none"/>
        </w:rPr>
      </w:pPr>
      <w:r>
        <w:rPr>
          <w:rFonts w:hint="eastAsia"/>
          <w:color w:val="auto"/>
          <w:kern w:val="0"/>
          <w:szCs w:val="21"/>
          <w:highlight w:val="none"/>
        </w:rPr>
        <w:t>六、</w:t>
      </w:r>
      <w:r>
        <w:rPr>
          <w:color w:val="auto"/>
          <w:kern w:val="0"/>
          <w:szCs w:val="21"/>
          <w:highlight w:val="none"/>
          <w:lang w:eastAsia="zh-Hans"/>
        </w:rPr>
        <w:t>残疾人福利性单位声明函</w:t>
      </w:r>
    </w:p>
    <w:p>
      <w:pPr>
        <w:widowControl/>
        <w:snapToGrid w:val="0"/>
        <w:spacing w:line="360" w:lineRule="auto"/>
        <w:contextualSpacing/>
        <w:jc w:val="left"/>
        <w:rPr>
          <w:color w:val="auto"/>
          <w:kern w:val="0"/>
          <w:szCs w:val="21"/>
          <w:highlight w:val="none"/>
        </w:rPr>
      </w:pPr>
      <w:r>
        <w:rPr>
          <w:rFonts w:hint="eastAsia"/>
          <w:color w:val="auto"/>
          <w:kern w:val="0"/>
          <w:szCs w:val="21"/>
          <w:highlight w:val="none"/>
        </w:rPr>
        <w:t>七、</w:t>
      </w:r>
      <w:r>
        <w:rPr>
          <w:color w:val="auto"/>
          <w:kern w:val="0"/>
          <w:szCs w:val="21"/>
          <w:highlight w:val="none"/>
          <w:lang w:eastAsia="zh-Hans"/>
        </w:rPr>
        <w:t>政策适用性说明</w:t>
      </w:r>
    </w:p>
    <w:p>
      <w:pPr>
        <w:widowControl/>
        <w:snapToGrid w:val="0"/>
        <w:spacing w:line="360" w:lineRule="auto"/>
        <w:contextualSpacing/>
        <w:jc w:val="left"/>
        <w:rPr>
          <w:color w:val="auto"/>
          <w:kern w:val="0"/>
          <w:szCs w:val="21"/>
          <w:highlight w:val="none"/>
        </w:rPr>
      </w:pPr>
      <w:r>
        <w:rPr>
          <w:rFonts w:hint="eastAsia"/>
          <w:color w:val="auto"/>
          <w:kern w:val="0"/>
          <w:szCs w:val="21"/>
          <w:highlight w:val="none"/>
        </w:rPr>
        <w:t>八、联合体共同投标协议书</w:t>
      </w:r>
    </w:p>
    <w:p>
      <w:pPr>
        <w:widowControl/>
        <w:snapToGrid w:val="0"/>
        <w:spacing w:line="360" w:lineRule="auto"/>
        <w:contextualSpacing/>
        <w:jc w:val="left"/>
        <w:rPr>
          <w:color w:val="auto"/>
          <w:kern w:val="0"/>
          <w:szCs w:val="21"/>
          <w:highlight w:val="none"/>
          <w:lang w:eastAsia="zh-Hans"/>
        </w:rPr>
      </w:pPr>
      <w:r>
        <w:rPr>
          <w:rFonts w:hint="eastAsia"/>
          <w:color w:val="auto"/>
          <w:kern w:val="0"/>
          <w:szCs w:val="21"/>
          <w:highlight w:val="none"/>
          <w:lang w:eastAsia="zh-Hans"/>
        </w:rPr>
        <w:t>九</w:t>
      </w:r>
      <w:r>
        <w:rPr>
          <w:color w:val="auto"/>
          <w:kern w:val="0"/>
          <w:szCs w:val="21"/>
          <w:highlight w:val="none"/>
          <w:lang w:eastAsia="zh-Hans"/>
        </w:rPr>
        <w:t>、法定代表人证明书</w:t>
      </w:r>
    </w:p>
    <w:p>
      <w:pPr>
        <w:widowControl/>
        <w:snapToGrid w:val="0"/>
        <w:spacing w:line="360" w:lineRule="auto"/>
        <w:contextualSpacing/>
        <w:jc w:val="left"/>
        <w:rPr>
          <w:color w:val="auto"/>
          <w:kern w:val="0"/>
          <w:szCs w:val="21"/>
          <w:highlight w:val="none"/>
          <w:lang w:eastAsia="zh-Hans"/>
        </w:rPr>
      </w:pPr>
      <w:r>
        <w:rPr>
          <w:rFonts w:hint="eastAsia"/>
          <w:color w:val="auto"/>
          <w:kern w:val="0"/>
          <w:szCs w:val="21"/>
          <w:highlight w:val="none"/>
          <w:lang w:eastAsia="zh-Hans"/>
        </w:rPr>
        <w:t>十</w:t>
      </w:r>
      <w:r>
        <w:rPr>
          <w:color w:val="auto"/>
          <w:kern w:val="0"/>
          <w:szCs w:val="21"/>
          <w:highlight w:val="none"/>
          <w:lang w:eastAsia="zh-Hans"/>
        </w:rPr>
        <w:t>、法定代表人授权</w:t>
      </w:r>
      <w:r>
        <w:rPr>
          <w:rFonts w:hint="eastAsia"/>
          <w:color w:val="auto"/>
          <w:kern w:val="0"/>
          <w:szCs w:val="21"/>
          <w:highlight w:val="none"/>
          <w:lang w:eastAsia="zh-Hans"/>
        </w:rPr>
        <w:t>委托</w:t>
      </w:r>
      <w:r>
        <w:rPr>
          <w:color w:val="auto"/>
          <w:kern w:val="0"/>
          <w:szCs w:val="21"/>
          <w:highlight w:val="none"/>
          <w:lang w:eastAsia="zh-Hans"/>
        </w:rPr>
        <w:t>书</w:t>
      </w:r>
    </w:p>
    <w:p>
      <w:pPr>
        <w:widowControl/>
        <w:snapToGrid w:val="0"/>
        <w:spacing w:line="360" w:lineRule="auto"/>
        <w:contextualSpacing/>
        <w:jc w:val="left"/>
        <w:rPr>
          <w:color w:val="auto"/>
          <w:kern w:val="0"/>
          <w:szCs w:val="21"/>
          <w:highlight w:val="none"/>
        </w:rPr>
      </w:pPr>
      <w:r>
        <w:rPr>
          <w:rFonts w:hint="eastAsia"/>
          <w:color w:val="auto"/>
          <w:kern w:val="0"/>
          <w:szCs w:val="21"/>
          <w:highlight w:val="none"/>
        </w:rPr>
        <w:t>十一、资格条件承诺函</w:t>
      </w:r>
    </w:p>
    <w:p>
      <w:pPr>
        <w:widowControl/>
        <w:snapToGrid w:val="0"/>
        <w:spacing w:line="360" w:lineRule="auto"/>
        <w:contextualSpacing/>
        <w:jc w:val="left"/>
        <w:rPr>
          <w:color w:val="auto"/>
          <w:kern w:val="0"/>
          <w:szCs w:val="21"/>
          <w:highlight w:val="none"/>
          <w:lang w:eastAsia="zh-Hans"/>
        </w:rPr>
      </w:pPr>
      <w:r>
        <w:rPr>
          <w:rFonts w:hint="eastAsia"/>
          <w:color w:val="auto"/>
          <w:kern w:val="0"/>
          <w:szCs w:val="21"/>
          <w:highlight w:val="none"/>
          <w:lang w:eastAsia="zh-Hans"/>
        </w:rPr>
        <w:t>十</w:t>
      </w:r>
      <w:r>
        <w:rPr>
          <w:rFonts w:hint="eastAsia"/>
          <w:color w:val="auto"/>
          <w:kern w:val="0"/>
          <w:szCs w:val="21"/>
          <w:highlight w:val="none"/>
        </w:rPr>
        <w:t>二</w:t>
      </w:r>
      <w:r>
        <w:rPr>
          <w:color w:val="auto"/>
          <w:kern w:val="0"/>
          <w:szCs w:val="21"/>
          <w:highlight w:val="none"/>
          <w:lang w:eastAsia="zh-Hans"/>
        </w:rPr>
        <w:t>、提供具有独立承担民事责任的能力的证明材料</w:t>
      </w:r>
    </w:p>
    <w:p>
      <w:pPr>
        <w:widowControl/>
        <w:snapToGrid w:val="0"/>
        <w:spacing w:line="360" w:lineRule="auto"/>
        <w:contextualSpacing/>
        <w:jc w:val="left"/>
        <w:rPr>
          <w:color w:val="auto"/>
          <w:kern w:val="0"/>
          <w:szCs w:val="21"/>
          <w:highlight w:val="none"/>
          <w:lang w:eastAsia="zh-Hans"/>
        </w:rPr>
      </w:pPr>
      <w:r>
        <w:rPr>
          <w:rFonts w:hint="eastAsia"/>
          <w:color w:val="auto"/>
          <w:kern w:val="0"/>
          <w:szCs w:val="21"/>
          <w:highlight w:val="none"/>
          <w:lang w:eastAsia="zh-Hans"/>
        </w:rPr>
        <w:t>十</w:t>
      </w:r>
      <w:r>
        <w:rPr>
          <w:rFonts w:hint="eastAsia"/>
          <w:color w:val="auto"/>
          <w:kern w:val="0"/>
          <w:szCs w:val="21"/>
          <w:highlight w:val="none"/>
        </w:rPr>
        <w:t>三</w:t>
      </w:r>
      <w:r>
        <w:rPr>
          <w:color w:val="auto"/>
          <w:kern w:val="0"/>
          <w:szCs w:val="21"/>
          <w:highlight w:val="none"/>
          <w:lang w:eastAsia="zh-Hans"/>
        </w:rPr>
        <w:t>、</w:t>
      </w:r>
      <w:r>
        <w:rPr>
          <w:rFonts w:hint="eastAsia"/>
          <w:color w:val="auto"/>
          <w:kern w:val="0"/>
          <w:szCs w:val="21"/>
          <w:highlight w:val="none"/>
          <w:lang w:eastAsia="zh-Hans"/>
        </w:rPr>
        <w:t>拟投入本项目设备情况表</w:t>
      </w:r>
    </w:p>
    <w:p>
      <w:pPr>
        <w:widowControl/>
        <w:snapToGrid w:val="0"/>
        <w:spacing w:line="360" w:lineRule="auto"/>
        <w:contextualSpacing/>
        <w:jc w:val="left"/>
        <w:rPr>
          <w:color w:val="auto"/>
          <w:kern w:val="0"/>
          <w:szCs w:val="21"/>
          <w:highlight w:val="none"/>
        </w:rPr>
      </w:pPr>
      <w:r>
        <w:rPr>
          <w:color w:val="auto"/>
          <w:kern w:val="0"/>
          <w:szCs w:val="21"/>
          <w:highlight w:val="none"/>
          <w:lang w:eastAsia="zh-Hans"/>
        </w:rPr>
        <w:t>十</w:t>
      </w:r>
      <w:r>
        <w:rPr>
          <w:rFonts w:hint="eastAsia"/>
          <w:color w:val="auto"/>
          <w:kern w:val="0"/>
          <w:szCs w:val="21"/>
          <w:highlight w:val="none"/>
        </w:rPr>
        <w:t>四</w:t>
      </w:r>
      <w:r>
        <w:rPr>
          <w:color w:val="auto"/>
          <w:kern w:val="0"/>
          <w:szCs w:val="21"/>
          <w:highlight w:val="none"/>
          <w:lang w:eastAsia="zh-Hans"/>
        </w:rPr>
        <w:t>、</w:t>
      </w:r>
      <w:r>
        <w:rPr>
          <w:rFonts w:hint="eastAsia"/>
          <w:color w:val="auto"/>
          <w:kern w:val="0"/>
          <w:szCs w:val="21"/>
          <w:highlight w:val="none"/>
          <w:lang w:eastAsia="zh-Hans"/>
        </w:rPr>
        <w:t>项目技术服务人员情况表</w:t>
      </w:r>
    </w:p>
    <w:p>
      <w:pPr>
        <w:widowControl/>
        <w:snapToGrid w:val="0"/>
        <w:spacing w:line="360" w:lineRule="auto"/>
        <w:contextualSpacing/>
        <w:jc w:val="left"/>
        <w:rPr>
          <w:color w:val="auto"/>
          <w:kern w:val="0"/>
          <w:szCs w:val="21"/>
          <w:highlight w:val="none"/>
          <w:lang w:eastAsia="zh-Hans"/>
        </w:rPr>
      </w:pPr>
      <w:r>
        <w:rPr>
          <w:color w:val="auto"/>
          <w:kern w:val="0"/>
          <w:szCs w:val="21"/>
          <w:highlight w:val="none"/>
          <w:lang w:eastAsia="zh-Hans"/>
        </w:rPr>
        <w:t>十</w:t>
      </w:r>
      <w:r>
        <w:rPr>
          <w:rFonts w:hint="eastAsia"/>
          <w:color w:val="auto"/>
          <w:kern w:val="0"/>
          <w:szCs w:val="21"/>
          <w:highlight w:val="none"/>
        </w:rPr>
        <w:t>五</w:t>
      </w:r>
      <w:r>
        <w:rPr>
          <w:color w:val="auto"/>
          <w:kern w:val="0"/>
          <w:szCs w:val="21"/>
          <w:highlight w:val="none"/>
          <w:lang w:eastAsia="zh-Hans"/>
        </w:rPr>
        <w:t>、</w:t>
      </w:r>
      <w:r>
        <w:rPr>
          <w:rFonts w:hint="eastAsia"/>
          <w:color w:val="auto"/>
          <w:kern w:val="0"/>
          <w:szCs w:val="21"/>
          <w:highlight w:val="none"/>
          <w:lang w:eastAsia="zh-Hans"/>
        </w:rPr>
        <w:t>项目负责人简历表</w:t>
      </w:r>
    </w:p>
    <w:p>
      <w:pPr>
        <w:widowControl/>
        <w:snapToGrid w:val="0"/>
        <w:spacing w:line="360" w:lineRule="auto"/>
        <w:contextualSpacing/>
        <w:jc w:val="left"/>
        <w:rPr>
          <w:color w:val="auto"/>
          <w:kern w:val="0"/>
          <w:szCs w:val="21"/>
          <w:highlight w:val="none"/>
          <w:lang w:eastAsia="zh-Hans"/>
        </w:rPr>
      </w:pPr>
      <w:r>
        <w:rPr>
          <w:color w:val="auto"/>
          <w:kern w:val="0"/>
          <w:szCs w:val="21"/>
          <w:highlight w:val="none"/>
          <w:lang w:eastAsia="zh-Hans"/>
        </w:rPr>
        <w:t>十</w:t>
      </w:r>
      <w:r>
        <w:rPr>
          <w:rFonts w:hint="eastAsia"/>
          <w:color w:val="auto"/>
          <w:kern w:val="0"/>
          <w:szCs w:val="21"/>
          <w:highlight w:val="none"/>
        </w:rPr>
        <w:t>六</w:t>
      </w:r>
      <w:r>
        <w:rPr>
          <w:color w:val="auto"/>
          <w:kern w:val="0"/>
          <w:szCs w:val="21"/>
          <w:highlight w:val="none"/>
          <w:lang w:eastAsia="zh-Hans"/>
        </w:rPr>
        <w:t>、</w:t>
      </w:r>
      <w:r>
        <w:rPr>
          <w:rFonts w:hint="eastAsia"/>
          <w:color w:val="auto"/>
          <w:kern w:val="0"/>
          <w:szCs w:val="21"/>
          <w:highlight w:val="none"/>
          <w:lang w:eastAsia="zh-Hans"/>
        </w:rPr>
        <w:t>供应商业绩情况表</w:t>
      </w:r>
    </w:p>
    <w:p>
      <w:pPr>
        <w:widowControl/>
        <w:snapToGrid w:val="0"/>
        <w:spacing w:line="360" w:lineRule="auto"/>
        <w:contextualSpacing/>
        <w:jc w:val="left"/>
        <w:rPr>
          <w:color w:val="auto"/>
          <w:kern w:val="0"/>
          <w:szCs w:val="21"/>
          <w:highlight w:val="none"/>
          <w:lang w:eastAsia="zh-Hans"/>
        </w:rPr>
      </w:pPr>
      <w:r>
        <w:rPr>
          <w:color w:val="auto"/>
          <w:kern w:val="0"/>
          <w:szCs w:val="21"/>
          <w:highlight w:val="none"/>
          <w:lang w:eastAsia="zh-Hans"/>
        </w:rPr>
        <w:t>十</w:t>
      </w:r>
      <w:r>
        <w:rPr>
          <w:rFonts w:hint="eastAsia"/>
          <w:color w:val="auto"/>
          <w:kern w:val="0"/>
          <w:szCs w:val="21"/>
          <w:highlight w:val="none"/>
        </w:rPr>
        <w:t>七</w:t>
      </w:r>
      <w:r>
        <w:rPr>
          <w:color w:val="auto"/>
          <w:kern w:val="0"/>
          <w:szCs w:val="21"/>
          <w:highlight w:val="none"/>
          <w:lang w:eastAsia="zh-Hans"/>
        </w:rPr>
        <w:t>、</w:t>
      </w:r>
      <w:r>
        <w:rPr>
          <w:rFonts w:hint="eastAsia"/>
          <w:color w:val="auto"/>
          <w:kern w:val="0"/>
          <w:szCs w:val="21"/>
          <w:highlight w:val="none"/>
          <w:lang w:eastAsia="zh-Hans"/>
        </w:rPr>
        <w:t>技术和服务要求响应表</w:t>
      </w:r>
    </w:p>
    <w:p>
      <w:pPr>
        <w:widowControl/>
        <w:snapToGrid w:val="0"/>
        <w:spacing w:line="360" w:lineRule="auto"/>
        <w:contextualSpacing/>
        <w:jc w:val="left"/>
        <w:rPr>
          <w:color w:val="auto"/>
          <w:kern w:val="0"/>
          <w:szCs w:val="21"/>
          <w:highlight w:val="none"/>
          <w:lang w:eastAsia="zh-Hans"/>
        </w:rPr>
      </w:pPr>
      <w:r>
        <w:rPr>
          <w:color w:val="auto"/>
          <w:kern w:val="0"/>
          <w:szCs w:val="21"/>
          <w:highlight w:val="none"/>
          <w:lang w:eastAsia="zh-Hans"/>
        </w:rPr>
        <w:t>十</w:t>
      </w:r>
      <w:r>
        <w:rPr>
          <w:rFonts w:hint="eastAsia"/>
          <w:color w:val="auto"/>
          <w:kern w:val="0"/>
          <w:szCs w:val="21"/>
          <w:highlight w:val="none"/>
        </w:rPr>
        <w:t>八</w:t>
      </w:r>
      <w:r>
        <w:rPr>
          <w:color w:val="auto"/>
          <w:kern w:val="0"/>
          <w:szCs w:val="21"/>
          <w:highlight w:val="none"/>
          <w:lang w:eastAsia="zh-Hans"/>
        </w:rPr>
        <w:t>、</w:t>
      </w:r>
      <w:r>
        <w:rPr>
          <w:rFonts w:hint="eastAsia"/>
          <w:color w:val="auto"/>
          <w:kern w:val="0"/>
          <w:szCs w:val="21"/>
          <w:highlight w:val="none"/>
          <w:lang w:eastAsia="zh-Hans"/>
        </w:rPr>
        <w:t>商务条件响应表</w:t>
      </w:r>
    </w:p>
    <w:p>
      <w:pPr>
        <w:widowControl/>
        <w:snapToGrid w:val="0"/>
        <w:spacing w:line="360" w:lineRule="auto"/>
        <w:contextualSpacing/>
        <w:jc w:val="left"/>
        <w:rPr>
          <w:color w:val="auto"/>
          <w:kern w:val="0"/>
          <w:szCs w:val="21"/>
          <w:highlight w:val="none"/>
          <w:lang w:eastAsia="zh-Hans"/>
        </w:rPr>
      </w:pPr>
      <w:r>
        <w:rPr>
          <w:rFonts w:hint="eastAsia"/>
          <w:color w:val="auto"/>
          <w:kern w:val="0"/>
          <w:szCs w:val="21"/>
          <w:highlight w:val="none"/>
        </w:rPr>
        <w:t>十九</w:t>
      </w:r>
      <w:r>
        <w:rPr>
          <w:color w:val="auto"/>
          <w:kern w:val="0"/>
          <w:szCs w:val="21"/>
          <w:highlight w:val="none"/>
          <w:lang w:eastAsia="zh-Hans"/>
        </w:rPr>
        <w:t>、</w:t>
      </w:r>
      <w:r>
        <w:rPr>
          <w:rFonts w:hint="eastAsia"/>
          <w:color w:val="auto"/>
          <w:kern w:val="0"/>
          <w:szCs w:val="21"/>
          <w:highlight w:val="none"/>
          <w:lang w:eastAsia="zh-Hans"/>
        </w:rPr>
        <w:t>各类证明材料</w:t>
      </w:r>
    </w:p>
    <w:p>
      <w:pPr>
        <w:widowControl/>
        <w:snapToGrid w:val="0"/>
        <w:spacing w:line="360" w:lineRule="auto"/>
        <w:contextualSpacing/>
        <w:jc w:val="left"/>
        <w:rPr>
          <w:color w:val="auto"/>
          <w:kern w:val="0"/>
          <w:szCs w:val="21"/>
          <w:highlight w:val="none"/>
        </w:rPr>
      </w:pPr>
      <w:r>
        <w:rPr>
          <w:rFonts w:hint="eastAsia"/>
          <w:color w:val="auto"/>
          <w:kern w:val="0"/>
          <w:szCs w:val="21"/>
          <w:highlight w:val="none"/>
          <w:lang w:eastAsia="zh-Hans"/>
        </w:rPr>
        <w:t>二十</w:t>
      </w:r>
      <w:r>
        <w:rPr>
          <w:color w:val="auto"/>
          <w:kern w:val="0"/>
          <w:szCs w:val="21"/>
          <w:highlight w:val="none"/>
          <w:lang w:eastAsia="zh-Hans"/>
        </w:rPr>
        <w:t>、</w:t>
      </w:r>
      <w:r>
        <w:rPr>
          <w:rFonts w:hint="eastAsia"/>
          <w:color w:val="auto"/>
          <w:kern w:val="0"/>
          <w:szCs w:val="21"/>
          <w:highlight w:val="none"/>
          <w:lang w:eastAsia="zh-Hans"/>
        </w:rPr>
        <w:t>采购代理服务费支付承诺书</w:t>
      </w:r>
    </w:p>
    <w:p>
      <w:pPr>
        <w:widowControl/>
        <w:snapToGrid w:val="0"/>
        <w:spacing w:line="360" w:lineRule="auto"/>
        <w:contextualSpacing/>
        <w:jc w:val="left"/>
        <w:rPr>
          <w:color w:val="auto"/>
          <w:kern w:val="0"/>
          <w:szCs w:val="21"/>
          <w:highlight w:val="none"/>
          <w:lang w:eastAsia="zh-Hans"/>
        </w:rPr>
      </w:pPr>
      <w:r>
        <w:rPr>
          <w:rFonts w:hint="eastAsia"/>
          <w:color w:val="auto"/>
          <w:kern w:val="0"/>
          <w:szCs w:val="21"/>
          <w:highlight w:val="none"/>
          <w:lang w:eastAsia="zh-Hans"/>
        </w:rPr>
        <w:t>二十</w:t>
      </w:r>
      <w:r>
        <w:rPr>
          <w:rFonts w:hint="eastAsia"/>
          <w:color w:val="auto"/>
          <w:kern w:val="0"/>
          <w:szCs w:val="21"/>
          <w:highlight w:val="none"/>
        </w:rPr>
        <w:t>一</w:t>
      </w:r>
      <w:r>
        <w:rPr>
          <w:color w:val="auto"/>
          <w:kern w:val="0"/>
          <w:szCs w:val="21"/>
          <w:highlight w:val="none"/>
          <w:lang w:eastAsia="zh-Hans"/>
        </w:rPr>
        <w:t>、</w:t>
      </w:r>
      <w:r>
        <w:rPr>
          <w:rFonts w:hint="eastAsia"/>
          <w:color w:val="auto"/>
          <w:kern w:val="0"/>
          <w:szCs w:val="21"/>
          <w:highlight w:val="none"/>
          <w:lang w:eastAsia="zh-Hans"/>
        </w:rPr>
        <w:t>询问函、质疑函、投诉书格式</w:t>
      </w:r>
    </w:p>
    <w:p>
      <w:pPr>
        <w:widowControl/>
        <w:snapToGrid w:val="0"/>
        <w:spacing w:line="360" w:lineRule="auto"/>
        <w:contextualSpacing/>
        <w:jc w:val="left"/>
        <w:rPr>
          <w:color w:val="auto"/>
          <w:kern w:val="0"/>
          <w:sz w:val="20"/>
          <w:szCs w:val="20"/>
          <w:highlight w:val="none"/>
          <w:lang w:eastAsia="zh-Hans"/>
        </w:rPr>
      </w:pPr>
      <w:r>
        <w:rPr>
          <w:rFonts w:hint="eastAsia"/>
          <w:color w:val="auto"/>
          <w:kern w:val="0"/>
          <w:szCs w:val="21"/>
          <w:highlight w:val="none"/>
          <w:lang w:eastAsia="zh-Hans"/>
        </w:rPr>
        <w:t>二十</w:t>
      </w:r>
      <w:r>
        <w:rPr>
          <w:rFonts w:hint="eastAsia"/>
          <w:color w:val="auto"/>
          <w:kern w:val="0"/>
          <w:szCs w:val="21"/>
          <w:highlight w:val="none"/>
        </w:rPr>
        <w:t>二</w:t>
      </w:r>
      <w:r>
        <w:rPr>
          <w:color w:val="auto"/>
          <w:kern w:val="0"/>
          <w:szCs w:val="21"/>
          <w:highlight w:val="none"/>
          <w:lang w:eastAsia="zh-Hans"/>
        </w:rPr>
        <w:t>、项目实施方案、质量保证及售后服务承诺等</w:t>
      </w:r>
    </w:p>
    <w:p>
      <w:pPr>
        <w:widowControl/>
        <w:jc w:val="left"/>
        <w:rPr>
          <w:color w:val="auto"/>
          <w:kern w:val="0"/>
          <w:sz w:val="20"/>
          <w:szCs w:val="20"/>
          <w:highlight w:val="none"/>
        </w:rPr>
      </w:pPr>
    </w:p>
    <w:p>
      <w:pPr>
        <w:widowControl/>
        <w:jc w:val="left"/>
        <w:rPr>
          <w:color w:val="auto"/>
          <w:kern w:val="0"/>
          <w:sz w:val="20"/>
          <w:szCs w:val="20"/>
          <w:highlight w:val="none"/>
          <w:lang w:eastAsia="zh-Hans"/>
        </w:rPr>
      </w:pPr>
    </w:p>
    <w:p>
      <w:pPr>
        <w:pageBreakBefore/>
        <w:rPr>
          <w:rFonts w:ascii="宋体" w:hAnsi="宋体"/>
          <w:b/>
          <w:bCs/>
          <w:color w:val="auto"/>
          <w:highlight w:val="none"/>
        </w:rPr>
      </w:pPr>
      <w:r>
        <w:rPr>
          <w:rFonts w:hint="eastAsia" w:ascii="宋体" w:hAnsi="宋体"/>
          <w:b/>
          <w:bCs/>
          <w:color w:val="auto"/>
          <w:sz w:val="24"/>
          <w:szCs w:val="28"/>
          <w:highlight w:val="none"/>
        </w:rPr>
        <w:t>资格、符合性审查索引表格式</w:t>
      </w:r>
    </w:p>
    <w:p>
      <w:pPr>
        <w:keepLines/>
        <w:tabs>
          <w:tab w:val="left" w:pos="284"/>
          <w:tab w:val="left" w:pos="426"/>
          <w:tab w:val="left" w:pos="709"/>
        </w:tabs>
        <w:spacing w:before="156" w:beforeLines="50" w:after="156" w:afterLines="50"/>
        <w:jc w:val="center"/>
        <w:rPr>
          <w:rFonts w:ascii="宋体" w:hAnsi="宋体"/>
          <w:b/>
          <w:bCs/>
          <w:color w:val="auto"/>
          <w:szCs w:val="21"/>
          <w:highlight w:val="none"/>
        </w:rPr>
      </w:pPr>
      <w:r>
        <w:rPr>
          <w:rFonts w:hint="eastAsia" w:ascii="宋体" w:hAnsi="宋体"/>
          <w:b/>
          <w:bCs/>
          <w:color w:val="auto"/>
          <w:sz w:val="28"/>
          <w:szCs w:val="28"/>
          <w:highlight w:val="none"/>
        </w:rPr>
        <w:t>资格、符合性审查索引表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5802"/>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3"/>
            <w:vAlign w:val="center"/>
          </w:tcPr>
          <w:p>
            <w:pPr>
              <w:spacing w:line="360" w:lineRule="auto"/>
              <w:jc w:val="left"/>
              <w:rPr>
                <w:rFonts w:ascii="宋体" w:hAnsi="宋体"/>
                <w:b/>
                <w:bCs/>
                <w:color w:val="auto"/>
                <w:spacing w:val="-10"/>
                <w:szCs w:val="21"/>
                <w:highlight w:val="none"/>
              </w:rPr>
            </w:pPr>
            <w:r>
              <w:rPr>
                <w:rFonts w:hint="eastAsia" w:ascii="宋体" w:hAnsi="宋体"/>
                <w:b/>
                <w:color w:val="auto"/>
                <w:spacing w:val="20"/>
                <w:sz w:val="24"/>
                <w:szCs w:val="24"/>
                <w:highlight w:val="none"/>
              </w:rPr>
              <w:t>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6" w:type="pct"/>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序号</w:t>
            </w:r>
          </w:p>
        </w:tc>
        <w:tc>
          <w:tcPr>
            <w:tcW w:w="3124" w:type="pct"/>
            <w:tcBorders>
              <w:bottom w:val="single" w:color="auto" w:sz="4" w:space="0"/>
              <w:tl2br w:val="nil"/>
            </w:tcBorders>
            <w:vAlign w:val="center"/>
          </w:tcPr>
          <w:p>
            <w:pPr>
              <w:spacing w:line="360" w:lineRule="auto"/>
              <w:ind w:left="211" w:hanging="211" w:hangingChars="100"/>
              <w:jc w:val="center"/>
              <w:rPr>
                <w:rFonts w:ascii="宋体" w:hAnsi="宋体"/>
                <w:b/>
                <w:bCs/>
                <w:color w:val="auto"/>
                <w:szCs w:val="21"/>
                <w:highlight w:val="none"/>
              </w:rPr>
            </w:pPr>
            <w:r>
              <w:rPr>
                <w:rFonts w:hint="eastAsia" w:ascii="宋体" w:hAnsi="宋体"/>
                <w:b/>
                <w:bCs/>
                <w:color w:val="auto"/>
                <w:szCs w:val="21"/>
                <w:highlight w:val="none"/>
              </w:rPr>
              <w:t>审查内容</w:t>
            </w:r>
          </w:p>
        </w:tc>
        <w:tc>
          <w:tcPr>
            <w:tcW w:w="1470" w:type="pct"/>
            <w:vAlign w:val="center"/>
          </w:tcPr>
          <w:p>
            <w:pPr>
              <w:spacing w:line="360" w:lineRule="auto"/>
              <w:jc w:val="center"/>
              <w:rPr>
                <w:rFonts w:ascii="宋体" w:hAnsi="宋体"/>
                <w:b/>
                <w:bCs/>
                <w:color w:val="auto"/>
                <w:spacing w:val="-10"/>
                <w:szCs w:val="21"/>
                <w:highlight w:val="none"/>
              </w:rPr>
            </w:pPr>
            <w:r>
              <w:rPr>
                <w:rFonts w:ascii="宋体" w:hAnsi="宋体"/>
                <w:b/>
                <w:bCs/>
                <w:color w:val="auto"/>
                <w:spacing w:val="-10"/>
                <w:szCs w:val="21"/>
                <w:highlight w:val="none"/>
              </w:rPr>
              <w:t>响应文件</w:t>
            </w:r>
            <w:r>
              <w:rPr>
                <w:rFonts w:hint="eastAsia" w:ascii="宋体" w:hAnsi="宋体"/>
                <w:b/>
                <w:bCs/>
                <w:color w:val="auto"/>
                <w:highlight w:val="none"/>
              </w:rPr>
              <w:t>对应页码范围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6" w:type="pct"/>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1</w:t>
            </w:r>
          </w:p>
        </w:tc>
        <w:tc>
          <w:tcPr>
            <w:tcW w:w="3124" w:type="pct"/>
            <w:tcBorders>
              <w:tl2br w:val="nil"/>
            </w:tcBorders>
            <w:vAlign w:val="center"/>
          </w:tcPr>
          <w:p>
            <w:pPr>
              <w:spacing w:line="360" w:lineRule="auto"/>
              <w:jc w:val="center"/>
              <w:rPr>
                <w:rFonts w:ascii="宋体" w:hAnsi="宋体"/>
                <w:b/>
                <w:bCs/>
                <w:color w:val="auto"/>
                <w:szCs w:val="21"/>
                <w:highlight w:val="none"/>
              </w:rPr>
            </w:pPr>
          </w:p>
        </w:tc>
        <w:tc>
          <w:tcPr>
            <w:tcW w:w="1470" w:type="pct"/>
            <w:vAlign w:val="center"/>
          </w:tcPr>
          <w:p>
            <w:pPr>
              <w:spacing w:line="360" w:lineRule="auto"/>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2</w:t>
            </w:r>
          </w:p>
        </w:tc>
        <w:tc>
          <w:tcPr>
            <w:tcW w:w="3124" w:type="pct"/>
            <w:vAlign w:val="center"/>
          </w:tcPr>
          <w:p>
            <w:pPr>
              <w:spacing w:line="360" w:lineRule="auto"/>
              <w:jc w:val="center"/>
              <w:rPr>
                <w:rFonts w:ascii="宋体" w:hAnsi="宋体"/>
                <w:b/>
                <w:bCs/>
                <w:color w:val="auto"/>
                <w:szCs w:val="21"/>
                <w:highlight w:val="none"/>
              </w:rPr>
            </w:pPr>
          </w:p>
        </w:tc>
        <w:tc>
          <w:tcPr>
            <w:tcW w:w="1470" w:type="pct"/>
            <w:vAlign w:val="center"/>
          </w:tcPr>
          <w:p>
            <w:pPr>
              <w:spacing w:line="360" w:lineRule="auto"/>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3</w:t>
            </w:r>
          </w:p>
        </w:tc>
        <w:tc>
          <w:tcPr>
            <w:tcW w:w="3124" w:type="pct"/>
            <w:vAlign w:val="center"/>
          </w:tcPr>
          <w:p>
            <w:pPr>
              <w:spacing w:line="360" w:lineRule="auto"/>
              <w:jc w:val="center"/>
              <w:rPr>
                <w:rFonts w:ascii="宋体" w:hAnsi="宋体"/>
                <w:b/>
                <w:bCs/>
                <w:color w:val="auto"/>
                <w:szCs w:val="21"/>
                <w:highlight w:val="none"/>
              </w:rPr>
            </w:pPr>
          </w:p>
        </w:tc>
        <w:tc>
          <w:tcPr>
            <w:tcW w:w="1470" w:type="pct"/>
            <w:vAlign w:val="center"/>
          </w:tcPr>
          <w:p>
            <w:pPr>
              <w:spacing w:line="360" w:lineRule="auto"/>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w:t>
            </w:r>
          </w:p>
        </w:tc>
        <w:tc>
          <w:tcPr>
            <w:tcW w:w="3124" w:type="pct"/>
            <w:vAlign w:val="center"/>
          </w:tcPr>
          <w:p>
            <w:pPr>
              <w:spacing w:line="360" w:lineRule="auto"/>
              <w:jc w:val="center"/>
              <w:rPr>
                <w:rFonts w:ascii="宋体" w:hAnsi="宋体"/>
                <w:b/>
                <w:bCs/>
                <w:color w:val="auto"/>
                <w:szCs w:val="21"/>
                <w:highlight w:val="none"/>
              </w:rPr>
            </w:pPr>
          </w:p>
        </w:tc>
        <w:tc>
          <w:tcPr>
            <w:tcW w:w="1470" w:type="pct"/>
            <w:vAlign w:val="center"/>
          </w:tcPr>
          <w:p>
            <w:pPr>
              <w:spacing w:line="360" w:lineRule="auto"/>
              <w:jc w:val="center"/>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3"/>
            <w:vAlign w:val="center"/>
          </w:tcPr>
          <w:p>
            <w:pPr>
              <w:spacing w:line="360" w:lineRule="auto"/>
              <w:jc w:val="left"/>
              <w:rPr>
                <w:rFonts w:ascii="宋体" w:hAnsi="宋体"/>
                <w:b/>
                <w:bCs/>
                <w:color w:val="auto"/>
                <w:szCs w:val="21"/>
                <w:highlight w:val="none"/>
              </w:rPr>
            </w:pPr>
            <w:r>
              <w:rPr>
                <w:rFonts w:hint="eastAsia" w:ascii="宋体" w:hAnsi="宋体"/>
                <w:b/>
                <w:bCs/>
                <w:color w:val="auto"/>
                <w:sz w:val="24"/>
                <w:szCs w:val="24"/>
                <w:highlight w:val="none"/>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pPr>
              <w:spacing w:line="360" w:lineRule="auto"/>
              <w:jc w:val="center"/>
              <w:rPr>
                <w:rFonts w:ascii="宋体" w:hAnsi="宋体"/>
                <w:bCs/>
                <w:color w:val="auto"/>
                <w:szCs w:val="21"/>
                <w:highlight w:val="none"/>
              </w:rPr>
            </w:pPr>
            <w:r>
              <w:rPr>
                <w:rFonts w:hint="eastAsia" w:ascii="宋体" w:hAnsi="宋体"/>
                <w:b/>
                <w:bCs/>
                <w:color w:val="auto"/>
                <w:szCs w:val="21"/>
                <w:highlight w:val="none"/>
              </w:rPr>
              <w:t>序号</w:t>
            </w:r>
          </w:p>
        </w:tc>
        <w:tc>
          <w:tcPr>
            <w:tcW w:w="3124" w:type="pct"/>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审查内容</w:t>
            </w:r>
          </w:p>
        </w:tc>
        <w:tc>
          <w:tcPr>
            <w:tcW w:w="1470" w:type="pct"/>
            <w:vAlign w:val="center"/>
          </w:tcPr>
          <w:p>
            <w:pPr>
              <w:spacing w:line="360" w:lineRule="auto"/>
              <w:jc w:val="center"/>
              <w:rPr>
                <w:rFonts w:ascii="宋体" w:hAnsi="宋体"/>
                <w:b/>
                <w:bCs/>
                <w:color w:val="auto"/>
                <w:szCs w:val="21"/>
                <w:highlight w:val="none"/>
              </w:rPr>
            </w:pPr>
            <w:r>
              <w:rPr>
                <w:rFonts w:ascii="宋体" w:hAnsi="宋体"/>
                <w:b/>
                <w:bCs/>
                <w:color w:val="auto"/>
                <w:spacing w:val="-10"/>
                <w:szCs w:val="21"/>
                <w:highlight w:val="none"/>
              </w:rPr>
              <w:t>响应文件</w:t>
            </w:r>
            <w:r>
              <w:rPr>
                <w:rFonts w:hint="eastAsia" w:ascii="宋体" w:hAnsi="宋体"/>
                <w:b/>
                <w:bCs/>
                <w:color w:val="auto"/>
                <w:highlight w:val="none"/>
              </w:rPr>
              <w:t>对应页码范围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24" w:type="pct"/>
            <w:vAlign w:val="center"/>
          </w:tcPr>
          <w:p>
            <w:pPr>
              <w:spacing w:line="360" w:lineRule="auto"/>
              <w:jc w:val="center"/>
              <w:rPr>
                <w:rFonts w:ascii="宋体" w:hAnsi="宋体"/>
                <w:b/>
                <w:bCs/>
                <w:color w:val="auto"/>
                <w:szCs w:val="21"/>
                <w:highlight w:val="none"/>
              </w:rPr>
            </w:pPr>
          </w:p>
        </w:tc>
        <w:tc>
          <w:tcPr>
            <w:tcW w:w="1470" w:type="pct"/>
            <w:vAlign w:val="center"/>
          </w:tcPr>
          <w:p>
            <w:pPr>
              <w:spacing w:line="360" w:lineRule="auto"/>
              <w:jc w:val="center"/>
              <w:rPr>
                <w:rFonts w:ascii="宋体" w:hAnsi="宋体"/>
                <w:b/>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24" w:type="pct"/>
            <w:vAlign w:val="center"/>
          </w:tcPr>
          <w:p>
            <w:pPr>
              <w:spacing w:line="360" w:lineRule="auto"/>
              <w:jc w:val="center"/>
              <w:rPr>
                <w:rFonts w:ascii="宋体" w:hAnsi="宋体"/>
                <w:b/>
                <w:bCs/>
                <w:color w:val="auto"/>
                <w:szCs w:val="21"/>
                <w:highlight w:val="none"/>
              </w:rPr>
            </w:pPr>
          </w:p>
        </w:tc>
        <w:tc>
          <w:tcPr>
            <w:tcW w:w="1470" w:type="pct"/>
            <w:vAlign w:val="center"/>
          </w:tcPr>
          <w:p>
            <w:pPr>
              <w:spacing w:line="360" w:lineRule="auto"/>
              <w:jc w:val="center"/>
              <w:rPr>
                <w:rFonts w:ascii="宋体" w:hAnsi="宋体"/>
                <w:b/>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24" w:type="pct"/>
            <w:vAlign w:val="center"/>
          </w:tcPr>
          <w:p>
            <w:pPr>
              <w:spacing w:line="360" w:lineRule="auto"/>
              <w:jc w:val="center"/>
              <w:rPr>
                <w:rFonts w:ascii="宋体" w:hAnsi="宋体"/>
                <w:b/>
                <w:bCs/>
                <w:color w:val="auto"/>
                <w:szCs w:val="21"/>
                <w:highlight w:val="none"/>
              </w:rPr>
            </w:pPr>
          </w:p>
        </w:tc>
        <w:tc>
          <w:tcPr>
            <w:tcW w:w="1470" w:type="pct"/>
            <w:vAlign w:val="center"/>
          </w:tcPr>
          <w:p>
            <w:pPr>
              <w:spacing w:line="360" w:lineRule="auto"/>
              <w:jc w:val="center"/>
              <w:rPr>
                <w:rFonts w:ascii="宋体" w:hAnsi="宋体"/>
                <w:b/>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pPr>
              <w:spacing w:line="360" w:lineRule="auto"/>
              <w:jc w:val="center"/>
              <w:rPr>
                <w:rFonts w:ascii="宋体" w:hAnsi="宋体"/>
                <w:color w:val="auto"/>
                <w:szCs w:val="21"/>
                <w:highlight w:val="none"/>
              </w:rPr>
            </w:pPr>
            <w:r>
              <w:rPr>
                <w:rFonts w:ascii="宋体" w:hAnsi="宋体"/>
                <w:color w:val="auto"/>
                <w:szCs w:val="21"/>
                <w:highlight w:val="none"/>
              </w:rPr>
              <w:t>…</w:t>
            </w:r>
          </w:p>
        </w:tc>
        <w:tc>
          <w:tcPr>
            <w:tcW w:w="3124" w:type="pct"/>
            <w:vAlign w:val="center"/>
          </w:tcPr>
          <w:p>
            <w:pPr>
              <w:spacing w:line="360" w:lineRule="auto"/>
              <w:jc w:val="center"/>
              <w:rPr>
                <w:rFonts w:ascii="宋体" w:hAnsi="宋体"/>
                <w:b/>
                <w:bCs/>
                <w:color w:val="auto"/>
                <w:szCs w:val="21"/>
                <w:highlight w:val="none"/>
              </w:rPr>
            </w:pPr>
          </w:p>
        </w:tc>
        <w:tc>
          <w:tcPr>
            <w:tcW w:w="1470" w:type="pct"/>
            <w:vAlign w:val="center"/>
          </w:tcPr>
          <w:p>
            <w:pPr>
              <w:spacing w:line="360" w:lineRule="auto"/>
              <w:jc w:val="center"/>
              <w:rPr>
                <w:rFonts w:ascii="宋体" w:hAnsi="宋体"/>
                <w:b/>
                <w:bCs/>
                <w:color w:val="auto"/>
                <w:spacing w:val="-10"/>
                <w:szCs w:val="21"/>
                <w:highlight w:val="none"/>
              </w:rPr>
            </w:pPr>
          </w:p>
        </w:tc>
      </w:tr>
    </w:tbl>
    <w:p>
      <w:pPr>
        <w:spacing w:before="156" w:beforeLines="50" w:line="360" w:lineRule="auto"/>
        <w:rPr>
          <w:rFonts w:ascii="宋体" w:hAnsi="宋体"/>
          <w:color w:val="auto"/>
          <w:spacing w:val="-4"/>
          <w:szCs w:val="21"/>
          <w:highlight w:val="none"/>
        </w:rPr>
      </w:pPr>
      <w:r>
        <w:rPr>
          <w:rFonts w:hint="eastAsia" w:ascii="宋体" w:hAnsi="宋体"/>
          <w:color w:val="auto"/>
          <w:spacing w:val="-4"/>
          <w:szCs w:val="21"/>
          <w:highlight w:val="none"/>
        </w:rPr>
        <w:t>注：</w:t>
      </w:r>
      <w:r>
        <w:rPr>
          <w:rFonts w:ascii="宋体" w:hAnsi="宋体"/>
          <w:color w:val="auto"/>
          <w:kern w:val="0"/>
          <w:szCs w:val="21"/>
          <w:highlight w:val="none"/>
          <w:lang w:eastAsia="zh-Hans"/>
        </w:rPr>
        <w:t>“</w:t>
      </w:r>
      <w:r>
        <w:rPr>
          <w:rFonts w:hint="eastAsia" w:ascii="宋体" w:hAnsi="宋体"/>
          <w:color w:val="auto"/>
          <w:szCs w:val="21"/>
          <w:highlight w:val="none"/>
        </w:rPr>
        <w:t>审查内容</w:t>
      </w:r>
      <w:r>
        <w:rPr>
          <w:rFonts w:ascii="宋体" w:hAnsi="宋体"/>
          <w:color w:val="auto"/>
          <w:kern w:val="0"/>
          <w:szCs w:val="21"/>
          <w:highlight w:val="none"/>
          <w:lang w:eastAsia="zh-Hans"/>
        </w:rPr>
        <w:t>”</w:t>
      </w:r>
      <w:r>
        <w:rPr>
          <w:rFonts w:hint="eastAsia" w:ascii="宋体" w:hAnsi="宋体"/>
          <w:color w:val="auto"/>
          <w:szCs w:val="21"/>
          <w:highlight w:val="none"/>
        </w:rPr>
        <w:t xml:space="preserve">按磋商文件《第四章 </w:t>
      </w:r>
      <w:r>
        <w:rPr>
          <w:rFonts w:ascii="宋体" w:hAnsi="宋体"/>
          <w:color w:val="auto"/>
          <w:szCs w:val="21"/>
          <w:highlight w:val="none"/>
        </w:rPr>
        <w:t>评审</w:t>
      </w:r>
      <w:r>
        <w:rPr>
          <w:rFonts w:hint="eastAsia" w:ascii="宋体" w:hAnsi="宋体"/>
          <w:color w:val="auto"/>
          <w:szCs w:val="21"/>
          <w:highlight w:val="none"/>
        </w:rPr>
        <w:t>》之</w:t>
      </w:r>
      <w:r>
        <w:rPr>
          <w:rFonts w:ascii="宋体" w:hAnsi="宋体"/>
          <w:b/>
          <w:bCs/>
          <w:color w:val="auto"/>
          <w:kern w:val="0"/>
          <w:szCs w:val="21"/>
          <w:highlight w:val="none"/>
          <w:u w:val="single"/>
          <w:lang w:eastAsia="zh-Hans"/>
        </w:rPr>
        <w:t>表一资格性审查表</w:t>
      </w:r>
      <w:r>
        <w:rPr>
          <w:rFonts w:hint="eastAsia" w:ascii="宋体" w:hAnsi="宋体"/>
          <w:b/>
          <w:bCs/>
          <w:color w:val="auto"/>
          <w:kern w:val="0"/>
          <w:szCs w:val="21"/>
          <w:highlight w:val="none"/>
          <w:u w:val="single"/>
          <w:lang w:eastAsia="zh-Hans"/>
        </w:rPr>
        <w:t>、</w:t>
      </w:r>
      <w:r>
        <w:rPr>
          <w:rFonts w:hint="eastAsia" w:ascii="宋体" w:hAnsi="宋体"/>
          <w:b/>
          <w:bCs/>
          <w:color w:val="auto"/>
          <w:szCs w:val="21"/>
          <w:highlight w:val="none"/>
          <w:u w:val="single"/>
        </w:rPr>
        <w:t>表二符合性审查表</w:t>
      </w:r>
      <w:r>
        <w:rPr>
          <w:rFonts w:hint="eastAsia" w:ascii="宋体" w:hAnsi="宋体"/>
          <w:color w:val="auto"/>
          <w:szCs w:val="21"/>
          <w:highlight w:val="none"/>
        </w:rPr>
        <w:t>相对应条款填写。</w:t>
      </w:r>
    </w:p>
    <w:p>
      <w:pPr>
        <w:pageBreakBefore/>
        <w:tabs>
          <w:tab w:val="left" w:pos="284"/>
          <w:tab w:val="left" w:pos="426"/>
          <w:tab w:val="left" w:pos="709"/>
        </w:tabs>
        <w:jc w:val="left"/>
        <w:rPr>
          <w:rFonts w:ascii="宋体" w:hAnsi="宋体"/>
          <w:b/>
          <w:bCs/>
          <w:color w:val="auto"/>
          <w:szCs w:val="21"/>
          <w:highlight w:val="none"/>
        </w:rPr>
      </w:pPr>
      <w:bookmarkStart w:id="50" w:name="_Hlk169787866"/>
      <w:r>
        <w:rPr>
          <w:rFonts w:ascii="宋体" w:hAnsi="宋体"/>
          <w:b/>
          <w:bCs/>
          <w:color w:val="auto"/>
          <w:sz w:val="24"/>
          <w:szCs w:val="24"/>
          <w:highlight w:val="none"/>
        </w:rPr>
        <w:t>详细评审</w:t>
      </w:r>
      <w:r>
        <w:rPr>
          <w:rFonts w:hint="eastAsia" w:ascii="宋体" w:hAnsi="宋体"/>
          <w:b/>
          <w:bCs/>
          <w:color w:val="auto"/>
          <w:sz w:val="24"/>
          <w:szCs w:val="24"/>
          <w:highlight w:val="none"/>
        </w:rPr>
        <w:t>索引表</w:t>
      </w:r>
      <w:bookmarkEnd w:id="50"/>
      <w:r>
        <w:rPr>
          <w:rFonts w:hint="eastAsia" w:ascii="宋体" w:hAnsi="宋体"/>
          <w:b/>
          <w:bCs/>
          <w:color w:val="auto"/>
          <w:sz w:val="24"/>
          <w:szCs w:val="24"/>
          <w:highlight w:val="none"/>
        </w:rPr>
        <w:t>格式</w:t>
      </w:r>
    </w:p>
    <w:p>
      <w:pPr>
        <w:spacing w:before="312" w:beforeLines="100" w:after="312" w:afterLines="100"/>
        <w:jc w:val="center"/>
        <w:rPr>
          <w:rFonts w:ascii="宋体" w:hAnsi="宋体"/>
          <w:b/>
          <w:color w:val="auto"/>
          <w:spacing w:val="20"/>
          <w:szCs w:val="21"/>
          <w:highlight w:val="none"/>
        </w:rPr>
      </w:pPr>
      <w:r>
        <w:rPr>
          <w:rFonts w:ascii="宋体" w:hAnsi="宋体"/>
          <w:b/>
          <w:color w:val="auto"/>
          <w:spacing w:val="20"/>
          <w:sz w:val="28"/>
          <w:szCs w:val="28"/>
          <w:highlight w:val="none"/>
        </w:rPr>
        <w:t>详细评审</w:t>
      </w:r>
      <w:r>
        <w:rPr>
          <w:rFonts w:hint="eastAsia" w:ascii="宋体" w:hAnsi="宋体"/>
          <w:b/>
          <w:color w:val="auto"/>
          <w:spacing w:val="20"/>
          <w:sz w:val="28"/>
          <w:szCs w:val="28"/>
          <w:highlight w:val="none"/>
        </w:rPr>
        <w:t>索引表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697"/>
        <w:gridCol w:w="3703"/>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60" w:lineRule="auto"/>
              <w:jc w:val="center"/>
              <w:rPr>
                <w:rFonts w:ascii="宋体" w:hAnsi="宋体"/>
                <w:b/>
                <w:color w:val="auto"/>
                <w:sz w:val="24"/>
                <w:szCs w:val="24"/>
                <w:highlight w:val="none"/>
              </w:rPr>
            </w:pPr>
            <w:r>
              <w:rPr>
                <w:rFonts w:hint="eastAsia" w:ascii="宋体"/>
                <w:b/>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914" w:type="pct"/>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评分内容</w:t>
            </w:r>
          </w:p>
        </w:tc>
        <w:tc>
          <w:tcPr>
            <w:tcW w:w="1994" w:type="pct"/>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评分标准</w:t>
            </w:r>
          </w:p>
        </w:tc>
        <w:tc>
          <w:tcPr>
            <w:tcW w:w="1445" w:type="pct"/>
            <w:vAlign w:val="center"/>
          </w:tcPr>
          <w:p>
            <w:pPr>
              <w:spacing w:line="360" w:lineRule="auto"/>
              <w:jc w:val="center"/>
              <w:rPr>
                <w:rFonts w:ascii="宋体" w:hAnsi="宋体"/>
                <w:b/>
                <w:color w:val="auto"/>
                <w:szCs w:val="21"/>
                <w:highlight w:val="none"/>
              </w:rPr>
            </w:pPr>
            <w:r>
              <w:rPr>
                <w:rFonts w:ascii="宋体" w:hAnsi="宋体"/>
                <w:b/>
                <w:bCs/>
                <w:color w:val="auto"/>
                <w:spacing w:val="-10"/>
                <w:szCs w:val="21"/>
                <w:highlight w:val="none"/>
              </w:rPr>
              <w:t>响应文件</w:t>
            </w:r>
            <w:r>
              <w:rPr>
                <w:rFonts w:hint="eastAsia" w:ascii="宋体" w:hAnsi="宋体"/>
                <w:b/>
                <w:bCs/>
                <w:color w:val="auto"/>
                <w:highlight w:val="none"/>
              </w:rPr>
              <w:t>对应页码范围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b/>
                <w:color w:val="auto"/>
                <w:szCs w:val="21"/>
                <w:highlight w:val="none"/>
              </w:rPr>
            </w:pPr>
          </w:p>
        </w:tc>
        <w:tc>
          <w:tcPr>
            <w:tcW w:w="914" w:type="pct"/>
            <w:vAlign w:val="center"/>
          </w:tcPr>
          <w:p>
            <w:pPr>
              <w:spacing w:line="360" w:lineRule="auto"/>
              <w:jc w:val="center"/>
              <w:rPr>
                <w:rFonts w:ascii="宋体" w:hAnsi="宋体"/>
                <w:b/>
                <w:color w:val="auto"/>
                <w:szCs w:val="21"/>
                <w:highlight w:val="none"/>
              </w:rPr>
            </w:pPr>
          </w:p>
        </w:tc>
        <w:tc>
          <w:tcPr>
            <w:tcW w:w="1994" w:type="pct"/>
            <w:vAlign w:val="center"/>
          </w:tcPr>
          <w:p>
            <w:pPr>
              <w:spacing w:line="360" w:lineRule="auto"/>
              <w:jc w:val="center"/>
              <w:rPr>
                <w:rFonts w:ascii="宋体" w:hAnsi="宋体"/>
                <w:b/>
                <w:color w:val="auto"/>
                <w:szCs w:val="21"/>
                <w:highlight w:val="none"/>
              </w:rPr>
            </w:pPr>
          </w:p>
        </w:tc>
        <w:tc>
          <w:tcPr>
            <w:tcW w:w="1445" w:type="pct"/>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b/>
                <w:color w:val="auto"/>
                <w:szCs w:val="21"/>
                <w:highlight w:val="none"/>
              </w:rPr>
            </w:pPr>
          </w:p>
        </w:tc>
        <w:tc>
          <w:tcPr>
            <w:tcW w:w="914" w:type="pct"/>
            <w:vAlign w:val="center"/>
          </w:tcPr>
          <w:p>
            <w:pPr>
              <w:spacing w:line="360" w:lineRule="auto"/>
              <w:jc w:val="center"/>
              <w:rPr>
                <w:rFonts w:ascii="宋体" w:hAnsi="宋体"/>
                <w:b/>
                <w:color w:val="auto"/>
                <w:szCs w:val="21"/>
                <w:highlight w:val="none"/>
              </w:rPr>
            </w:pPr>
          </w:p>
        </w:tc>
        <w:tc>
          <w:tcPr>
            <w:tcW w:w="1994" w:type="pct"/>
            <w:vAlign w:val="center"/>
          </w:tcPr>
          <w:p>
            <w:pPr>
              <w:spacing w:line="360" w:lineRule="auto"/>
              <w:jc w:val="center"/>
              <w:rPr>
                <w:rFonts w:ascii="宋体" w:hAnsi="宋体"/>
                <w:b/>
                <w:color w:val="auto"/>
                <w:szCs w:val="21"/>
                <w:highlight w:val="none"/>
              </w:rPr>
            </w:pPr>
          </w:p>
        </w:tc>
        <w:tc>
          <w:tcPr>
            <w:tcW w:w="1445" w:type="pct"/>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b/>
                <w:color w:val="auto"/>
                <w:szCs w:val="21"/>
                <w:highlight w:val="none"/>
              </w:rPr>
            </w:pPr>
          </w:p>
        </w:tc>
        <w:tc>
          <w:tcPr>
            <w:tcW w:w="914" w:type="pct"/>
            <w:vAlign w:val="center"/>
          </w:tcPr>
          <w:p>
            <w:pPr>
              <w:spacing w:line="360" w:lineRule="auto"/>
              <w:jc w:val="center"/>
              <w:rPr>
                <w:rFonts w:ascii="宋体" w:hAnsi="宋体"/>
                <w:b/>
                <w:color w:val="auto"/>
                <w:szCs w:val="21"/>
                <w:highlight w:val="none"/>
              </w:rPr>
            </w:pPr>
          </w:p>
        </w:tc>
        <w:tc>
          <w:tcPr>
            <w:tcW w:w="1994" w:type="pct"/>
            <w:vAlign w:val="center"/>
          </w:tcPr>
          <w:p>
            <w:pPr>
              <w:spacing w:line="360" w:lineRule="auto"/>
              <w:jc w:val="center"/>
              <w:rPr>
                <w:rFonts w:ascii="宋体" w:hAnsi="宋体"/>
                <w:b/>
                <w:color w:val="auto"/>
                <w:szCs w:val="21"/>
                <w:highlight w:val="none"/>
              </w:rPr>
            </w:pPr>
          </w:p>
        </w:tc>
        <w:tc>
          <w:tcPr>
            <w:tcW w:w="1445" w:type="pct"/>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b/>
                <w:color w:val="auto"/>
                <w:szCs w:val="21"/>
                <w:highlight w:val="none"/>
              </w:rPr>
            </w:pPr>
          </w:p>
        </w:tc>
        <w:tc>
          <w:tcPr>
            <w:tcW w:w="914" w:type="pct"/>
            <w:vAlign w:val="center"/>
          </w:tcPr>
          <w:p>
            <w:pPr>
              <w:spacing w:line="360" w:lineRule="auto"/>
              <w:jc w:val="center"/>
              <w:rPr>
                <w:rFonts w:ascii="宋体" w:hAnsi="宋体"/>
                <w:b/>
                <w:color w:val="auto"/>
                <w:szCs w:val="21"/>
                <w:highlight w:val="none"/>
              </w:rPr>
            </w:pPr>
          </w:p>
        </w:tc>
        <w:tc>
          <w:tcPr>
            <w:tcW w:w="1994" w:type="pct"/>
            <w:vAlign w:val="center"/>
          </w:tcPr>
          <w:p>
            <w:pPr>
              <w:spacing w:line="360" w:lineRule="auto"/>
              <w:jc w:val="center"/>
              <w:rPr>
                <w:rFonts w:ascii="宋体" w:hAnsi="宋体"/>
                <w:b/>
                <w:color w:val="auto"/>
                <w:szCs w:val="21"/>
                <w:highlight w:val="none"/>
              </w:rPr>
            </w:pPr>
          </w:p>
        </w:tc>
        <w:tc>
          <w:tcPr>
            <w:tcW w:w="1445" w:type="pct"/>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60" w:lineRule="auto"/>
              <w:jc w:val="center"/>
              <w:rPr>
                <w:rFonts w:ascii="宋体" w:hAnsi="宋体"/>
                <w:b/>
                <w:color w:val="auto"/>
                <w:sz w:val="24"/>
                <w:szCs w:val="24"/>
                <w:highlight w:val="none"/>
              </w:rPr>
            </w:pPr>
            <w:r>
              <w:rPr>
                <w:rFonts w:hint="eastAsia" w:ascii="宋体"/>
                <w:b/>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914" w:type="pct"/>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评分内容</w:t>
            </w:r>
          </w:p>
        </w:tc>
        <w:tc>
          <w:tcPr>
            <w:tcW w:w="1994" w:type="pct"/>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评分标准</w:t>
            </w:r>
          </w:p>
        </w:tc>
        <w:tc>
          <w:tcPr>
            <w:tcW w:w="1445" w:type="pct"/>
            <w:vAlign w:val="center"/>
          </w:tcPr>
          <w:p>
            <w:pPr>
              <w:spacing w:line="360" w:lineRule="auto"/>
              <w:jc w:val="center"/>
              <w:rPr>
                <w:rFonts w:ascii="宋体" w:hAnsi="宋体"/>
                <w:b/>
                <w:color w:val="auto"/>
                <w:szCs w:val="21"/>
                <w:highlight w:val="none"/>
              </w:rPr>
            </w:pPr>
            <w:r>
              <w:rPr>
                <w:rFonts w:ascii="宋体" w:hAnsi="宋体"/>
                <w:b/>
                <w:bCs/>
                <w:color w:val="auto"/>
                <w:spacing w:val="-10"/>
                <w:szCs w:val="21"/>
                <w:highlight w:val="none"/>
              </w:rPr>
              <w:t>响应文件</w:t>
            </w:r>
            <w:r>
              <w:rPr>
                <w:rFonts w:hint="eastAsia" w:ascii="宋体" w:hAnsi="宋体"/>
                <w:b/>
                <w:bCs/>
                <w:color w:val="auto"/>
                <w:highlight w:val="none"/>
              </w:rPr>
              <w:t>对应页码范围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b/>
                <w:color w:val="auto"/>
                <w:szCs w:val="21"/>
                <w:highlight w:val="none"/>
              </w:rPr>
            </w:pPr>
          </w:p>
        </w:tc>
        <w:tc>
          <w:tcPr>
            <w:tcW w:w="914" w:type="pct"/>
            <w:vAlign w:val="center"/>
          </w:tcPr>
          <w:p>
            <w:pPr>
              <w:spacing w:line="360" w:lineRule="auto"/>
              <w:jc w:val="center"/>
              <w:rPr>
                <w:rFonts w:ascii="宋体" w:hAnsi="宋体"/>
                <w:b/>
                <w:color w:val="auto"/>
                <w:szCs w:val="21"/>
                <w:highlight w:val="none"/>
              </w:rPr>
            </w:pPr>
          </w:p>
        </w:tc>
        <w:tc>
          <w:tcPr>
            <w:tcW w:w="1994" w:type="pct"/>
            <w:vAlign w:val="center"/>
          </w:tcPr>
          <w:p>
            <w:pPr>
              <w:spacing w:line="360" w:lineRule="auto"/>
              <w:jc w:val="center"/>
              <w:rPr>
                <w:rFonts w:ascii="宋体" w:hAnsi="宋体"/>
                <w:b/>
                <w:color w:val="auto"/>
                <w:szCs w:val="21"/>
                <w:highlight w:val="none"/>
              </w:rPr>
            </w:pPr>
          </w:p>
        </w:tc>
        <w:tc>
          <w:tcPr>
            <w:tcW w:w="1445" w:type="pct"/>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b/>
                <w:color w:val="auto"/>
                <w:szCs w:val="21"/>
                <w:highlight w:val="none"/>
              </w:rPr>
            </w:pPr>
          </w:p>
        </w:tc>
        <w:tc>
          <w:tcPr>
            <w:tcW w:w="914" w:type="pct"/>
            <w:vAlign w:val="center"/>
          </w:tcPr>
          <w:p>
            <w:pPr>
              <w:spacing w:line="360" w:lineRule="auto"/>
              <w:jc w:val="center"/>
              <w:rPr>
                <w:rFonts w:ascii="宋体" w:hAnsi="宋体"/>
                <w:b/>
                <w:color w:val="auto"/>
                <w:szCs w:val="21"/>
                <w:highlight w:val="none"/>
              </w:rPr>
            </w:pPr>
          </w:p>
        </w:tc>
        <w:tc>
          <w:tcPr>
            <w:tcW w:w="1994" w:type="pct"/>
            <w:vAlign w:val="center"/>
          </w:tcPr>
          <w:p>
            <w:pPr>
              <w:spacing w:line="360" w:lineRule="auto"/>
              <w:jc w:val="center"/>
              <w:rPr>
                <w:rFonts w:ascii="宋体" w:hAnsi="宋体"/>
                <w:b/>
                <w:color w:val="auto"/>
                <w:szCs w:val="21"/>
                <w:highlight w:val="none"/>
              </w:rPr>
            </w:pPr>
          </w:p>
        </w:tc>
        <w:tc>
          <w:tcPr>
            <w:tcW w:w="1445" w:type="pct"/>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b/>
                <w:color w:val="auto"/>
                <w:szCs w:val="21"/>
                <w:highlight w:val="none"/>
              </w:rPr>
            </w:pPr>
          </w:p>
        </w:tc>
        <w:tc>
          <w:tcPr>
            <w:tcW w:w="914" w:type="pct"/>
            <w:vAlign w:val="center"/>
          </w:tcPr>
          <w:p>
            <w:pPr>
              <w:spacing w:line="360" w:lineRule="auto"/>
              <w:jc w:val="center"/>
              <w:rPr>
                <w:rFonts w:ascii="宋体" w:hAnsi="宋体"/>
                <w:b/>
                <w:color w:val="auto"/>
                <w:szCs w:val="21"/>
                <w:highlight w:val="none"/>
              </w:rPr>
            </w:pPr>
          </w:p>
        </w:tc>
        <w:tc>
          <w:tcPr>
            <w:tcW w:w="1994" w:type="pct"/>
            <w:vAlign w:val="center"/>
          </w:tcPr>
          <w:p>
            <w:pPr>
              <w:spacing w:line="360" w:lineRule="auto"/>
              <w:jc w:val="center"/>
              <w:rPr>
                <w:rFonts w:ascii="宋体" w:hAnsi="宋体"/>
                <w:b/>
                <w:color w:val="auto"/>
                <w:szCs w:val="21"/>
                <w:highlight w:val="none"/>
              </w:rPr>
            </w:pPr>
          </w:p>
        </w:tc>
        <w:tc>
          <w:tcPr>
            <w:tcW w:w="1445" w:type="pct"/>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b/>
                <w:color w:val="auto"/>
                <w:szCs w:val="21"/>
                <w:highlight w:val="none"/>
              </w:rPr>
            </w:pPr>
          </w:p>
        </w:tc>
        <w:tc>
          <w:tcPr>
            <w:tcW w:w="914" w:type="pct"/>
            <w:vAlign w:val="center"/>
          </w:tcPr>
          <w:p>
            <w:pPr>
              <w:spacing w:line="360" w:lineRule="auto"/>
              <w:jc w:val="center"/>
              <w:rPr>
                <w:rFonts w:ascii="宋体" w:hAnsi="宋体"/>
                <w:b/>
                <w:color w:val="auto"/>
                <w:szCs w:val="21"/>
                <w:highlight w:val="none"/>
              </w:rPr>
            </w:pPr>
          </w:p>
        </w:tc>
        <w:tc>
          <w:tcPr>
            <w:tcW w:w="1994" w:type="pct"/>
            <w:vAlign w:val="center"/>
          </w:tcPr>
          <w:p>
            <w:pPr>
              <w:spacing w:line="360" w:lineRule="auto"/>
              <w:jc w:val="center"/>
              <w:rPr>
                <w:rFonts w:ascii="宋体" w:hAnsi="宋体"/>
                <w:b/>
                <w:color w:val="auto"/>
                <w:szCs w:val="21"/>
                <w:highlight w:val="none"/>
              </w:rPr>
            </w:pPr>
          </w:p>
        </w:tc>
        <w:tc>
          <w:tcPr>
            <w:tcW w:w="1445" w:type="pct"/>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b/>
                <w:color w:val="auto"/>
                <w:szCs w:val="21"/>
                <w:highlight w:val="none"/>
              </w:rPr>
            </w:pPr>
          </w:p>
        </w:tc>
        <w:tc>
          <w:tcPr>
            <w:tcW w:w="914" w:type="pct"/>
            <w:vAlign w:val="center"/>
          </w:tcPr>
          <w:p>
            <w:pPr>
              <w:spacing w:line="360" w:lineRule="auto"/>
              <w:jc w:val="center"/>
              <w:rPr>
                <w:rFonts w:ascii="宋体" w:hAnsi="宋体"/>
                <w:b/>
                <w:color w:val="auto"/>
                <w:szCs w:val="21"/>
                <w:highlight w:val="none"/>
              </w:rPr>
            </w:pPr>
          </w:p>
        </w:tc>
        <w:tc>
          <w:tcPr>
            <w:tcW w:w="1994" w:type="pct"/>
            <w:vAlign w:val="center"/>
          </w:tcPr>
          <w:p>
            <w:pPr>
              <w:spacing w:line="360" w:lineRule="auto"/>
              <w:jc w:val="center"/>
              <w:rPr>
                <w:rFonts w:ascii="宋体" w:hAnsi="宋体"/>
                <w:b/>
                <w:color w:val="auto"/>
                <w:szCs w:val="21"/>
                <w:highlight w:val="none"/>
              </w:rPr>
            </w:pPr>
          </w:p>
        </w:tc>
        <w:tc>
          <w:tcPr>
            <w:tcW w:w="1445" w:type="pct"/>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b/>
                <w:color w:val="auto"/>
                <w:szCs w:val="21"/>
                <w:highlight w:val="none"/>
              </w:rPr>
            </w:pPr>
          </w:p>
        </w:tc>
        <w:tc>
          <w:tcPr>
            <w:tcW w:w="914" w:type="pct"/>
            <w:vAlign w:val="center"/>
          </w:tcPr>
          <w:p>
            <w:pPr>
              <w:spacing w:line="360" w:lineRule="auto"/>
              <w:jc w:val="center"/>
              <w:rPr>
                <w:rFonts w:ascii="宋体" w:hAnsi="宋体"/>
                <w:b/>
                <w:color w:val="auto"/>
                <w:szCs w:val="21"/>
                <w:highlight w:val="none"/>
              </w:rPr>
            </w:pPr>
          </w:p>
        </w:tc>
        <w:tc>
          <w:tcPr>
            <w:tcW w:w="1994" w:type="pct"/>
            <w:vAlign w:val="center"/>
          </w:tcPr>
          <w:p>
            <w:pPr>
              <w:spacing w:line="360" w:lineRule="auto"/>
              <w:jc w:val="center"/>
              <w:rPr>
                <w:rFonts w:ascii="宋体" w:hAnsi="宋体"/>
                <w:b/>
                <w:color w:val="auto"/>
                <w:szCs w:val="21"/>
                <w:highlight w:val="none"/>
              </w:rPr>
            </w:pPr>
          </w:p>
        </w:tc>
        <w:tc>
          <w:tcPr>
            <w:tcW w:w="1445" w:type="pct"/>
            <w:vAlign w:val="center"/>
          </w:tcPr>
          <w:p>
            <w:pPr>
              <w:spacing w:line="360" w:lineRule="auto"/>
              <w:jc w:val="center"/>
              <w:rPr>
                <w:rFonts w:ascii="宋体" w:hAnsi="宋体"/>
                <w:b/>
                <w:color w:val="auto"/>
                <w:szCs w:val="21"/>
                <w:highlight w:val="none"/>
              </w:rPr>
            </w:pPr>
          </w:p>
        </w:tc>
      </w:tr>
    </w:tbl>
    <w:p>
      <w:pPr>
        <w:spacing w:before="156" w:beforeLines="50" w:line="360" w:lineRule="auto"/>
        <w:rPr>
          <w:rFonts w:ascii="宋体" w:hAnsi="宋体"/>
          <w:color w:val="auto"/>
          <w:szCs w:val="21"/>
          <w:highlight w:val="none"/>
        </w:rPr>
      </w:pPr>
      <w:r>
        <w:rPr>
          <w:rFonts w:hint="eastAsia" w:ascii="宋体" w:hAnsi="宋体"/>
          <w:color w:val="auto"/>
          <w:szCs w:val="21"/>
          <w:highlight w:val="none"/>
        </w:rPr>
        <w:t>注：按磋商文件</w:t>
      </w:r>
      <w:r>
        <w:rPr>
          <w:rFonts w:ascii="宋体" w:hAnsi="宋体"/>
          <w:color w:val="auto"/>
          <w:szCs w:val="21"/>
          <w:highlight w:val="none"/>
        </w:rPr>
        <w:t>《第四章 评审》之</w:t>
      </w:r>
      <w:r>
        <w:rPr>
          <w:rFonts w:ascii="宋体" w:hAnsi="宋体"/>
          <w:b/>
          <w:bCs/>
          <w:color w:val="auto"/>
          <w:szCs w:val="21"/>
          <w:highlight w:val="none"/>
          <w:u w:val="single"/>
        </w:rPr>
        <w:t>详细评审</w:t>
      </w:r>
      <w:r>
        <w:rPr>
          <w:rFonts w:hint="eastAsia" w:ascii="宋体" w:hAnsi="宋体"/>
          <w:b/>
          <w:bCs/>
          <w:color w:val="auto"/>
          <w:szCs w:val="21"/>
          <w:highlight w:val="none"/>
          <w:u w:val="single"/>
        </w:rPr>
        <w:t>表</w:t>
      </w:r>
      <w:r>
        <w:rPr>
          <w:rFonts w:hint="eastAsia" w:ascii="宋体" w:hAnsi="宋体"/>
          <w:color w:val="auto"/>
          <w:szCs w:val="21"/>
          <w:highlight w:val="none"/>
        </w:rPr>
        <w:t>相对应条款填写。</w:t>
      </w:r>
    </w:p>
    <w:p>
      <w:pPr>
        <w:pageBreakBefore/>
        <w:rPr>
          <w:rFonts w:ascii="宋体" w:hAnsi="宋体"/>
          <w:b/>
          <w:bCs/>
          <w:color w:val="auto"/>
          <w:highlight w:val="none"/>
        </w:rPr>
      </w:pPr>
      <w:bookmarkStart w:id="51" w:name="_Toc169799787"/>
      <w:r>
        <w:rPr>
          <w:rFonts w:ascii="宋体" w:hAnsi="宋体"/>
          <w:b/>
          <w:bCs/>
          <w:color w:val="auto"/>
          <w:sz w:val="24"/>
          <w:szCs w:val="28"/>
          <w:highlight w:val="none"/>
        </w:rPr>
        <w:t>格式一：</w:t>
      </w:r>
      <w:bookmarkEnd w:id="51"/>
    </w:p>
    <w:p>
      <w:pPr>
        <w:widowControl/>
        <w:spacing w:after="312" w:afterLines="100"/>
        <w:jc w:val="center"/>
        <w:outlineLvl w:val="3"/>
        <w:rPr>
          <w:color w:val="auto"/>
          <w:kern w:val="0"/>
          <w:sz w:val="20"/>
          <w:szCs w:val="20"/>
          <w:highlight w:val="none"/>
          <w:lang w:eastAsia="zh-Hans"/>
        </w:rPr>
      </w:pPr>
      <w:r>
        <w:rPr>
          <w:rFonts w:hint="eastAsia"/>
          <w:b/>
          <w:color w:val="auto"/>
          <w:kern w:val="0"/>
          <w:sz w:val="32"/>
          <w:highlight w:val="none"/>
          <w:lang w:eastAsia="zh-Hans"/>
        </w:rPr>
        <w:t>响应承诺</w:t>
      </w:r>
      <w:r>
        <w:rPr>
          <w:b/>
          <w:color w:val="auto"/>
          <w:kern w:val="0"/>
          <w:sz w:val="32"/>
          <w:highlight w:val="none"/>
          <w:lang w:eastAsia="zh-Hans"/>
        </w:rPr>
        <w:t>函</w:t>
      </w:r>
    </w:p>
    <w:p>
      <w:pPr>
        <w:widowControl/>
        <w:spacing w:after="156" w:afterLines="50"/>
        <w:jc w:val="left"/>
        <w:rPr>
          <w:b/>
          <w:bCs/>
          <w:color w:val="auto"/>
          <w:kern w:val="0"/>
          <w:sz w:val="20"/>
          <w:szCs w:val="20"/>
          <w:highlight w:val="none"/>
          <w:lang w:eastAsia="zh-Hans"/>
        </w:rPr>
      </w:pPr>
      <w:r>
        <w:rPr>
          <w:b/>
          <w:bCs/>
          <w:color w:val="auto"/>
          <w:kern w:val="0"/>
          <w:sz w:val="20"/>
          <w:szCs w:val="20"/>
          <w:highlight w:val="none"/>
          <w:lang w:eastAsia="zh-Hans"/>
        </w:rPr>
        <w:t>致</w:t>
      </w:r>
      <w:r>
        <w:rPr>
          <w:rFonts w:hint="eastAsia"/>
          <w:b/>
          <w:bCs/>
          <w:color w:val="auto"/>
          <w:kern w:val="0"/>
          <w:sz w:val="20"/>
          <w:szCs w:val="20"/>
          <w:highlight w:val="none"/>
          <w:lang w:eastAsia="zh-Hans"/>
        </w:rPr>
        <w:t>：</w:t>
      </w:r>
      <w:r>
        <w:rPr>
          <w:b/>
          <w:bCs/>
          <w:color w:val="auto"/>
          <w:kern w:val="0"/>
          <w:sz w:val="20"/>
          <w:szCs w:val="20"/>
          <w:highlight w:val="none"/>
          <w:lang w:eastAsia="zh-Hans"/>
        </w:rPr>
        <w:t>广东智汇城市招标采购有限公司</w:t>
      </w:r>
    </w:p>
    <w:p>
      <w:pPr>
        <w:widowControl/>
        <w:snapToGrid w:val="0"/>
        <w:spacing w:line="360" w:lineRule="auto"/>
        <w:ind w:firstLine="200"/>
        <w:contextualSpacing/>
        <w:jc w:val="left"/>
        <w:rPr>
          <w:color w:val="auto"/>
          <w:kern w:val="0"/>
          <w:szCs w:val="21"/>
          <w:highlight w:val="none"/>
          <w:lang w:eastAsia="zh-Hans"/>
        </w:rPr>
      </w:pPr>
      <w:r>
        <w:rPr>
          <w:color w:val="auto"/>
          <w:kern w:val="0"/>
          <w:szCs w:val="21"/>
          <w:highlight w:val="none"/>
          <w:lang w:eastAsia="zh-Hans"/>
        </w:rPr>
        <w:t>你方组织的</w:t>
      </w:r>
      <w:r>
        <w:rPr>
          <w:rFonts w:hint="eastAsia"/>
          <w:color w:val="auto"/>
          <w:kern w:val="0"/>
          <w:szCs w:val="21"/>
          <w:highlight w:val="none"/>
          <w:u w:val="single"/>
        </w:rPr>
        <w:t xml:space="preserve">    （项目名称）       </w:t>
      </w:r>
      <w:r>
        <w:rPr>
          <w:color w:val="auto"/>
          <w:kern w:val="0"/>
          <w:szCs w:val="21"/>
          <w:highlight w:val="none"/>
          <w:lang w:eastAsia="zh-Hans"/>
        </w:rPr>
        <w:t>项目的</w:t>
      </w:r>
      <w:r>
        <w:rPr>
          <w:rFonts w:hint="eastAsia"/>
          <w:color w:val="auto"/>
          <w:kern w:val="0"/>
          <w:szCs w:val="21"/>
          <w:highlight w:val="none"/>
          <w:lang w:eastAsia="zh-Hans"/>
        </w:rPr>
        <w:t>竞争性磋商（</w:t>
      </w:r>
      <w:r>
        <w:rPr>
          <w:color w:val="auto"/>
          <w:kern w:val="0"/>
          <w:szCs w:val="21"/>
          <w:highlight w:val="none"/>
          <w:lang w:eastAsia="zh-Hans"/>
        </w:rPr>
        <w:t>项目编号为：</w:t>
      </w:r>
      <w:r>
        <w:rPr>
          <w:rFonts w:hint="eastAsia"/>
          <w:color w:val="auto"/>
          <w:kern w:val="0"/>
          <w:szCs w:val="21"/>
          <w:highlight w:val="none"/>
          <w:u w:val="single"/>
        </w:rPr>
        <w:t xml:space="preserve">               </w:t>
      </w:r>
      <w:r>
        <w:rPr>
          <w:rFonts w:hint="eastAsia"/>
          <w:color w:val="auto"/>
          <w:kern w:val="0"/>
          <w:szCs w:val="21"/>
          <w:highlight w:val="none"/>
        </w:rPr>
        <w:t>）</w:t>
      </w:r>
      <w:r>
        <w:rPr>
          <w:color w:val="auto"/>
          <w:kern w:val="0"/>
          <w:szCs w:val="21"/>
          <w:highlight w:val="none"/>
          <w:lang w:eastAsia="zh-Hans"/>
        </w:rPr>
        <w:t>，我方愿参与</w:t>
      </w:r>
      <w:r>
        <w:rPr>
          <w:rFonts w:hint="eastAsia"/>
          <w:color w:val="auto"/>
          <w:kern w:val="0"/>
          <w:szCs w:val="21"/>
          <w:highlight w:val="none"/>
          <w:lang w:eastAsia="zh-Hans"/>
        </w:rPr>
        <w:t>响应</w:t>
      </w:r>
      <w:r>
        <w:rPr>
          <w:color w:val="auto"/>
          <w:kern w:val="0"/>
          <w:szCs w:val="21"/>
          <w:highlight w:val="none"/>
          <w:lang w:eastAsia="zh-Hans"/>
        </w:rPr>
        <w:t>。</w:t>
      </w:r>
    </w:p>
    <w:p>
      <w:pPr>
        <w:widowControl/>
        <w:snapToGrid w:val="0"/>
        <w:spacing w:line="360" w:lineRule="auto"/>
        <w:ind w:firstLine="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我方确认收到贵方提供的</w:t>
      </w:r>
      <w:r>
        <w:rPr>
          <w:rFonts w:hint="eastAsia" w:ascii="宋体" w:hAnsi="宋体"/>
          <w:color w:val="auto"/>
          <w:kern w:val="0"/>
          <w:szCs w:val="21"/>
          <w:highlight w:val="none"/>
          <w:u w:val="single"/>
        </w:rPr>
        <w:t xml:space="preserve">      （项目名称）        </w:t>
      </w:r>
      <w:r>
        <w:rPr>
          <w:rFonts w:ascii="宋体" w:hAnsi="宋体"/>
          <w:color w:val="auto"/>
          <w:kern w:val="0"/>
          <w:szCs w:val="21"/>
          <w:highlight w:val="none"/>
          <w:lang w:eastAsia="zh-Hans"/>
        </w:rPr>
        <w:t>项目的</w:t>
      </w:r>
      <w:r>
        <w:rPr>
          <w:rFonts w:hint="eastAsia" w:ascii="宋体" w:hAnsi="宋体"/>
          <w:color w:val="auto"/>
          <w:kern w:val="0"/>
          <w:szCs w:val="21"/>
          <w:highlight w:val="none"/>
          <w:lang w:eastAsia="zh-Hans"/>
        </w:rPr>
        <w:t>磋商文件</w:t>
      </w:r>
      <w:r>
        <w:rPr>
          <w:rFonts w:ascii="宋体" w:hAnsi="宋体"/>
          <w:color w:val="auto"/>
          <w:kern w:val="0"/>
          <w:szCs w:val="21"/>
          <w:highlight w:val="none"/>
          <w:lang w:eastAsia="zh-Hans"/>
        </w:rPr>
        <w:t>的全部内容。</w:t>
      </w:r>
    </w:p>
    <w:p>
      <w:pPr>
        <w:widowControl/>
        <w:snapToGrid w:val="0"/>
        <w:spacing w:line="360" w:lineRule="auto"/>
        <w:ind w:firstLine="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我方在参与</w:t>
      </w:r>
      <w:r>
        <w:rPr>
          <w:color w:val="auto"/>
          <w:highlight w:val="none"/>
        </w:rPr>
        <w:t>响应</w:t>
      </w:r>
      <w:r>
        <w:rPr>
          <w:rFonts w:ascii="宋体" w:hAnsi="宋体"/>
          <w:color w:val="auto"/>
          <w:kern w:val="0"/>
          <w:szCs w:val="21"/>
          <w:highlight w:val="none"/>
          <w:lang w:eastAsia="zh-Hans"/>
        </w:rPr>
        <w:t>前已详细研究了</w:t>
      </w:r>
      <w:r>
        <w:rPr>
          <w:rFonts w:hint="eastAsia" w:ascii="宋体" w:hAnsi="宋体"/>
          <w:color w:val="auto"/>
          <w:kern w:val="0"/>
          <w:szCs w:val="21"/>
          <w:highlight w:val="none"/>
          <w:lang w:eastAsia="zh-Hans"/>
        </w:rPr>
        <w:t>磋商文件</w:t>
      </w:r>
      <w:r>
        <w:rPr>
          <w:rFonts w:ascii="宋体" w:hAnsi="宋体"/>
          <w:color w:val="auto"/>
          <w:kern w:val="0"/>
          <w:szCs w:val="21"/>
          <w:highlight w:val="none"/>
          <w:lang w:eastAsia="zh-Hans"/>
        </w:rPr>
        <w:t>的所有内容，包括澄清、修改文件（如果有）和所有已提供的参考资料以及有关附件，我方完全明白并认为此</w:t>
      </w:r>
      <w:r>
        <w:rPr>
          <w:rFonts w:hint="eastAsia" w:ascii="宋体" w:hAnsi="宋体"/>
          <w:color w:val="auto"/>
          <w:kern w:val="0"/>
          <w:szCs w:val="21"/>
          <w:highlight w:val="none"/>
          <w:lang w:eastAsia="zh-Hans"/>
        </w:rPr>
        <w:t>磋商文件</w:t>
      </w:r>
      <w:r>
        <w:rPr>
          <w:rFonts w:ascii="宋体" w:hAnsi="宋体"/>
          <w:color w:val="auto"/>
          <w:kern w:val="0"/>
          <w:szCs w:val="21"/>
          <w:highlight w:val="none"/>
          <w:lang w:eastAsia="zh-Hans"/>
        </w:rPr>
        <w:t>没有倾向性，也不存在排斥潜在供应商的内容，我方同意</w:t>
      </w:r>
      <w:r>
        <w:rPr>
          <w:rFonts w:hint="eastAsia" w:ascii="宋体" w:hAnsi="宋体"/>
          <w:color w:val="auto"/>
          <w:kern w:val="0"/>
          <w:szCs w:val="21"/>
          <w:highlight w:val="none"/>
          <w:lang w:eastAsia="zh-Hans"/>
        </w:rPr>
        <w:t>磋商文件</w:t>
      </w:r>
      <w:r>
        <w:rPr>
          <w:rFonts w:ascii="宋体" w:hAnsi="宋体"/>
          <w:color w:val="auto"/>
          <w:kern w:val="0"/>
          <w:szCs w:val="21"/>
          <w:highlight w:val="none"/>
          <w:lang w:eastAsia="zh-Hans"/>
        </w:rPr>
        <w:t>的相关条款，放弃对</w:t>
      </w:r>
      <w:r>
        <w:rPr>
          <w:rFonts w:hint="eastAsia" w:ascii="宋体" w:hAnsi="宋体"/>
          <w:color w:val="auto"/>
          <w:kern w:val="0"/>
          <w:szCs w:val="21"/>
          <w:highlight w:val="none"/>
          <w:lang w:eastAsia="zh-Hans"/>
        </w:rPr>
        <w:t>磋商文件</w:t>
      </w:r>
      <w:r>
        <w:rPr>
          <w:rFonts w:ascii="宋体" w:hAnsi="宋体"/>
          <w:color w:val="auto"/>
          <w:kern w:val="0"/>
          <w:szCs w:val="21"/>
          <w:highlight w:val="none"/>
          <w:lang w:eastAsia="zh-Hans"/>
        </w:rPr>
        <w:t>提出误解和质疑的一切权力。</w:t>
      </w:r>
    </w:p>
    <w:p>
      <w:pPr>
        <w:widowControl/>
        <w:snapToGrid w:val="0"/>
        <w:spacing w:line="360" w:lineRule="auto"/>
        <w:contextualSpacing/>
        <w:jc w:val="left"/>
        <w:rPr>
          <w:color w:val="auto"/>
          <w:kern w:val="0"/>
          <w:sz w:val="20"/>
          <w:szCs w:val="20"/>
          <w:highlight w:val="none"/>
          <w:lang w:eastAsia="zh-Hans"/>
        </w:rPr>
      </w:pP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lang w:eastAsia="zh-Hans"/>
        </w:rPr>
        <w:t>(</w:t>
      </w:r>
      <w:r>
        <w:rPr>
          <w:rFonts w:hint="eastAsia" w:ascii="宋体" w:hAnsi="宋体"/>
          <w:color w:val="auto"/>
          <w:kern w:val="0"/>
          <w:szCs w:val="21"/>
          <w:highlight w:val="none"/>
          <w:u w:val="single"/>
          <w:lang w:eastAsia="zh-Hans"/>
        </w:rPr>
        <w:t>供应商名称</w:t>
      </w:r>
      <w:r>
        <w:rPr>
          <w:rFonts w:ascii="宋体" w:hAnsi="宋体"/>
          <w:color w:val="auto"/>
          <w:kern w:val="0"/>
          <w:szCs w:val="21"/>
          <w:highlight w:val="none"/>
          <w:u w:val="single"/>
          <w:lang w:eastAsia="zh-Hans"/>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lang w:eastAsia="zh-Hans"/>
        </w:rPr>
        <w:t>作为</w:t>
      </w:r>
      <w:r>
        <w:rPr>
          <w:rFonts w:hint="eastAsia" w:ascii="宋体" w:hAnsi="宋体"/>
          <w:color w:val="auto"/>
          <w:kern w:val="0"/>
          <w:szCs w:val="21"/>
          <w:highlight w:val="none"/>
          <w:lang w:eastAsia="zh-Hans"/>
        </w:rPr>
        <w:t>供应商</w:t>
      </w:r>
      <w:r>
        <w:rPr>
          <w:rFonts w:ascii="宋体" w:hAnsi="宋体"/>
          <w:color w:val="auto"/>
          <w:kern w:val="0"/>
          <w:szCs w:val="21"/>
          <w:highlight w:val="none"/>
          <w:lang w:eastAsia="zh-Hans"/>
        </w:rPr>
        <w:t>正式授权</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lang w:eastAsia="zh-Hans"/>
        </w:rPr>
        <w:t>(授权代表全名,职务)</w:t>
      </w:r>
      <w:r>
        <w:rPr>
          <w:rFonts w:hint="eastAsia" w:ascii="宋体" w:hAnsi="宋体"/>
          <w:color w:val="auto"/>
          <w:kern w:val="0"/>
          <w:szCs w:val="21"/>
          <w:highlight w:val="none"/>
          <w:u w:val="single"/>
        </w:rPr>
        <w:t xml:space="preserve">      </w:t>
      </w:r>
      <w:r>
        <w:rPr>
          <w:rFonts w:ascii="宋体" w:hAnsi="宋体"/>
          <w:color w:val="auto"/>
          <w:kern w:val="0"/>
          <w:szCs w:val="21"/>
          <w:highlight w:val="none"/>
          <w:lang w:eastAsia="zh-Hans"/>
        </w:rPr>
        <w:t>代表我方全权处理有关本</w:t>
      </w: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的一切事宜。</w:t>
      </w:r>
    </w:p>
    <w:p>
      <w:pPr>
        <w:widowControl/>
        <w:snapToGrid w:val="0"/>
        <w:spacing w:line="360" w:lineRule="auto"/>
        <w:ind w:firstLine="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我方已完全明白</w:t>
      </w:r>
      <w:r>
        <w:rPr>
          <w:rFonts w:hint="eastAsia" w:ascii="宋体" w:hAnsi="宋体"/>
          <w:color w:val="auto"/>
          <w:kern w:val="0"/>
          <w:szCs w:val="21"/>
          <w:highlight w:val="none"/>
          <w:lang w:eastAsia="zh-Hans"/>
        </w:rPr>
        <w:t>磋商文件</w:t>
      </w:r>
      <w:r>
        <w:rPr>
          <w:rFonts w:ascii="宋体" w:hAnsi="宋体"/>
          <w:color w:val="auto"/>
          <w:kern w:val="0"/>
          <w:szCs w:val="21"/>
          <w:highlight w:val="none"/>
          <w:lang w:eastAsia="zh-Hans"/>
        </w:rPr>
        <w:t>的所有条款要求，并申明如下：</w:t>
      </w:r>
    </w:p>
    <w:p>
      <w:pPr>
        <w:pStyle w:val="74"/>
        <w:snapToGrid w:val="0"/>
        <w:spacing w:line="360" w:lineRule="auto"/>
        <w:ind w:firstLine="210" w:firstLineChars="100"/>
        <w:contextualSpacing/>
        <w:rPr>
          <w:rFonts w:hint="default"/>
          <w:color w:val="auto"/>
          <w:sz w:val="21"/>
          <w:szCs w:val="21"/>
          <w:highlight w:val="none"/>
        </w:rPr>
      </w:pPr>
      <w:r>
        <w:rPr>
          <w:rFonts w:ascii="宋体" w:hAnsi="宋体" w:eastAsia="宋体" w:cs="Times New Roman"/>
          <w:color w:val="auto"/>
          <w:sz w:val="21"/>
          <w:szCs w:val="21"/>
          <w:highlight w:val="none"/>
        </w:rPr>
        <w:t>（一）</w:t>
      </w:r>
      <w:r>
        <w:rPr>
          <w:color w:val="auto"/>
          <w:sz w:val="21"/>
          <w:szCs w:val="21"/>
          <w:highlight w:val="none"/>
        </w:rPr>
        <w:t>按磋商文件提供的全部货物（工程、服务）与相关服务的磋商总价详见《首次报价表》。</w:t>
      </w:r>
    </w:p>
    <w:p>
      <w:pPr>
        <w:widowControl/>
        <w:snapToGrid w:val="0"/>
        <w:spacing w:line="360" w:lineRule="auto"/>
        <w:ind w:firstLine="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（二）本</w:t>
      </w: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文件的有效期为从提交响应文件的截止之日起90日历天。如</w:t>
      </w:r>
      <w:r>
        <w:rPr>
          <w:rFonts w:hint="eastAsia" w:ascii="宋体" w:hAnsi="宋体"/>
          <w:color w:val="auto"/>
          <w:kern w:val="0"/>
          <w:szCs w:val="21"/>
          <w:highlight w:val="none"/>
          <w:lang w:eastAsia="zh-Hans"/>
        </w:rPr>
        <w:t>成交</w:t>
      </w:r>
      <w:r>
        <w:rPr>
          <w:rFonts w:ascii="宋体" w:hAnsi="宋体"/>
          <w:color w:val="auto"/>
          <w:kern w:val="0"/>
          <w:szCs w:val="21"/>
          <w:highlight w:val="none"/>
          <w:lang w:eastAsia="zh-Hans"/>
        </w:rPr>
        <w:t>，有效期将延至合同终止日为止。在此提交的资格证明文件均至</w:t>
      </w: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截止日有效，如有在</w:t>
      </w: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有效期内失效的，我方承诺在</w:t>
      </w:r>
      <w:r>
        <w:rPr>
          <w:rFonts w:hint="eastAsia" w:ascii="宋体" w:hAnsi="宋体"/>
          <w:color w:val="auto"/>
          <w:kern w:val="0"/>
          <w:szCs w:val="21"/>
          <w:highlight w:val="none"/>
          <w:lang w:eastAsia="zh-Hans"/>
        </w:rPr>
        <w:t>成交</w:t>
      </w:r>
      <w:r>
        <w:rPr>
          <w:rFonts w:ascii="宋体" w:hAnsi="宋体"/>
          <w:color w:val="auto"/>
          <w:kern w:val="0"/>
          <w:szCs w:val="21"/>
          <w:highlight w:val="none"/>
          <w:lang w:eastAsia="zh-Hans"/>
        </w:rPr>
        <w:t>后补齐一切手续，保证所有资格证明文件能在签订采购合同时直至采购合同终止日有效。</w:t>
      </w:r>
    </w:p>
    <w:p>
      <w:pPr>
        <w:widowControl/>
        <w:snapToGrid w:val="0"/>
        <w:spacing w:line="360" w:lineRule="auto"/>
        <w:ind w:firstLine="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（三）</w:t>
      </w:r>
      <w:r>
        <w:rPr>
          <w:rFonts w:hint="eastAsia" w:ascii="宋体" w:hAnsi="宋体"/>
          <w:color w:val="auto"/>
          <w:kern w:val="0"/>
          <w:szCs w:val="21"/>
          <w:highlight w:val="none"/>
          <w:lang w:eastAsia="zh-Hans"/>
        </w:rPr>
        <w:t>我方明白并同意，在规定的开启日之后，响应有效期之内撤回响应或成交后不按规定与采购人签订合同或不提交履约保证金, 则贵方将不予退还响应保证金。</w:t>
      </w:r>
    </w:p>
    <w:p>
      <w:pPr>
        <w:widowControl/>
        <w:snapToGrid w:val="0"/>
        <w:spacing w:line="360" w:lineRule="auto"/>
        <w:ind w:firstLine="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（四）我方愿意向贵方提供任何与本项报价有关的数据、情况和技术资料。若贵方需要，我方愿意提供我方作出的一切承诺的证明材料。</w:t>
      </w:r>
    </w:p>
    <w:p>
      <w:pPr>
        <w:widowControl/>
        <w:snapToGrid w:val="0"/>
        <w:spacing w:line="360" w:lineRule="auto"/>
        <w:ind w:firstLine="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（五）</w:t>
      </w:r>
      <w:r>
        <w:rPr>
          <w:rFonts w:hint="eastAsia" w:ascii="宋体" w:hAnsi="宋体"/>
          <w:color w:val="auto"/>
          <w:kern w:val="0"/>
          <w:szCs w:val="21"/>
          <w:highlight w:val="none"/>
          <w:lang w:eastAsia="zh-Hans"/>
        </w:rPr>
        <w:t>我方理解贵方不一定接受最低磋商价或任何贵方可能收到的响应。</w:t>
      </w:r>
    </w:p>
    <w:p>
      <w:pPr>
        <w:widowControl/>
        <w:snapToGrid w:val="0"/>
        <w:spacing w:line="360" w:lineRule="auto"/>
        <w:ind w:firstLine="200"/>
        <w:contextualSpacing/>
        <w:jc w:val="left"/>
        <w:rPr>
          <w:rFonts w:ascii="宋体" w:hAnsi="宋体"/>
          <w:color w:val="auto"/>
          <w:kern w:val="0"/>
          <w:szCs w:val="21"/>
          <w:highlight w:val="none"/>
        </w:rPr>
      </w:pPr>
      <w:r>
        <w:rPr>
          <w:rFonts w:ascii="宋体" w:hAnsi="宋体"/>
          <w:color w:val="auto"/>
          <w:kern w:val="0"/>
          <w:szCs w:val="21"/>
          <w:highlight w:val="none"/>
          <w:lang w:eastAsia="zh-Hans"/>
        </w:rPr>
        <w:t>（六）我方如果</w:t>
      </w:r>
      <w:r>
        <w:rPr>
          <w:rFonts w:hint="eastAsia" w:ascii="宋体" w:hAnsi="宋体"/>
          <w:color w:val="auto"/>
          <w:kern w:val="0"/>
          <w:szCs w:val="21"/>
          <w:highlight w:val="none"/>
          <w:lang w:eastAsia="zh-Hans"/>
        </w:rPr>
        <w:t>成交</w:t>
      </w:r>
      <w:r>
        <w:rPr>
          <w:rFonts w:ascii="宋体" w:hAnsi="宋体"/>
          <w:color w:val="auto"/>
          <w:kern w:val="0"/>
          <w:szCs w:val="21"/>
          <w:highlight w:val="none"/>
          <w:lang w:eastAsia="zh-Hans"/>
        </w:rPr>
        <w:t>，</w:t>
      </w:r>
      <w:r>
        <w:rPr>
          <w:rFonts w:hint="eastAsia" w:ascii="宋体" w:hAnsi="宋体"/>
          <w:color w:val="auto"/>
          <w:kern w:val="0"/>
          <w:szCs w:val="21"/>
          <w:highlight w:val="none"/>
          <w:lang w:eastAsia="zh-Hans"/>
        </w:rPr>
        <w:t>将严格履行合同规定的责任和义务，保证于合同签字生效后按照约定时间完成项目，并交付采购人验收。</w:t>
      </w:r>
    </w:p>
    <w:p>
      <w:pPr>
        <w:widowControl/>
        <w:snapToGrid w:val="0"/>
        <w:spacing w:line="360" w:lineRule="auto"/>
        <w:ind w:firstLine="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（七）我方作为法律、财务和运作上独立于采购人、采购代理机构的</w:t>
      </w:r>
      <w:r>
        <w:rPr>
          <w:rFonts w:hint="eastAsia" w:ascii="宋体" w:hAnsi="宋体"/>
          <w:color w:val="auto"/>
          <w:kern w:val="0"/>
          <w:szCs w:val="21"/>
          <w:highlight w:val="none"/>
          <w:lang w:eastAsia="zh-Hans"/>
        </w:rPr>
        <w:t>供应商</w:t>
      </w:r>
      <w:r>
        <w:rPr>
          <w:rFonts w:ascii="宋体" w:hAnsi="宋体"/>
          <w:color w:val="auto"/>
          <w:kern w:val="0"/>
          <w:szCs w:val="21"/>
          <w:highlight w:val="none"/>
          <w:lang w:eastAsia="zh-Hans"/>
        </w:rPr>
        <w:t>，在此保证所提交的所有文件和全部说明是真实的和正确的。</w:t>
      </w:r>
    </w:p>
    <w:p>
      <w:pPr>
        <w:widowControl/>
        <w:snapToGrid w:val="0"/>
        <w:spacing w:line="360" w:lineRule="auto"/>
        <w:ind w:firstLine="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（八）</w:t>
      </w:r>
      <w:r>
        <w:rPr>
          <w:rFonts w:hint="eastAsia" w:ascii="宋体" w:hAnsi="宋体"/>
          <w:color w:val="auto"/>
          <w:kern w:val="0"/>
          <w:szCs w:val="21"/>
          <w:highlight w:val="none"/>
          <w:lang w:eastAsia="zh-Hans"/>
        </w:rPr>
        <w:t>我方磋商报价已包含应向知识产权所有权人支付的所有相关税费，并保证采购人在中国使用我方提供的货物时，如有第三方提出侵犯其知识产权主张的，责任由我方承担。</w:t>
      </w:r>
    </w:p>
    <w:p>
      <w:pPr>
        <w:widowControl/>
        <w:snapToGrid w:val="0"/>
        <w:spacing w:line="360" w:lineRule="auto"/>
        <w:ind w:firstLine="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w:t>
      </w:r>
      <w:r>
        <w:rPr>
          <w:rFonts w:hint="eastAsia" w:ascii="宋体" w:hAnsi="宋体"/>
          <w:color w:val="auto"/>
          <w:kern w:val="0"/>
          <w:szCs w:val="21"/>
          <w:highlight w:val="none"/>
          <w:lang w:eastAsia="zh-Hans"/>
        </w:rPr>
        <w:t>九</w:t>
      </w:r>
      <w:r>
        <w:rPr>
          <w:rFonts w:ascii="宋体" w:hAnsi="宋体"/>
          <w:color w:val="auto"/>
          <w:kern w:val="0"/>
          <w:szCs w:val="21"/>
          <w:highlight w:val="none"/>
          <w:lang w:eastAsia="zh-Hans"/>
        </w:rPr>
        <w:t>）我方对在本函及响应文件中所作的所有承诺承担法律责任。</w:t>
      </w:r>
    </w:p>
    <w:p>
      <w:pPr>
        <w:widowControl/>
        <w:snapToGrid w:val="0"/>
        <w:spacing w:line="360" w:lineRule="auto"/>
        <w:ind w:firstLine="200"/>
        <w:contextualSpacing/>
        <w:jc w:val="left"/>
        <w:rPr>
          <w:rFonts w:ascii="宋体" w:hAnsi="宋体"/>
          <w:color w:val="auto"/>
          <w:kern w:val="0"/>
          <w:szCs w:val="21"/>
          <w:highlight w:val="none"/>
        </w:rPr>
      </w:pPr>
      <w:r>
        <w:rPr>
          <w:rFonts w:ascii="宋体" w:hAnsi="宋体"/>
          <w:color w:val="auto"/>
          <w:kern w:val="0"/>
          <w:szCs w:val="21"/>
          <w:highlight w:val="none"/>
          <w:lang w:eastAsia="zh-Hans"/>
        </w:rPr>
        <w:t>（</w:t>
      </w:r>
      <w:r>
        <w:rPr>
          <w:rFonts w:hint="eastAsia" w:ascii="宋体" w:hAnsi="宋体"/>
          <w:color w:val="auto"/>
          <w:kern w:val="0"/>
          <w:szCs w:val="21"/>
          <w:highlight w:val="none"/>
          <w:lang w:eastAsia="zh-Hans"/>
        </w:rPr>
        <w:t>十</w:t>
      </w:r>
      <w:r>
        <w:rPr>
          <w:rFonts w:ascii="宋体" w:hAnsi="宋体"/>
          <w:color w:val="auto"/>
          <w:kern w:val="0"/>
          <w:szCs w:val="21"/>
          <w:highlight w:val="none"/>
          <w:lang w:eastAsia="zh-Hans"/>
        </w:rPr>
        <w:t>）</w:t>
      </w:r>
      <w:r>
        <w:rPr>
          <w:rFonts w:hint="eastAsia" w:ascii="宋体" w:hAnsi="宋体"/>
          <w:color w:val="auto"/>
          <w:kern w:val="0"/>
          <w:szCs w:val="21"/>
          <w:highlight w:val="none"/>
          <w:lang w:eastAsia="zh-Hans"/>
        </w:rPr>
        <w:t>我方如果成交，</w:t>
      </w:r>
      <w:r>
        <w:rPr>
          <w:rFonts w:ascii="宋体" w:hAnsi="宋体"/>
          <w:color w:val="auto"/>
          <w:kern w:val="0"/>
          <w:szCs w:val="21"/>
          <w:highlight w:val="none"/>
          <w:lang w:eastAsia="zh-Hans"/>
        </w:rPr>
        <w:t>同意按</w:t>
      </w:r>
      <w:r>
        <w:rPr>
          <w:rFonts w:hint="eastAsia" w:ascii="宋体" w:hAnsi="宋体"/>
          <w:color w:val="auto"/>
          <w:kern w:val="0"/>
          <w:szCs w:val="21"/>
          <w:highlight w:val="none"/>
          <w:lang w:eastAsia="zh-Hans"/>
        </w:rPr>
        <w:t>磋商文件</w:t>
      </w:r>
      <w:r>
        <w:rPr>
          <w:rFonts w:ascii="宋体" w:hAnsi="宋体"/>
          <w:color w:val="auto"/>
          <w:kern w:val="0"/>
          <w:szCs w:val="21"/>
          <w:highlight w:val="none"/>
          <w:lang w:eastAsia="zh-Hans"/>
        </w:rPr>
        <w:t>规定向采购代理机构缴纳</w:t>
      </w:r>
      <w:r>
        <w:rPr>
          <w:rFonts w:hint="eastAsia" w:ascii="宋体" w:hAnsi="宋体"/>
          <w:color w:val="auto"/>
          <w:kern w:val="0"/>
          <w:szCs w:val="21"/>
          <w:highlight w:val="none"/>
          <w:lang w:eastAsia="zh-Hans"/>
        </w:rPr>
        <w:t>招标代理</w:t>
      </w:r>
      <w:r>
        <w:rPr>
          <w:rFonts w:ascii="宋体" w:hAnsi="宋体"/>
          <w:color w:val="auto"/>
          <w:kern w:val="0"/>
          <w:szCs w:val="21"/>
          <w:highlight w:val="none"/>
          <w:lang w:eastAsia="zh-Hans"/>
        </w:rPr>
        <w:t>服务费。</w:t>
      </w:r>
    </w:p>
    <w:p>
      <w:pPr>
        <w:widowControl/>
        <w:snapToGrid w:val="0"/>
        <w:spacing w:line="360" w:lineRule="auto"/>
        <w:ind w:firstLine="198"/>
        <w:contextualSpacing/>
        <w:jc w:val="left"/>
        <w:rPr>
          <w:rFonts w:ascii="宋体" w:hAnsi="宋体"/>
          <w:color w:val="auto"/>
          <w:kern w:val="0"/>
          <w:szCs w:val="21"/>
          <w:highlight w:val="none"/>
          <w:lang w:eastAsia="zh-Hans"/>
        </w:rPr>
      </w:pPr>
      <w:r>
        <w:rPr>
          <w:rFonts w:hint="eastAsia" w:ascii="宋体" w:hAnsi="宋体"/>
          <w:color w:val="auto"/>
          <w:kern w:val="0"/>
          <w:szCs w:val="21"/>
          <w:highlight w:val="none"/>
          <w:lang w:eastAsia="zh-Hans"/>
        </w:rPr>
        <w:t>（十一）</w:t>
      </w:r>
      <w:r>
        <w:rPr>
          <w:rFonts w:ascii="宋体" w:hAnsi="宋体"/>
          <w:color w:val="auto"/>
          <w:kern w:val="0"/>
          <w:szCs w:val="21"/>
          <w:highlight w:val="none"/>
          <w:lang w:eastAsia="zh-Hans"/>
        </w:rPr>
        <w:t>所有与本</w:t>
      </w:r>
      <w:r>
        <w:rPr>
          <w:rFonts w:hint="eastAsia" w:ascii="宋体" w:hAnsi="宋体"/>
          <w:color w:val="auto"/>
          <w:kern w:val="0"/>
          <w:szCs w:val="21"/>
          <w:highlight w:val="none"/>
          <w:lang w:eastAsia="zh-Hans"/>
        </w:rPr>
        <w:t>磋商</w:t>
      </w:r>
      <w:r>
        <w:rPr>
          <w:rFonts w:ascii="宋体" w:hAnsi="宋体"/>
          <w:color w:val="auto"/>
          <w:kern w:val="0"/>
          <w:szCs w:val="21"/>
          <w:highlight w:val="none"/>
          <w:lang w:eastAsia="zh-Hans"/>
        </w:rPr>
        <w:t>有关的函件请发往下列地址：</w:t>
      </w:r>
    </w:p>
    <w:p>
      <w:pPr>
        <w:widowControl/>
        <w:snapToGrid w:val="0"/>
        <w:spacing w:line="360" w:lineRule="auto"/>
        <w:contextualSpacing/>
        <w:jc w:val="left"/>
        <w:rPr>
          <w:rFonts w:ascii="宋体" w:hAnsi="宋体"/>
          <w:color w:val="auto"/>
          <w:kern w:val="0"/>
          <w:szCs w:val="21"/>
          <w:highlight w:val="none"/>
          <w:u w:val="single"/>
        </w:rPr>
      </w:pPr>
      <w:r>
        <w:rPr>
          <w:rFonts w:ascii="宋体" w:hAnsi="宋体"/>
          <w:color w:val="auto"/>
          <w:kern w:val="0"/>
          <w:szCs w:val="21"/>
          <w:highlight w:val="none"/>
          <w:lang w:eastAsia="zh-Hans"/>
        </w:rPr>
        <w:t>地 址：</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邮政编码：</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lang w:eastAsia="zh-Hans"/>
        </w:rPr>
        <w:t>电 话：</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lang w:eastAsia="zh-Hans"/>
        </w:rPr>
        <w:t>传 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电子邮箱：</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代表姓名</w:t>
      </w:r>
      <w:r>
        <w:rPr>
          <w:rFonts w:hint="eastAsia" w:ascii="宋体" w:hAnsi="宋体"/>
          <w:color w:val="auto"/>
          <w:kern w:val="0"/>
          <w:szCs w:val="21"/>
          <w:highlight w:val="none"/>
          <w:lang w:eastAsia="zh-Hans"/>
        </w:rPr>
        <w:t>：</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职 务：</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u w:val="single"/>
        </w:rPr>
      </w:pPr>
      <w:r>
        <w:rPr>
          <w:rFonts w:ascii="宋体" w:hAnsi="宋体"/>
          <w:color w:val="auto"/>
          <w:kern w:val="0"/>
          <w:szCs w:val="21"/>
          <w:highlight w:val="none"/>
          <w:lang w:eastAsia="zh-Hans"/>
        </w:rPr>
        <w:t>法定代表人（或法定代表人授权代表）签字或盖</w:t>
      </w:r>
      <w:r>
        <w:rPr>
          <w:rFonts w:hint="eastAsia" w:ascii="宋体" w:hAnsi="宋体"/>
          <w:color w:val="auto"/>
          <w:kern w:val="0"/>
          <w:szCs w:val="21"/>
          <w:highlight w:val="none"/>
          <w:lang w:eastAsia="zh-Hans"/>
        </w:rPr>
        <w:t>私</w:t>
      </w:r>
      <w:r>
        <w:rPr>
          <w:rFonts w:ascii="宋体" w:hAnsi="宋体"/>
          <w:color w:val="auto"/>
          <w:kern w:val="0"/>
          <w:szCs w:val="21"/>
          <w:highlight w:val="none"/>
          <w:lang w:eastAsia="zh-Hans"/>
        </w:rPr>
        <w:t>章：</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u w:val="single"/>
        </w:rPr>
      </w:pPr>
      <w:r>
        <w:rPr>
          <w:rFonts w:hint="eastAsia" w:ascii="宋体" w:hAnsi="宋体"/>
          <w:color w:val="auto"/>
          <w:kern w:val="0"/>
          <w:szCs w:val="21"/>
          <w:highlight w:val="none"/>
          <w:lang w:eastAsia="zh-Hans"/>
        </w:rPr>
        <w:t>供应商</w:t>
      </w:r>
      <w:r>
        <w:rPr>
          <w:rFonts w:ascii="宋体" w:hAnsi="宋体"/>
          <w:color w:val="auto"/>
          <w:kern w:val="0"/>
          <w:szCs w:val="21"/>
          <w:highlight w:val="none"/>
          <w:lang w:eastAsia="zh-Hans"/>
        </w:rPr>
        <w:t>名称（盖章）：</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color w:val="auto"/>
          <w:kern w:val="0"/>
          <w:sz w:val="20"/>
          <w:szCs w:val="20"/>
          <w:highlight w:val="none"/>
          <w:lang w:eastAsia="zh-Hans"/>
        </w:rPr>
      </w:pPr>
      <w:r>
        <w:rPr>
          <w:rFonts w:ascii="宋体" w:hAnsi="宋体"/>
          <w:color w:val="auto"/>
          <w:kern w:val="0"/>
          <w:szCs w:val="21"/>
          <w:highlight w:val="none"/>
          <w:lang w:eastAsia="zh-Hans"/>
        </w:rPr>
        <w:t>日期：</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年</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月</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日</w:t>
      </w:r>
    </w:p>
    <w:p>
      <w:pPr>
        <w:widowControl/>
        <w:snapToGrid w:val="0"/>
        <w:spacing w:line="360" w:lineRule="auto"/>
        <w:contextualSpacing/>
        <w:jc w:val="left"/>
        <w:rPr>
          <w:color w:val="auto"/>
          <w:kern w:val="0"/>
          <w:sz w:val="20"/>
          <w:szCs w:val="20"/>
          <w:highlight w:val="none"/>
          <w:lang w:eastAsia="zh-Hans"/>
        </w:rPr>
      </w:pPr>
    </w:p>
    <w:p>
      <w:pPr>
        <w:pageBreakBefore/>
        <w:rPr>
          <w:color w:val="auto"/>
          <w:kern w:val="0"/>
          <w:sz w:val="20"/>
          <w:szCs w:val="20"/>
          <w:highlight w:val="none"/>
          <w:lang w:eastAsia="zh-Hans"/>
        </w:rPr>
      </w:pPr>
      <w:bookmarkStart w:id="52" w:name="_Toc169799788"/>
      <w:r>
        <w:rPr>
          <w:rFonts w:ascii="宋体" w:hAnsi="宋体"/>
          <w:b/>
          <w:bCs/>
          <w:color w:val="auto"/>
          <w:sz w:val="24"/>
          <w:szCs w:val="28"/>
          <w:highlight w:val="none"/>
        </w:rPr>
        <w:t>格式二：</w:t>
      </w:r>
      <w:bookmarkEnd w:id="52"/>
    </w:p>
    <w:p>
      <w:pPr>
        <w:widowControl/>
        <w:jc w:val="center"/>
        <w:outlineLvl w:val="3"/>
        <w:rPr>
          <w:rFonts w:hint="eastAsia" w:eastAsia="宋体"/>
          <w:b/>
          <w:color w:val="auto"/>
          <w:kern w:val="0"/>
          <w:sz w:val="32"/>
          <w:highlight w:val="none"/>
          <w:lang w:eastAsia="zh-CN"/>
        </w:rPr>
      </w:pPr>
      <w:r>
        <w:rPr>
          <w:rFonts w:hint="eastAsia"/>
          <w:b/>
          <w:color w:val="auto"/>
          <w:kern w:val="0"/>
          <w:sz w:val="32"/>
          <w:highlight w:val="none"/>
          <w:lang w:eastAsia="zh-Hans"/>
        </w:rPr>
        <w:t>首次报价表</w:t>
      </w:r>
    </w:p>
    <w:p>
      <w:pPr>
        <w:widowControl/>
        <w:jc w:val="center"/>
        <w:outlineLvl w:val="3"/>
        <w:rPr>
          <w:rFonts w:hint="eastAsia" w:eastAsia="宋体"/>
          <w:b/>
          <w:color w:val="auto"/>
          <w:kern w:val="0"/>
          <w:sz w:val="32"/>
          <w:highlight w:val="none"/>
          <w:lang w:eastAsia="zh-CN"/>
        </w:rPr>
      </w:pPr>
    </w:p>
    <w:p>
      <w:pPr>
        <w:widowControl/>
        <w:snapToGrid w:val="0"/>
        <w:spacing w:line="360" w:lineRule="auto"/>
        <w:contextualSpacing/>
        <w:jc w:val="left"/>
        <w:rPr>
          <w:color w:val="auto"/>
          <w:kern w:val="0"/>
          <w:szCs w:val="21"/>
          <w:highlight w:val="none"/>
          <w:lang w:eastAsia="zh-Hans"/>
        </w:rPr>
      </w:pPr>
      <w:r>
        <w:rPr>
          <w:color w:val="auto"/>
          <w:kern w:val="0"/>
          <w:szCs w:val="21"/>
          <w:highlight w:val="none"/>
          <w:lang w:eastAsia="zh-Hans"/>
        </w:rPr>
        <w:t>项目编号：</w:t>
      </w:r>
    </w:p>
    <w:p>
      <w:pPr>
        <w:widowControl/>
        <w:snapToGrid w:val="0"/>
        <w:spacing w:line="360" w:lineRule="auto"/>
        <w:contextualSpacing/>
        <w:jc w:val="left"/>
        <w:rPr>
          <w:color w:val="auto"/>
          <w:kern w:val="0"/>
          <w:szCs w:val="21"/>
          <w:highlight w:val="none"/>
          <w:lang w:eastAsia="zh-Hans"/>
        </w:rPr>
      </w:pPr>
      <w:r>
        <w:rPr>
          <w:color w:val="auto"/>
          <w:kern w:val="0"/>
          <w:szCs w:val="21"/>
          <w:highlight w:val="none"/>
          <w:lang w:eastAsia="zh-Hans"/>
        </w:rPr>
        <w:t>项目名称：</w:t>
      </w:r>
    </w:p>
    <w:p>
      <w:pPr>
        <w:widowControl/>
        <w:snapToGrid w:val="0"/>
        <w:spacing w:line="360" w:lineRule="auto"/>
        <w:contextualSpacing/>
        <w:jc w:val="left"/>
        <w:rPr>
          <w:color w:val="auto"/>
          <w:kern w:val="0"/>
          <w:szCs w:val="21"/>
          <w:highlight w:val="none"/>
        </w:rPr>
      </w:pPr>
      <w:r>
        <w:rPr>
          <w:rFonts w:hint="eastAsia"/>
          <w:color w:val="auto"/>
          <w:kern w:val="0"/>
          <w:szCs w:val="21"/>
          <w:highlight w:val="none"/>
          <w:lang w:eastAsia="zh-Hans"/>
        </w:rPr>
        <w:t>供应商</w:t>
      </w:r>
      <w:r>
        <w:rPr>
          <w:color w:val="auto"/>
          <w:kern w:val="0"/>
          <w:szCs w:val="21"/>
          <w:highlight w:val="none"/>
          <w:lang w:eastAsia="zh-Hans"/>
        </w:rPr>
        <w:t>名称：</w:t>
      </w:r>
    </w:p>
    <w:tbl>
      <w:tblPr>
        <w:tblStyle w:val="22"/>
        <w:tblW w:w="89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1"/>
        <w:gridCol w:w="3322"/>
        <w:gridCol w:w="1841"/>
        <w:gridCol w:w="2269"/>
        <w:gridCol w:w="1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5" w:hRule="atLeast"/>
          <w:jc w:val="center"/>
        </w:trPr>
        <w:tc>
          <w:tcPr>
            <w:tcW w:w="252" w:type="pct"/>
            <w:tcBorders>
              <w:top w:val="single" w:color="auto" w:sz="4" w:space="0"/>
              <w:left w:val="single" w:color="auto" w:sz="4" w:space="0"/>
              <w:right w:val="single" w:color="auto" w:sz="4" w:space="0"/>
            </w:tcBorders>
            <w:vAlign w:val="center"/>
          </w:tcPr>
          <w:p>
            <w:pPr>
              <w:overflowPunct w:val="0"/>
              <w:adjustRightInd w:val="0"/>
              <w:spacing w:line="460" w:lineRule="exact"/>
              <w:jc w:val="center"/>
              <w:rPr>
                <w:rFonts w:ascii="宋体" w:hAnsi="宋体" w:cs="黑体"/>
                <w:b/>
                <w:color w:val="auto"/>
                <w:szCs w:val="21"/>
                <w:highlight w:val="none"/>
              </w:rPr>
            </w:pPr>
            <w:r>
              <w:rPr>
                <w:rFonts w:hint="eastAsia" w:ascii="宋体" w:hAnsi="宋体" w:cs="黑体"/>
                <w:b/>
                <w:color w:val="auto"/>
                <w:szCs w:val="21"/>
                <w:highlight w:val="none"/>
              </w:rPr>
              <w:t>序号</w:t>
            </w:r>
          </w:p>
        </w:tc>
        <w:tc>
          <w:tcPr>
            <w:tcW w:w="1855"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宋体" w:hAnsi="宋体" w:cs="黑体"/>
                <w:b/>
                <w:color w:val="auto"/>
                <w:szCs w:val="21"/>
                <w:highlight w:val="none"/>
              </w:rPr>
            </w:pPr>
            <w:r>
              <w:rPr>
                <w:rFonts w:hint="eastAsia" w:ascii="宋体" w:hAnsi="宋体" w:cs="黑体"/>
                <w:b/>
                <w:color w:val="auto"/>
                <w:szCs w:val="21"/>
                <w:highlight w:val="none"/>
              </w:rPr>
              <w:t>总报价（不含绿色施工安全防护措施单列费）（单位：元）</w:t>
            </w:r>
          </w:p>
        </w:tc>
        <w:tc>
          <w:tcPr>
            <w:tcW w:w="1028" w:type="pct"/>
            <w:tcBorders>
              <w:top w:val="single" w:color="auto" w:sz="4" w:space="0"/>
              <w:left w:val="single" w:color="auto" w:sz="4" w:space="0"/>
              <w:right w:val="single" w:color="auto" w:sz="4" w:space="0"/>
            </w:tcBorders>
            <w:vAlign w:val="center"/>
          </w:tcPr>
          <w:p>
            <w:pPr>
              <w:overflowPunct w:val="0"/>
              <w:adjustRightInd w:val="0"/>
              <w:spacing w:line="460" w:lineRule="exact"/>
              <w:jc w:val="center"/>
              <w:rPr>
                <w:rFonts w:ascii="宋体" w:hAnsi="宋体" w:cs="黑体"/>
                <w:b/>
                <w:color w:val="auto"/>
                <w:szCs w:val="21"/>
                <w:highlight w:val="none"/>
              </w:rPr>
            </w:pPr>
            <w:r>
              <w:rPr>
                <w:rFonts w:hint="eastAsia" w:ascii="宋体" w:hAnsi="宋体" w:cs="黑体"/>
                <w:b/>
                <w:color w:val="auto"/>
                <w:szCs w:val="21"/>
                <w:highlight w:val="none"/>
              </w:rPr>
              <w:t>绿色施工安全防护措施单列费（单位：元）</w:t>
            </w:r>
          </w:p>
        </w:tc>
        <w:tc>
          <w:tcPr>
            <w:tcW w:w="1267" w:type="pct"/>
            <w:tcBorders>
              <w:top w:val="single" w:color="auto" w:sz="4" w:space="0"/>
              <w:left w:val="single" w:color="auto" w:sz="4" w:space="0"/>
              <w:right w:val="single" w:color="auto" w:sz="4" w:space="0"/>
            </w:tcBorders>
            <w:vAlign w:val="center"/>
          </w:tcPr>
          <w:p>
            <w:pPr>
              <w:overflowPunct w:val="0"/>
              <w:adjustRightInd w:val="0"/>
              <w:spacing w:line="460" w:lineRule="exact"/>
              <w:jc w:val="center"/>
              <w:rPr>
                <w:rFonts w:ascii="宋体" w:hAnsi="宋体" w:cs="黑体"/>
                <w:b/>
                <w:color w:val="auto"/>
                <w:szCs w:val="21"/>
                <w:highlight w:val="none"/>
              </w:rPr>
            </w:pPr>
            <w:r>
              <w:rPr>
                <w:rFonts w:hint="eastAsia" w:ascii="宋体" w:hAnsi="宋体" w:cs="黑体"/>
                <w:b/>
                <w:color w:val="auto"/>
                <w:szCs w:val="21"/>
                <w:highlight w:val="none"/>
              </w:rPr>
              <w:t>总报价（含绿色施工安全防护措施单列费）（单位：元）</w:t>
            </w:r>
          </w:p>
        </w:tc>
        <w:tc>
          <w:tcPr>
            <w:tcW w:w="598" w:type="pct"/>
            <w:tcBorders>
              <w:top w:val="single" w:color="auto" w:sz="4" w:space="0"/>
              <w:left w:val="single" w:color="auto" w:sz="4" w:space="0"/>
              <w:right w:val="single" w:color="auto" w:sz="4" w:space="0"/>
            </w:tcBorders>
            <w:vAlign w:val="center"/>
          </w:tcPr>
          <w:p>
            <w:pPr>
              <w:overflowPunct w:val="0"/>
              <w:adjustRightInd w:val="0"/>
              <w:spacing w:line="460" w:lineRule="exact"/>
              <w:jc w:val="center"/>
              <w:rPr>
                <w:rFonts w:ascii="宋体" w:hAnsi="宋体" w:cs="黑体"/>
                <w:b/>
                <w:color w:val="auto"/>
                <w:szCs w:val="21"/>
                <w:highlight w:val="none"/>
              </w:rPr>
            </w:pPr>
            <w:r>
              <w:rPr>
                <w:rFonts w:hint="eastAsia" w:ascii="宋体" w:hAnsi="宋体" w:cs="黑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3"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宋体" w:hAnsi="宋体" w:cs="黑体"/>
                <w:color w:val="auto"/>
                <w:szCs w:val="21"/>
                <w:highlight w:val="none"/>
              </w:rPr>
            </w:pPr>
            <w:r>
              <w:rPr>
                <w:rFonts w:hint="eastAsia" w:ascii="宋体" w:hAnsi="宋体" w:cs="黑体"/>
                <w:color w:val="auto"/>
                <w:szCs w:val="21"/>
                <w:highlight w:val="none"/>
              </w:rPr>
              <w:t>1</w:t>
            </w:r>
          </w:p>
        </w:tc>
        <w:tc>
          <w:tcPr>
            <w:tcW w:w="1855"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rPr>
                <w:rFonts w:ascii="宋体" w:hAnsi="宋体" w:cs="黑体"/>
                <w:color w:val="auto"/>
                <w:szCs w:val="21"/>
                <w:highlight w:val="none"/>
              </w:rPr>
            </w:pPr>
            <w:r>
              <w:rPr>
                <w:rFonts w:hint="eastAsia" w:ascii="宋体" w:hAnsi="宋体" w:cs="黑体"/>
                <w:color w:val="auto"/>
                <w:szCs w:val="21"/>
                <w:highlight w:val="none"/>
              </w:rPr>
              <w:t>大写：</w:t>
            </w:r>
            <w:r>
              <w:rPr>
                <w:rFonts w:hint="eastAsia" w:ascii="宋体" w:hAnsi="宋体" w:cs="黑体"/>
                <w:color w:val="auto"/>
                <w:szCs w:val="21"/>
                <w:highlight w:val="none"/>
                <w:u w:val="single"/>
              </w:rPr>
              <w:t xml:space="preserve">                          </w:t>
            </w:r>
          </w:p>
          <w:p>
            <w:pPr>
              <w:overflowPunct w:val="0"/>
              <w:adjustRightInd w:val="0"/>
              <w:spacing w:line="460" w:lineRule="exact"/>
              <w:rPr>
                <w:rFonts w:ascii="宋体" w:hAnsi="宋体" w:cs="黑体"/>
                <w:color w:val="auto"/>
                <w:szCs w:val="21"/>
                <w:highlight w:val="none"/>
                <w:u w:val="single"/>
              </w:rPr>
            </w:pPr>
            <w:r>
              <w:rPr>
                <w:rFonts w:hint="eastAsia" w:ascii="宋体" w:hAnsi="宋体" w:cs="黑体"/>
                <w:color w:val="auto"/>
                <w:szCs w:val="21"/>
                <w:highlight w:val="none"/>
              </w:rPr>
              <w:t>小写：</w:t>
            </w:r>
            <w:r>
              <w:rPr>
                <w:rFonts w:hint="eastAsia" w:ascii="宋体" w:hAnsi="宋体" w:cs="黑体"/>
                <w:color w:val="auto"/>
                <w:szCs w:val="21"/>
                <w:highlight w:val="none"/>
                <w:u w:val="single"/>
              </w:rPr>
              <w:t xml:space="preserve">                          </w:t>
            </w:r>
          </w:p>
        </w:tc>
        <w:tc>
          <w:tcPr>
            <w:tcW w:w="1028"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rPr>
                <w:rFonts w:ascii="宋体" w:hAnsi="宋体" w:cs="黑体"/>
                <w:color w:val="auto"/>
                <w:szCs w:val="21"/>
                <w:highlight w:val="none"/>
              </w:rPr>
            </w:pPr>
            <w:r>
              <w:rPr>
                <w:rFonts w:hint="eastAsia" w:ascii="宋体" w:hAnsi="宋体" w:cs="黑体"/>
                <w:color w:val="auto"/>
                <w:szCs w:val="21"/>
                <w:highlight w:val="none"/>
              </w:rPr>
              <w:t>大写：</w:t>
            </w:r>
            <w:r>
              <w:rPr>
                <w:rFonts w:hint="eastAsia" w:ascii="宋体" w:hAnsi="宋体" w:cs="黑体"/>
                <w:color w:val="auto"/>
                <w:szCs w:val="21"/>
                <w:highlight w:val="none"/>
                <w:u w:val="single"/>
              </w:rPr>
              <w:t xml:space="preserve">                          </w:t>
            </w:r>
          </w:p>
          <w:p>
            <w:pPr>
              <w:overflowPunct w:val="0"/>
              <w:adjustRightInd w:val="0"/>
              <w:spacing w:line="460" w:lineRule="exact"/>
              <w:rPr>
                <w:rFonts w:ascii="宋体" w:hAnsi="宋体" w:cs="黑体"/>
                <w:color w:val="auto"/>
                <w:szCs w:val="21"/>
                <w:highlight w:val="none"/>
              </w:rPr>
            </w:pPr>
            <w:r>
              <w:rPr>
                <w:rFonts w:hint="eastAsia" w:ascii="宋体" w:hAnsi="宋体" w:cs="黑体"/>
                <w:color w:val="auto"/>
                <w:szCs w:val="21"/>
                <w:highlight w:val="none"/>
              </w:rPr>
              <w:t>小写：</w:t>
            </w:r>
            <w:r>
              <w:rPr>
                <w:rFonts w:hint="eastAsia" w:ascii="宋体" w:hAnsi="宋体" w:cs="黑体"/>
                <w:color w:val="auto"/>
                <w:szCs w:val="21"/>
                <w:highlight w:val="none"/>
                <w:u w:val="single"/>
              </w:rPr>
              <w:t xml:space="preserve">               </w:t>
            </w:r>
          </w:p>
        </w:tc>
        <w:tc>
          <w:tcPr>
            <w:tcW w:w="1267"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rPr>
                <w:rFonts w:ascii="宋体" w:hAnsi="宋体" w:cs="黑体"/>
                <w:color w:val="auto"/>
                <w:szCs w:val="21"/>
                <w:highlight w:val="none"/>
              </w:rPr>
            </w:pPr>
            <w:r>
              <w:rPr>
                <w:rFonts w:hint="eastAsia" w:ascii="宋体" w:hAnsi="宋体" w:cs="黑体"/>
                <w:color w:val="auto"/>
                <w:szCs w:val="21"/>
                <w:highlight w:val="none"/>
              </w:rPr>
              <w:t>大写：</w:t>
            </w:r>
            <w:r>
              <w:rPr>
                <w:rFonts w:hint="eastAsia" w:ascii="宋体" w:hAnsi="宋体" w:cs="黑体"/>
                <w:color w:val="auto"/>
                <w:szCs w:val="21"/>
                <w:highlight w:val="none"/>
                <w:u w:val="single"/>
              </w:rPr>
              <w:t xml:space="preserve">                          </w:t>
            </w:r>
          </w:p>
          <w:p>
            <w:pPr>
              <w:overflowPunct w:val="0"/>
              <w:adjustRightInd w:val="0"/>
              <w:spacing w:line="460" w:lineRule="exact"/>
              <w:rPr>
                <w:rFonts w:ascii="宋体" w:hAnsi="宋体" w:cs="黑体"/>
                <w:color w:val="auto"/>
                <w:szCs w:val="21"/>
                <w:highlight w:val="none"/>
                <w:u w:val="single"/>
              </w:rPr>
            </w:pPr>
            <w:r>
              <w:rPr>
                <w:rFonts w:hint="eastAsia" w:ascii="宋体" w:hAnsi="宋体" w:cs="黑体"/>
                <w:color w:val="auto"/>
                <w:szCs w:val="21"/>
                <w:highlight w:val="none"/>
              </w:rPr>
              <w:t>小写：</w:t>
            </w:r>
            <w:r>
              <w:rPr>
                <w:rFonts w:hint="eastAsia" w:ascii="宋体" w:hAnsi="宋体" w:cs="黑体"/>
                <w:color w:val="auto"/>
                <w:szCs w:val="21"/>
                <w:highlight w:val="none"/>
                <w:u w:val="single"/>
              </w:rPr>
              <w:t xml:space="preserve">                          </w:t>
            </w:r>
          </w:p>
        </w:tc>
        <w:tc>
          <w:tcPr>
            <w:tcW w:w="598"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宋体" w:hAnsi="宋体" w:cs="黑体"/>
                <w:color w:val="auto"/>
                <w:szCs w:val="21"/>
                <w:highlight w:val="none"/>
              </w:rPr>
            </w:pPr>
          </w:p>
        </w:tc>
      </w:tr>
    </w:tbl>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4" w:type="dxa"/>
          </w:tcPr>
          <w:p>
            <w:pPr>
              <w:overflowPunct w:val="0"/>
              <w:adjustRightInd w:val="0"/>
              <w:snapToGrid w:val="0"/>
              <w:spacing w:line="360" w:lineRule="auto"/>
              <w:contextualSpacing/>
              <w:rPr>
                <w:rFonts w:ascii="宋体" w:hAnsi="宋体"/>
                <w:color w:val="auto"/>
                <w:szCs w:val="21"/>
                <w:highlight w:val="none"/>
              </w:rPr>
            </w:pPr>
          </w:p>
          <w:p>
            <w:pPr>
              <w:overflowPunct w:val="0"/>
              <w:adjustRightInd w:val="0"/>
              <w:snapToGrid w:val="0"/>
              <w:spacing w:line="360" w:lineRule="auto"/>
              <w:contextualSpacing/>
              <w:rPr>
                <w:rFonts w:ascii="宋体" w:hAnsi="宋体"/>
                <w:color w:val="auto"/>
                <w:szCs w:val="21"/>
                <w:highlight w:val="none"/>
              </w:rPr>
            </w:pPr>
          </w:p>
          <w:p>
            <w:pPr>
              <w:overflowPunct w:val="0"/>
              <w:adjustRightInd w:val="0"/>
              <w:snapToGrid w:val="0"/>
              <w:spacing w:line="360" w:lineRule="auto"/>
              <w:contextualSpacing/>
              <w:rPr>
                <w:rFonts w:ascii="宋体" w:hAnsi="宋体"/>
                <w:color w:val="auto"/>
                <w:szCs w:val="21"/>
                <w:highlight w:val="none"/>
              </w:rPr>
            </w:pPr>
          </w:p>
          <w:p>
            <w:pPr>
              <w:overflowPunct w:val="0"/>
              <w:adjustRightInd w:val="0"/>
              <w:snapToGrid w:val="0"/>
              <w:spacing w:line="360" w:lineRule="auto"/>
              <w:contextualSpacing/>
              <w:rPr>
                <w:rFonts w:ascii="宋体" w:hAnsi="宋体"/>
                <w:color w:val="auto"/>
                <w:szCs w:val="21"/>
                <w:highlight w:val="none"/>
              </w:rPr>
            </w:pPr>
          </w:p>
          <w:p>
            <w:pPr>
              <w:overflowPunct w:val="0"/>
              <w:adjustRightInd w:val="0"/>
              <w:snapToGrid w:val="0"/>
              <w:spacing w:line="360" w:lineRule="auto"/>
              <w:contextualSpacing/>
              <w:rPr>
                <w:rFonts w:ascii="宋体" w:hAnsi="宋体"/>
                <w:color w:val="auto"/>
                <w:szCs w:val="21"/>
                <w:highlight w:val="none"/>
              </w:rPr>
            </w:pPr>
            <w:r>
              <w:rPr>
                <w:rFonts w:hint="eastAsia" w:ascii="宋体" w:hAnsi="宋体"/>
                <w:color w:val="auto"/>
                <w:szCs w:val="21"/>
                <w:highlight w:val="none"/>
              </w:rPr>
              <w:t>供应商名称（加盖公章）：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4" w:type="dxa"/>
          </w:tcPr>
          <w:p>
            <w:pPr>
              <w:snapToGrid w:val="0"/>
              <w:spacing w:line="360" w:lineRule="auto"/>
              <w:contextualSpacing/>
              <w:rPr>
                <w:rFonts w:ascii="宋体" w:hAnsi="宋体"/>
                <w:color w:val="auto"/>
                <w:szCs w:val="21"/>
                <w:highlight w:val="none"/>
              </w:rPr>
            </w:pPr>
            <w:r>
              <w:rPr>
                <w:rFonts w:hint="eastAsia" w:ascii="宋体" w:hAnsi="宋体"/>
                <w:color w:val="auto"/>
                <w:szCs w:val="21"/>
                <w:highlight w:val="none"/>
              </w:rPr>
              <w:t>法定代表人（或被授权人）签字或盖私章：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4" w:type="dxa"/>
          </w:tcPr>
          <w:p>
            <w:pPr>
              <w:snapToGrid w:val="0"/>
              <w:spacing w:line="360" w:lineRule="auto"/>
              <w:contextualSpacing/>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年   月   日</w:t>
            </w:r>
          </w:p>
        </w:tc>
      </w:tr>
    </w:tbl>
    <w:p>
      <w:pPr>
        <w:widowControl/>
        <w:snapToGrid w:val="0"/>
        <w:spacing w:line="360" w:lineRule="auto"/>
        <w:contextualSpacing/>
        <w:jc w:val="left"/>
        <w:rPr>
          <w:color w:val="auto"/>
          <w:kern w:val="0"/>
          <w:sz w:val="20"/>
          <w:szCs w:val="20"/>
          <w:highlight w:val="none"/>
          <w:lang w:eastAsia="zh-Hans"/>
        </w:rPr>
      </w:pPr>
    </w:p>
    <w:p>
      <w:pPr>
        <w:widowControl/>
        <w:jc w:val="left"/>
        <w:rPr>
          <w:color w:val="auto"/>
          <w:kern w:val="0"/>
          <w:sz w:val="20"/>
          <w:szCs w:val="20"/>
          <w:highlight w:val="none"/>
          <w:lang w:eastAsia="zh-Hans"/>
        </w:rPr>
      </w:pPr>
    </w:p>
    <w:p>
      <w:pPr>
        <w:pageBreakBefore/>
        <w:rPr>
          <w:color w:val="auto"/>
          <w:kern w:val="0"/>
          <w:sz w:val="20"/>
          <w:szCs w:val="20"/>
          <w:highlight w:val="none"/>
          <w:lang w:eastAsia="zh-Hans"/>
        </w:rPr>
      </w:pPr>
      <w:bookmarkStart w:id="53" w:name="_Toc169799789"/>
      <w:r>
        <w:rPr>
          <w:rFonts w:ascii="宋体" w:hAnsi="宋体"/>
          <w:b/>
          <w:bCs/>
          <w:color w:val="auto"/>
          <w:sz w:val="24"/>
          <w:szCs w:val="28"/>
          <w:highlight w:val="none"/>
        </w:rPr>
        <w:t>格式三：</w:t>
      </w:r>
      <w:bookmarkEnd w:id="53"/>
    </w:p>
    <w:p>
      <w:pPr>
        <w:widowControl/>
        <w:jc w:val="center"/>
        <w:outlineLvl w:val="3"/>
        <w:rPr>
          <w:rFonts w:ascii="宋体" w:hAnsi="宋体"/>
          <w:color w:val="auto"/>
          <w:kern w:val="0"/>
          <w:sz w:val="20"/>
          <w:szCs w:val="20"/>
          <w:highlight w:val="none"/>
          <w:lang w:eastAsia="zh-Hans"/>
        </w:rPr>
      </w:pPr>
      <w:r>
        <w:rPr>
          <w:rFonts w:ascii="宋体" w:hAnsi="宋体"/>
          <w:b/>
          <w:color w:val="auto"/>
          <w:kern w:val="0"/>
          <w:sz w:val="32"/>
          <w:highlight w:val="none"/>
          <w:lang w:eastAsia="zh-Hans"/>
        </w:rPr>
        <w:t>分项报价表</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项目编号：</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项目名称：</w:t>
      </w:r>
    </w:p>
    <w:p>
      <w:pPr>
        <w:widowControl/>
        <w:snapToGri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lang w:eastAsia="zh-Hans"/>
        </w:rPr>
        <w:t>供应商</w:t>
      </w:r>
      <w:r>
        <w:rPr>
          <w:rFonts w:ascii="宋体" w:hAnsi="宋体"/>
          <w:color w:val="auto"/>
          <w:kern w:val="0"/>
          <w:szCs w:val="21"/>
          <w:highlight w:val="none"/>
          <w:lang w:eastAsia="zh-Hans"/>
        </w:rPr>
        <w:t>名称：</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货币及单位：人民币/元</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8"/>
        <w:gridCol w:w="1771"/>
        <w:gridCol w:w="1605"/>
        <w:gridCol w:w="1605"/>
        <w:gridCol w:w="1605"/>
        <w:gridCol w:w="15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7" w:type="pct"/>
          </w:tcPr>
          <w:p>
            <w:pPr>
              <w:widowControl/>
              <w:snapToGrid w:val="0"/>
              <w:spacing w:line="276"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序号</w:t>
            </w:r>
          </w:p>
        </w:tc>
        <w:tc>
          <w:tcPr>
            <w:tcW w:w="954" w:type="pct"/>
          </w:tcPr>
          <w:p>
            <w:pPr>
              <w:widowControl/>
              <w:snapToGrid w:val="0"/>
              <w:spacing w:line="276"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名称</w:t>
            </w:r>
          </w:p>
        </w:tc>
        <w:tc>
          <w:tcPr>
            <w:tcW w:w="864" w:type="pct"/>
          </w:tcPr>
          <w:p>
            <w:pPr>
              <w:widowControl/>
              <w:snapToGrid w:val="0"/>
              <w:spacing w:line="276" w:lineRule="auto"/>
              <w:contextualSpacing/>
              <w:jc w:val="center"/>
              <w:rPr>
                <w:rFonts w:ascii="宋体" w:hAnsi="宋体"/>
                <w:color w:val="auto"/>
                <w:kern w:val="0"/>
                <w:szCs w:val="21"/>
                <w:highlight w:val="none"/>
                <w:lang w:eastAsia="zh-Hans"/>
              </w:rPr>
            </w:pPr>
            <w:r>
              <w:rPr>
                <w:rFonts w:hint="eastAsia" w:ascii="宋体" w:hAnsi="宋体"/>
                <w:color w:val="auto"/>
                <w:kern w:val="0"/>
                <w:szCs w:val="21"/>
                <w:highlight w:val="none"/>
              </w:rPr>
              <w:t>内容参数</w:t>
            </w:r>
          </w:p>
        </w:tc>
        <w:tc>
          <w:tcPr>
            <w:tcW w:w="864" w:type="pct"/>
          </w:tcPr>
          <w:p>
            <w:pPr>
              <w:widowControl/>
              <w:snapToGrid w:val="0"/>
              <w:spacing w:line="276"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单价</w:t>
            </w:r>
          </w:p>
        </w:tc>
        <w:tc>
          <w:tcPr>
            <w:tcW w:w="864" w:type="pct"/>
          </w:tcPr>
          <w:p>
            <w:pPr>
              <w:widowControl/>
              <w:snapToGrid w:val="0"/>
              <w:spacing w:line="276"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数量</w:t>
            </w:r>
          </w:p>
        </w:tc>
        <w:tc>
          <w:tcPr>
            <w:tcW w:w="857" w:type="pct"/>
          </w:tcPr>
          <w:p>
            <w:pPr>
              <w:widowControl/>
              <w:snapToGrid w:val="0"/>
              <w:spacing w:line="276" w:lineRule="auto"/>
              <w:contextualSpacing/>
              <w:jc w:val="center"/>
              <w:rPr>
                <w:rFonts w:ascii="宋体" w:hAnsi="宋体"/>
                <w:color w:val="auto"/>
                <w:kern w:val="0"/>
                <w:szCs w:val="21"/>
                <w:highlight w:val="none"/>
                <w:lang w:eastAsia="zh-Hans"/>
              </w:rPr>
            </w:pPr>
            <w:r>
              <w:rPr>
                <w:rFonts w:hint="eastAsia" w:ascii="宋体" w:hAnsi="宋体"/>
                <w:color w:val="auto"/>
                <w:kern w:val="0"/>
                <w:szCs w:val="21"/>
                <w:highlight w:val="none"/>
                <w:lang w:eastAsia="zh-Hans"/>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7" w:type="pct"/>
          </w:tcPr>
          <w:p>
            <w:pPr>
              <w:snapToGrid w:val="0"/>
              <w:spacing w:line="276" w:lineRule="auto"/>
              <w:contextualSpacing/>
              <w:jc w:val="center"/>
              <w:rPr>
                <w:rFonts w:ascii="宋体" w:hAnsi="宋体"/>
                <w:color w:val="auto"/>
                <w:szCs w:val="21"/>
                <w:highlight w:val="none"/>
              </w:rPr>
            </w:pPr>
          </w:p>
        </w:tc>
        <w:tc>
          <w:tcPr>
            <w:tcW w:w="954" w:type="pct"/>
          </w:tcPr>
          <w:p>
            <w:pPr>
              <w:snapToGrid w:val="0"/>
              <w:spacing w:line="276" w:lineRule="auto"/>
              <w:contextualSpacing/>
              <w:jc w:val="center"/>
              <w:rPr>
                <w:rFonts w:ascii="宋体" w:hAnsi="宋体"/>
                <w:color w:val="auto"/>
                <w:szCs w:val="21"/>
                <w:highlight w:val="none"/>
              </w:rPr>
            </w:pPr>
          </w:p>
        </w:tc>
        <w:tc>
          <w:tcPr>
            <w:tcW w:w="864" w:type="pct"/>
          </w:tcPr>
          <w:p>
            <w:pPr>
              <w:snapToGrid w:val="0"/>
              <w:spacing w:line="276" w:lineRule="auto"/>
              <w:contextualSpacing/>
              <w:jc w:val="center"/>
              <w:rPr>
                <w:rFonts w:ascii="宋体" w:hAnsi="宋体"/>
                <w:color w:val="auto"/>
                <w:szCs w:val="21"/>
                <w:highlight w:val="none"/>
              </w:rPr>
            </w:pPr>
          </w:p>
        </w:tc>
        <w:tc>
          <w:tcPr>
            <w:tcW w:w="864" w:type="pct"/>
          </w:tcPr>
          <w:p>
            <w:pPr>
              <w:snapToGrid w:val="0"/>
              <w:spacing w:line="276" w:lineRule="auto"/>
              <w:contextualSpacing/>
              <w:jc w:val="center"/>
              <w:rPr>
                <w:rFonts w:ascii="宋体" w:hAnsi="宋体"/>
                <w:color w:val="auto"/>
                <w:szCs w:val="21"/>
                <w:highlight w:val="none"/>
              </w:rPr>
            </w:pPr>
          </w:p>
        </w:tc>
        <w:tc>
          <w:tcPr>
            <w:tcW w:w="864" w:type="pct"/>
          </w:tcPr>
          <w:p>
            <w:pPr>
              <w:snapToGrid w:val="0"/>
              <w:spacing w:line="276" w:lineRule="auto"/>
              <w:contextualSpacing/>
              <w:jc w:val="center"/>
              <w:rPr>
                <w:rFonts w:ascii="宋体" w:hAnsi="宋体"/>
                <w:color w:val="auto"/>
                <w:szCs w:val="21"/>
                <w:highlight w:val="none"/>
              </w:rPr>
            </w:pPr>
          </w:p>
        </w:tc>
        <w:tc>
          <w:tcPr>
            <w:tcW w:w="857" w:type="pct"/>
          </w:tcPr>
          <w:p>
            <w:pPr>
              <w:snapToGrid w:val="0"/>
              <w:spacing w:line="276" w:lineRule="auto"/>
              <w:contextualSpacing/>
              <w:jc w:val="cente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7" w:type="pct"/>
          </w:tcPr>
          <w:p>
            <w:pPr>
              <w:snapToGrid w:val="0"/>
              <w:spacing w:line="276" w:lineRule="auto"/>
              <w:contextualSpacing/>
              <w:jc w:val="center"/>
              <w:rPr>
                <w:rFonts w:ascii="宋体" w:hAnsi="宋体"/>
                <w:color w:val="auto"/>
                <w:szCs w:val="21"/>
                <w:highlight w:val="none"/>
              </w:rPr>
            </w:pPr>
          </w:p>
        </w:tc>
        <w:tc>
          <w:tcPr>
            <w:tcW w:w="954" w:type="pct"/>
          </w:tcPr>
          <w:p>
            <w:pPr>
              <w:snapToGrid w:val="0"/>
              <w:spacing w:line="276" w:lineRule="auto"/>
              <w:contextualSpacing/>
              <w:jc w:val="center"/>
              <w:rPr>
                <w:rFonts w:ascii="宋体" w:hAnsi="宋体"/>
                <w:color w:val="auto"/>
                <w:szCs w:val="21"/>
                <w:highlight w:val="none"/>
              </w:rPr>
            </w:pPr>
          </w:p>
        </w:tc>
        <w:tc>
          <w:tcPr>
            <w:tcW w:w="864" w:type="pct"/>
          </w:tcPr>
          <w:p>
            <w:pPr>
              <w:snapToGrid w:val="0"/>
              <w:spacing w:line="276" w:lineRule="auto"/>
              <w:contextualSpacing/>
              <w:jc w:val="center"/>
              <w:rPr>
                <w:rFonts w:ascii="宋体" w:hAnsi="宋体"/>
                <w:color w:val="auto"/>
                <w:szCs w:val="21"/>
                <w:highlight w:val="none"/>
              </w:rPr>
            </w:pPr>
          </w:p>
        </w:tc>
        <w:tc>
          <w:tcPr>
            <w:tcW w:w="864" w:type="pct"/>
          </w:tcPr>
          <w:p>
            <w:pPr>
              <w:snapToGrid w:val="0"/>
              <w:spacing w:line="276" w:lineRule="auto"/>
              <w:contextualSpacing/>
              <w:jc w:val="center"/>
              <w:rPr>
                <w:rFonts w:ascii="宋体" w:hAnsi="宋体"/>
                <w:color w:val="auto"/>
                <w:szCs w:val="21"/>
                <w:highlight w:val="none"/>
              </w:rPr>
            </w:pPr>
          </w:p>
        </w:tc>
        <w:tc>
          <w:tcPr>
            <w:tcW w:w="864" w:type="pct"/>
          </w:tcPr>
          <w:p>
            <w:pPr>
              <w:snapToGrid w:val="0"/>
              <w:spacing w:line="276" w:lineRule="auto"/>
              <w:contextualSpacing/>
              <w:jc w:val="center"/>
              <w:rPr>
                <w:rFonts w:ascii="宋体" w:hAnsi="宋体"/>
                <w:color w:val="auto"/>
                <w:szCs w:val="21"/>
                <w:highlight w:val="none"/>
              </w:rPr>
            </w:pPr>
          </w:p>
        </w:tc>
        <w:tc>
          <w:tcPr>
            <w:tcW w:w="857" w:type="pct"/>
          </w:tcPr>
          <w:p>
            <w:pPr>
              <w:snapToGrid w:val="0"/>
              <w:spacing w:line="276" w:lineRule="auto"/>
              <w:contextualSpacing/>
              <w:jc w:val="cente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7" w:type="pct"/>
          </w:tcPr>
          <w:p>
            <w:pPr>
              <w:snapToGrid w:val="0"/>
              <w:spacing w:line="276" w:lineRule="auto"/>
              <w:contextualSpacing/>
              <w:jc w:val="center"/>
              <w:rPr>
                <w:rFonts w:ascii="宋体" w:hAnsi="宋体"/>
                <w:color w:val="auto"/>
                <w:szCs w:val="21"/>
                <w:highlight w:val="none"/>
              </w:rPr>
            </w:pPr>
            <w:r>
              <w:rPr>
                <w:rFonts w:ascii="宋体" w:hAnsi="宋体"/>
                <w:color w:val="auto"/>
                <w:kern w:val="0"/>
                <w:szCs w:val="21"/>
                <w:highlight w:val="none"/>
                <w:lang w:eastAsia="zh-Hans"/>
              </w:rPr>
              <w:t>...</w:t>
            </w:r>
          </w:p>
        </w:tc>
        <w:tc>
          <w:tcPr>
            <w:tcW w:w="954" w:type="pct"/>
          </w:tcPr>
          <w:p>
            <w:pPr>
              <w:snapToGrid w:val="0"/>
              <w:spacing w:line="276" w:lineRule="auto"/>
              <w:contextualSpacing/>
              <w:jc w:val="center"/>
              <w:rPr>
                <w:rFonts w:ascii="宋体" w:hAnsi="宋体"/>
                <w:color w:val="auto"/>
                <w:szCs w:val="21"/>
                <w:highlight w:val="none"/>
              </w:rPr>
            </w:pPr>
          </w:p>
        </w:tc>
        <w:tc>
          <w:tcPr>
            <w:tcW w:w="864" w:type="pct"/>
          </w:tcPr>
          <w:p>
            <w:pPr>
              <w:snapToGrid w:val="0"/>
              <w:spacing w:line="276" w:lineRule="auto"/>
              <w:contextualSpacing/>
              <w:jc w:val="center"/>
              <w:rPr>
                <w:rFonts w:ascii="宋体" w:hAnsi="宋体"/>
                <w:color w:val="auto"/>
                <w:szCs w:val="21"/>
                <w:highlight w:val="none"/>
              </w:rPr>
            </w:pPr>
          </w:p>
        </w:tc>
        <w:tc>
          <w:tcPr>
            <w:tcW w:w="864" w:type="pct"/>
          </w:tcPr>
          <w:p>
            <w:pPr>
              <w:snapToGrid w:val="0"/>
              <w:spacing w:line="276" w:lineRule="auto"/>
              <w:contextualSpacing/>
              <w:jc w:val="center"/>
              <w:rPr>
                <w:rFonts w:ascii="宋体" w:hAnsi="宋体"/>
                <w:color w:val="auto"/>
                <w:szCs w:val="21"/>
                <w:highlight w:val="none"/>
              </w:rPr>
            </w:pPr>
          </w:p>
        </w:tc>
        <w:tc>
          <w:tcPr>
            <w:tcW w:w="864" w:type="pct"/>
          </w:tcPr>
          <w:p>
            <w:pPr>
              <w:snapToGrid w:val="0"/>
              <w:spacing w:line="276" w:lineRule="auto"/>
              <w:contextualSpacing/>
              <w:jc w:val="center"/>
              <w:rPr>
                <w:rFonts w:ascii="宋体" w:hAnsi="宋体"/>
                <w:color w:val="auto"/>
                <w:szCs w:val="21"/>
                <w:highlight w:val="none"/>
              </w:rPr>
            </w:pPr>
          </w:p>
        </w:tc>
        <w:tc>
          <w:tcPr>
            <w:tcW w:w="857" w:type="pct"/>
          </w:tcPr>
          <w:p>
            <w:pPr>
              <w:snapToGrid w:val="0"/>
              <w:spacing w:line="276" w:lineRule="auto"/>
              <w:contextualSpacing/>
              <w:jc w:val="cente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6"/>
          </w:tcPr>
          <w:p>
            <w:pPr>
              <w:snapToGrid w:val="0"/>
              <w:spacing w:line="276" w:lineRule="auto"/>
              <w:contextualSpacing/>
              <w:rPr>
                <w:rFonts w:ascii="宋体" w:hAnsi="宋体"/>
                <w:color w:val="auto"/>
                <w:szCs w:val="21"/>
                <w:highlight w:val="none"/>
              </w:rPr>
            </w:pPr>
            <w:r>
              <w:rPr>
                <w:rFonts w:hint="eastAsia" w:ascii="宋体" w:hAnsi="宋体"/>
                <w:color w:val="auto"/>
                <w:kern w:val="0"/>
                <w:szCs w:val="21"/>
                <w:highlight w:val="none"/>
              </w:rPr>
              <w:t>总价：</w:t>
            </w:r>
            <w:r>
              <w:rPr>
                <w:rFonts w:hint="eastAsia" w:ascii="宋体" w:hAnsi="宋体"/>
                <w:color w:val="auto"/>
                <w:szCs w:val="21"/>
                <w:highlight w:val="none"/>
              </w:rPr>
              <w:t>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元</w:t>
            </w:r>
            <w:r>
              <w:rPr>
                <w:rFonts w:hint="eastAsia" w:ascii="宋体" w:hAnsi="宋体"/>
                <w:color w:val="auto"/>
                <w:szCs w:val="21"/>
                <w:highlight w:val="none"/>
              </w:rPr>
              <w:t>（小写：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元）</w:t>
            </w:r>
          </w:p>
        </w:tc>
      </w:tr>
    </w:tbl>
    <w:p>
      <w:pPr>
        <w:widowControl/>
        <w:snapToGrid w:val="0"/>
        <w:spacing w:line="360" w:lineRule="auto"/>
        <w:contextualSpacing/>
        <w:jc w:val="left"/>
        <w:rPr>
          <w:color w:val="auto"/>
          <w:kern w:val="0"/>
          <w:sz w:val="20"/>
          <w:szCs w:val="20"/>
          <w:highlight w:val="none"/>
          <w:lang w:eastAsia="zh-Hans"/>
        </w:rPr>
      </w:pPr>
    </w:p>
    <w:p>
      <w:pPr>
        <w:widowControl/>
        <w:snapToGrid w:val="0"/>
        <w:spacing w:line="360" w:lineRule="auto"/>
        <w:contextualSpacing/>
        <w:jc w:val="left"/>
        <w:rPr>
          <w:color w:val="auto"/>
          <w:kern w:val="0"/>
          <w:sz w:val="20"/>
          <w:szCs w:val="20"/>
          <w:highlight w:val="none"/>
          <w:lang w:eastAsia="zh-Hans"/>
        </w:rPr>
      </w:pPr>
    </w:p>
    <w:p>
      <w:pPr>
        <w:widowControl/>
        <w:spacing w:before="624" w:beforeLines="200" w:line="300" w:lineRule="auto"/>
        <w:jc w:val="left"/>
        <w:rPr>
          <w:rFonts w:ascii="宋体" w:hAnsi="宋体"/>
          <w:color w:val="auto"/>
          <w:kern w:val="0"/>
          <w:szCs w:val="21"/>
          <w:highlight w:val="none"/>
          <w:lang w:eastAsia="zh-Hans"/>
        </w:rPr>
      </w:pPr>
      <w:r>
        <w:rPr>
          <w:rFonts w:hint="eastAsia" w:ascii="宋体" w:hAnsi="宋体"/>
          <w:color w:val="auto"/>
          <w:kern w:val="0"/>
          <w:szCs w:val="21"/>
          <w:highlight w:val="none"/>
          <w:lang w:eastAsia="zh-Hans"/>
        </w:rPr>
        <w:t>供应商</w:t>
      </w:r>
      <w:r>
        <w:rPr>
          <w:rFonts w:ascii="宋体" w:hAnsi="宋体"/>
          <w:color w:val="auto"/>
          <w:kern w:val="0"/>
          <w:szCs w:val="21"/>
          <w:highlight w:val="none"/>
          <w:lang w:eastAsia="zh-Hans"/>
        </w:rPr>
        <w:t>名称</w:t>
      </w:r>
      <w:r>
        <w:rPr>
          <w:rFonts w:hint="eastAsia" w:ascii="宋体" w:hAnsi="宋体"/>
          <w:color w:val="auto"/>
          <w:szCs w:val="21"/>
          <w:highlight w:val="none"/>
        </w:rPr>
        <w:t>（加盖公章）</w:t>
      </w:r>
      <w:r>
        <w:rPr>
          <w:rFonts w:ascii="宋体" w:hAnsi="宋体"/>
          <w:color w:val="auto"/>
          <w:kern w:val="0"/>
          <w:szCs w:val="21"/>
          <w:highlight w:val="none"/>
          <w:lang w:eastAsia="zh-Hans"/>
        </w:rPr>
        <w:t>：__________________</w:t>
      </w:r>
    </w:p>
    <w:p>
      <w:pPr>
        <w:widowControl/>
        <w:spacing w:line="30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 xml:space="preserve">日期：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年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月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日</w:t>
      </w:r>
    </w:p>
    <w:p>
      <w:pPr>
        <w:rPr>
          <w:rFonts w:ascii="宋体" w:hAnsi="宋体"/>
          <w:color w:val="auto"/>
          <w:szCs w:val="21"/>
          <w:highlight w:val="none"/>
        </w:rPr>
      </w:pPr>
    </w:p>
    <w:p>
      <w:pPr>
        <w:pageBreakBefore/>
        <w:rPr>
          <w:rFonts w:ascii="宋体" w:hAnsi="宋体"/>
          <w:color w:val="auto"/>
          <w:kern w:val="0"/>
          <w:szCs w:val="21"/>
          <w:highlight w:val="none"/>
          <w:lang w:eastAsia="zh-Hans"/>
        </w:rPr>
      </w:pPr>
      <w:bookmarkStart w:id="54" w:name="_Toc169799790"/>
      <w:r>
        <w:rPr>
          <w:rFonts w:ascii="宋体" w:hAnsi="宋体"/>
          <w:b/>
          <w:bCs/>
          <w:color w:val="auto"/>
          <w:sz w:val="24"/>
          <w:szCs w:val="28"/>
          <w:highlight w:val="none"/>
        </w:rPr>
        <w:t>格式</w:t>
      </w:r>
      <w:r>
        <w:rPr>
          <w:rFonts w:hint="eastAsia" w:ascii="宋体" w:hAnsi="宋体"/>
          <w:b/>
          <w:bCs/>
          <w:color w:val="auto"/>
          <w:sz w:val="24"/>
          <w:szCs w:val="28"/>
          <w:highlight w:val="none"/>
        </w:rPr>
        <w:t>四</w:t>
      </w:r>
      <w:r>
        <w:rPr>
          <w:rFonts w:ascii="宋体" w:hAnsi="宋体"/>
          <w:b/>
          <w:bCs/>
          <w:color w:val="auto"/>
          <w:sz w:val="24"/>
          <w:szCs w:val="28"/>
          <w:highlight w:val="none"/>
        </w:rPr>
        <w:t>：</w:t>
      </w:r>
      <w:bookmarkEnd w:id="54"/>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（以下格式文件由供应商根据需要选用）</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中小企业声明函（承建本项目工程为中小企业或者承接本项目服务为中小企业时提交本函，所属行业应符合采购文件中明确的本项目所属行业）</w:t>
      </w:r>
    </w:p>
    <w:p>
      <w:pPr>
        <w:widowControl/>
        <w:spacing w:before="156" w:beforeLines="50" w:after="156" w:afterLines="50"/>
        <w:jc w:val="center"/>
        <w:outlineLvl w:val="3"/>
        <w:rPr>
          <w:rFonts w:ascii="宋体" w:hAnsi="宋体"/>
          <w:color w:val="auto"/>
          <w:kern w:val="0"/>
          <w:szCs w:val="21"/>
          <w:highlight w:val="none"/>
          <w:lang w:eastAsia="zh-Hans"/>
        </w:rPr>
      </w:pPr>
      <w:r>
        <w:rPr>
          <w:rFonts w:ascii="宋体" w:hAnsi="宋体"/>
          <w:b/>
          <w:color w:val="auto"/>
          <w:kern w:val="0"/>
          <w:sz w:val="32"/>
          <w:szCs w:val="32"/>
          <w:highlight w:val="none"/>
          <w:lang w:eastAsia="zh-Hans"/>
        </w:rPr>
        <w:t>中小企业声明函（工程、服务）</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本公司（联合体）郑重声明，根据《政府采购促进中小企业发展管理办法》（财库﹝2020﹞46号）的规定，本公司（联合体）参加</w:t>
      </w:r>
      <w:r>
        <w:rPr>
          <w:rFonts w:ascii="宋体" w:hAnsi="宋体"/>
          <w:color w:val="auto"/>
          <w:kern w:val="0"/>
          <w:szCs w:val="21"/>
          <w:highlight w:val="none"/>
          <w:u w:val="single"/>
          <w:lang w:eastAsia="zh-Hans"/>
        </w:rPr>
        <w:t>（单位名称）</w:t>
      </w:r>
      <w:r>
        <w:rPr>
          <w:rFonts w:ascii="宋体" w:hAnsi="宋体"/>
          <w:color w:val="auto"/>
          <w:kern w:val="0"/>
          <w:szCs w:val="21"/>
          <w:highlight w:val="none"/>
          <w:lang w:eastAsia="zh-Hans"/>
        </w:rPr>
        <w:t>的</w:t>
      </w:r>
      <w:r>
        <w:rPr>
          <w:rFonts w:ascii="宋体" w:hAnsi="宋体"/>
          <w:color w:val="auto"/>
          <w:kern w:val="0"/>
          <w:szCs w:val="21"/>
          <w:highlight w:val="none"/>
          <w:u w:val="single"/>
          <w:lang w:eastAsia="zh-Hans"/>
        </w:rPr>
        <w:t>（项目名称）</w:t>
      </w:r>
      <w:r>
        <w:rPr>
          <w:rFonts w:ascii="宋体" w:hAnsi="宋体"/>
          <w:color w:val="auto"/>
          <w:kern w:val="0"/>
          <w:szCs w:val="21"/>
          <w:highlight w:val="none"/>
          <w:lang w:eastAsia="zh-Hans"/>
        </w:rPr>
        <w:t>采购活动，工程的施工单位全部为符合政策要求的中小企业（或者：服务全部由符合政策要求的中小企业承接）。相关企业（含联合体中的中小企业、签订分包意向协议的中小企业）的具体情况如下：</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1.</w:t>
      </w:r>
      <w:r>
        <w:rPr>
          <w:rFonts w:ascii="宋体" w:hAnsi="宋体"/>
          <w:color w:val="auto"/>
          <w:kern w:val="0"/>
          <w:szCs w:val="21"/>
          <w:highlight w:val="none"/>
          <w:u w:val="single"/>
          <w:lang w:eastAsia="zh-Hans"/>
        </w:rPr>
        <w:t>（标的名称）</w:t>
      </w:r>
      <w:r>
        <w:rPr>
          <w:rFonts w:ascii="宋体" w:hAnsi="宋体"/>
          <w:color w:val="auto"/>
          <w:kern w:val="0"/>
          <w:szCs w:val="21"/>
          <w:highlight w:val="none"/>
          <w:lang w:eastAsia="zh-Hans"/>
        </w:rPr>
        <w:t>，属于</w:t>
      </w:r>
      <w:r>
        <w:rPr>
          <w:rFonts w:ascii="宋体" w:hAnsi="宋体"/>
          <w:color w:val="auto"/>
          <w:kern w:val="0"/>
          <w:szCs w:val="21"/>
          <w:highlight w:val="none"/>
          <w:u w:val="single"/>
          <w:lang w:eastAsia="zh-Hans"/>
        </w:rPr>
        <w:t>（采购文件中明确的所属行业）</w:t>
      </w:r>
      <w:r>
        <w:rPr>
          <w:rFonts w:ascii="宋体" w:hAnsi="宋体"/>
          <w:color w:val="auto"/>
          <w:kern w:val="0"/>
          <w:szCs w:val="21"/>
          <w:highlight w:val="none"/>
          <w:lang w:eastAsia="zh-Hans"/>
        </w:rPr>
        <w:t>行业；承建（承接）企业为</w:t>
      </w:r>
      <w:r>
        <w:rPr>
          <w:rFonts w:ascii="宋体" w:hAnsi="宋体"/>
          <w:color w:val="auto"/>
          <w:kern w:val="0"/>
          <w:szCs w:val="21"/>
          <w:highlight w:val="none"/>
          <w:u w:val="single"/>
          <w:lang w:eastAsia="zh-Hans"/>
        </w:rPr>
        <w:t>（企业名称）</w:t>
      </w:r>
      <w:r>
        <w:rPr>
          <w:rFonts w:ascii="宋体" w:hAnsi="宋体"/>
          <w:color w:val="auto"/>
          <w:kern w:val="0"/>
          <w:szCs w:val="21"/>
          <w:highlight w:val="none"/>
          <w:lang w:eastAsia="zh-Hans"/>
        </w:rPr>
        <w:t>，从业人员___________人，营业收入为______________万元，资产总额为_____________万元1，属于</w:t>
      </w:r>
      <w:r>
        <w:rPr>
          <w:rFonts w:ascii="宋体" w:hAnsi="宋体"/>
          <w:color w:val="auto"/>
          <w:kern w:val="0"/>
          <w:szCs w:val="21"/>
          <w:highlight w:val="none"/>
          <w:u w:val="single"/>
          <w:lang w:eastAsia="zh-Hans"/>
        </w:rPr>
        <w:t>（中型企业、小型企业、微型企业）</w:t>
      </w:r>
      <w:r>
        <w:rPr>
          <w:rFonts w:ascii="宋体" w:hAnsi="宋体"/>
          <w:color w:val="auto"/>
          <w:kern w:val="0"/>
          <w:szCs w:val="21"/>
          <w:highlight w:val="none"/>
          <w:lang w:eastAsia="zh-Hans"/>
        </w:rPr>
        <w:t>；</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2.</w:t>
      </w:r>
      <w:r>
        <w:rPr>
          <w:rFonts w:ascii="宋体" w:hAnsi="宋体"/>
          <w:color w:val="auto"/>
          <w:kern w:val="0"/>
          <w:szCs w:val="21"/>
          <w:highlight w:val="none"/>
          <w:u w:val="single"/>
          <w:lang w:eastAsia="zh-Hans"/>
        </w:rPr>
        <w:t>（标的名称）</w:t>
      </w:r>
      <w:r>
        <w:rPr>
          <w:rFonts w:ascii="宋体" w:hAnsi="宋体"/>
          <w:color w:val="auto"/>
          <w:kern w:val="0"/>
          <w:szCs w:val="21"/>
          <w:highlight w:val="none"/>
          <w:lang w:eastAsia="zh-Hans"/>
        </w:rPr>
        <w:t>，属于</w:t>
      </w:r>
      <w:r>
        <w:rPr>
          <w:rFonts w:ascii="宋体" w:hAnsi="宋体"/>
          <w:color w:val="auto"/>
          <w:kern w:val="0"/>
          <w:szCs w:val="21"/>
          <w:highlight w:val="none"/>
          <w:u w:val="single"/>
          <w:lang w:eastAsia="zh-Hans"/>
        </w:rPr>
        <w:t>（采购文件中明确的所属行业）</w:t>
      </w:r>
      <w:r>
        <w:rPr>
          <w:rFonts w:ascii="宋体" w:hAnsi="宋体"/>
          <w:color w:val="auto"/>
          <w:kern w:val="0"/>
          <w:szCs w:val="21"/>
          <w:highlight w:val="none"/>
          <w:lang w:eastAsia="zh-Hans"/>
        </w:rPr>
        <w:t>行业；承建（承接）企业为</w:t>
      </w:r>
      <w:r>
        <w:rPr>
          <w:rFonts w:ascii="宋体" w:hAnsi="宋体"/>
          <w:color w:val="auto"/>
          <w:kern w:val="0"/>
          <w:szCs w:val="21"/>
          <w:highlight w:val="none"/>
          <w:u w:val="single"/>
          <w:lang w:eastAsia="zh-Hans"/>
        </w:rPr>
        <w:t>（企业名称）</w:t>
      </w:r>
      <w:r>
        <w:rPr>
          <w:rFonts w:ascii="宋体" w:hAnsi="宋体"/>
          <w:color w:val="auto"/>
          <w:kern w:val="0"/>
          <w:szCs w:val="21"/>
          <w:highlight w:val="none"/>
          <w:lang w:eastAsia="zh-Hans"/>
        </w:rPr>
        <w:t>，从业人员__________________人，营业收入为__________________万元，资产总额为__________________万元</w:t>
      </w:r>
      <w:r>
        <w:rPr>
          <w:rFonts w:ascii="宋体" w:hAnsi="宋体"/>
          <w:color w:val="auto"/>
          <w:kern w:val="0"/>
          <w:szCs w:val="21"/>
          <w:highlight w:val="none"/>
          <w:vertAlign w:val="superscript"/>
          <w:lang w:eastAsia="zh-Hans"/>
        </w:rPr>
        <w:t>1</w:t>
      </w:r>
      <w:r>
        <w:rPr>
          <w:rFonts w:ascii="宋体" w:hAnsi="宋体"/>
          <w:color w:val="auto"/>
          <w:kern w:val="0"/>
          <w:szCs w:val="21"/>
          <w:highlight w:val="none"/>
          <w:lang w:eastAsia="zh-Hans"/>
        </w:rPr>
        <w:t>，属于</w:t>
      </w:r>
      <w:r>
        <w:rPr>
          <w:rFonts w:ascii="宋体" w:hAnsi="宋体"/>
          <w:color w:val="auto"/>
          <w:kern w:val="0"/>
          <w:szCs w:val="21"/>
          <w:highlight w:val="none"/>
          <w:u w:val="single"/>
          <w:lang w:eastAsia="zh-Hans"/>
        </w:rPr>
        <w:t>（中型企业、小型企业、微型企业）</w:t>
      </w:r>
      <w:r>
        <w:rPr>
          <w:rFonts w:ascii="宋体" w:hAnsi="宋体"/>
          <w:color w:val="auto"/>
          <w:kern w:val="0"/>
          <w:szCs w:val="21"/>
          <w:highlight w:val="none"/>
          <w:lang w:eastAsia="zh-Hans"/>
        </w:rPr>
        <w:t>；</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以上企业，不属于大企业的分支机构，不存在控股股东为大企业的情形，也不存在与大企业的负责人为同一人的情形。</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本企业对上述声明内容的真实性负责。如有虚假，将依法承担相应责任。</w:t>
      </w:r>
    </w:p>
    <w:p>
      <w:pPr>
        <w:widowControl/>
        <w:spacing w:before="780" w:beforeLines="250"/>
        <w:ind w:right="840" w:firstLine="4676" w:firstLineChars="2227"/>
        <w:rPr>
          <w:rFonts w:ascii="宋体" w:hAnsi="宋体"/>
          <w:color w:val="auto"/>
          <w:kern w:val="0"/>
          <w:szCs w:val="21"/>
          <w:highlight w:val="none"/>
          <w:lang w:eastAsia="zh-Hans"/>
        </w:rPr>
      </w:pPr>
      <w:r>
        <w:rPr>
          <w:rFonts w:ascii="宋体" w:hAnsi="宋体"/>
          <w:color w:val="auto"/>
          <w:kern w:val="0"/>
          <w:szCs w:val="21"/>
          <w:highlight w:val="none"/>
          <w:lang w:eastAsia="zh-Hans"/>
        </w:rPr>
        <w:t>企业名称（盖章）：__________________</w:t>
      </w:r>
    </w:p>
    <w:p>
      <w:pPr>
        <w:widowControl/>
        <w:ind w:right="840" w:firstLine="4676" w:firstLineChars="2227"/>
        <w:rPr>
          <w:rFonts w:ascii="宋体" w:hAnsi="宋体"/>
          <w:color w:val="auto"/>
          <w:kern w:val="0"/>
          <w:szCs w:val="21"/>
          <w:highlight w:val="none"/>
          <w:lang w:eastAsia="zh-Hans"/>
        </w:rPr>
      </w:pPr>
      <w:r>
        <w:rPr>
          <w:rFonts w:ascii="宋体" w:hAnsi="宋体"/>
          <w:color w:val="auto"/>
          <w:kern w:val="0"/>
          <w:szCs w:val="21"/>
          <w:highlight w:val="none"/>
          <w:lang w:eastAsia="zh-Hans"/>
        </w:rPr>
        <w:t xml:space="preserve">日期：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年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月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日</w:t>
      </w:r>
    </w:p>
    <w:p>
      <w:pPr>
        <w:widowControl/>
        <w:spacing w:before="2184" w:beforeLines="700"/>
        <w:jc w:val="left"/>
        <w:rPr>
          <w:rFonts w:ascii="宋体" w:hAnsi="宋体"/>
          <w:color w:val="auto"/>
          <w:kern w:val="0"/>
          <w:szCs w:val="21"/>
          <w:highlight w:val="none"/>
          <w:lang w:eastAsia="zh-Hans"/>
        </w:rPr>
      </w:pPr>
      <w:r>
        <w:rPr>
          <w:rFonts w:ascii="宋体" w:hAnsi="宋体"/>
          <w:color w:val="auto"/>
          <w:kern w:val="0"/>
          <w:szCs w:val="21"/>
          <w:highlight w:val="none"/>
          <w:lang w:eastAsia="zh-Hans"/>
        </w:rPr>
        <w:t>1：从业人员、营业收入、资产总额填报上一年度数据，无上一年度数据的新成立企业可不填报。</w:t>
      </w:r>
    </w:p>
    <w:p>
      <w:pPr>
        <w:widowControl/>
        <w:jc w:val="left"/>
        <w:rPr>
          <w:rFonts w:ascii="宋体" w:hAnsi="宋体"/>
          <w:color w:val="auto"/>
          <w:kern w:val="0"/>
          <w:szCs w:val="21"/>
          <w:highlight w:val="none"/>
          <w:lang w:eastAsia="zh-Hans"/>
        </w:rPr>
      </w:pPr>
    </w:p>
    <w:p>
      <w:pPr>
        <w:widowControl/>
        <w:jc w:val="left"/>
        <w:rPr>
          <w:rFonts w:ascii="宋体" w:hAnsi="宋体"/>
          <w:color w:val="auto"/>
          <w:kern w:val="0"/>
          <w:szCs w:val="21"/>
          <w:highlight w:val="none"/>
          <w:lang w:eastAsia="zh-Hans"/>
        </w:rPr>
      </w:pPr>
    </w:p>
    <w:p>
      <w:pPr>
        <w:pageBreakBefore/>
        <w:rPr>
          <w:rFonts w:ascii="宋体" w:hAnsi="宋体"/>
          <w:color w:val="auto"/>
          <w:kern w:val="0"/>
          <w:szCs w:val="21"/>
          <w:highlight w:val="none"/>
          <w:lang w:eastAsia="zh-Hans"/>
        </w:rPr>
      </w:pPr>
      <w:bookmarkStart w:id="55" w:name="_Toc169799791"/>
      <w:r>
        <w:rPr>
          <w:rFonts w:ascii="宋体" w:hAnsi="宋体"/>
          <w:b/>
          <w:bCs/>
          <w:color w:val="auto"/>
          <w:sz w:val="24"/>
          <w:szCs w:val="28"/>
          <w:highlight w:val="none"/>
        </w:rPr>
        <w:t>格式</w:t>
      </w:r>
      <w:r>
        <w:rPr>
          <w:rFonts w:hint="eastAsia" w:ascii="宋体" w:hAnsi="宋体"/>
          <w:b/>
          <w:bCs/>
          <w:color w:val="auto"/>
          <w:sz w:val="24"/>
          <w:szCs w:val="28"/>
          <w:highlight w:val="none"/>
        </w:rPr>
        <w:t>五</w:t>
      </w:r>
      <w:r>
        <w:rPr>
          <w:rFonts w:ascii="宋体" w:hAnsi="宋体"/>
          <w:b/>
          <w:bCs/>
          <w:color w:val="auto"/>
          <w:sz w:val="24"/>
          <w:szCs w:val="28"/>
          <w:highlight w:val="none"/>
        </w:rPr>
        <w:t>：</w:t>
      </w:r>
      <w:bookmarkEnd w:id="55"/>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（以下格式文件由供应商根据需要选用）</w:t>
      </w:r>
    </w:p>
    <w:p>
      <w:pPr>
        <w:widowControl/>
        <w:spacing w:line="360" w:lineRule="auto"/>
        <w:jc w:val="center"/>
        <w:outlineLvl w:val="3"/>
        <w:rPr>
          <w:rFonts w:ascii="宋体" w:hAnsi="宋体"/>
          <w:color w:val="auto"/>
          <w:kern w:val="0"/>
          <w:szCs w:val="21"/>
          <w:highlight w:val="none"/>
          <w:lang w:eastAsia="zh-Hans"/>
        </w:rPr>
      </w:pPr>
      <w:r>
        <w:rPr>
          <w:rFonts w:ascii="宋体" w:hAnsi="宋体"/>
          <w:b/>
          <w:color w:val="auto"/>
          <w:kern w:val="0"/>
          <w:sz w:val="32"/>
          <w:szCs w:val="32"/>
          <w:highlight w:val="none"/>
          <w:lang w:eastAsia="zh-Hans"/>
        </w:rPr>
        <w:t>监狱企业</w:t>
      </w:r>
    </w:p>
    <w:p>
      <w:pPr>
        <w:widowControl/>
        <w:spacing w:line="36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提供由监狱管理局、戒毒管理局（含新疆生产建设兵团）出具的属于监狱企业的证明文件。</w:t>
      </w:r>
    </w:p>
    <w:p>
      <w:pPr>
        <w:widowControl/>
        <w:spacing w:line="360" w:lineRule="auto"/>
        <w:jc w:val="left"/>
        <w:rPr>
          <w:rFonts w:ascii="宋体" w:hAnsi="宋体"/>
          <w:color w:val="auto"/>
          <w:kern w:val="0"/>
          <w:szCs w:val="21"/>
          <w:highlight w:val="none"/>
          <w:lang w:eastAsia="zh-Hans"/>
        </w:rPr>
      </w:pPr>
    </w:p>
    <w:p>
      <w:pPr>
        <w:keepLines/>
        <w:spacing w:before="468" w:beforeLines="150" w:line="360" w:lineRule="auto"/>
        <w:rPr>
          <w:rFonts w:ascii="宋体" w:hAnsi="宋体"/>
          <w:color w:val="auto"/>
          <w:kern w:val="0"/>
          <w:szCs w:val="21"/>
          <w:highlight w:val="none"/>
          <w:lang w:eastAsia="zh-Hans"/>
        </w:rPr>
      </w:pPr>
      <w:bookmarkStart w:id="56" w:name="_Toc169799792"/>
      <w:r>
        <w:rPr>
          <w:rFonts w:ascii="宋体" w:hAnsi="宋体"/>
          <w:b/>
          <w:bCs/>
          <w:color w:val="auto"/>
          <w:sz w:val="24"/>
          <w:szCs w:val="28"/>
          <w:highlight w:val="none"/>
        </w:rPr>
        <w:t>格式</w:t>
      </w:r>
      <w:r>
        <w:rPr>
          <w:rFonts w:hint="eastAsia" w:ascii="宋体" w:hAnsi="宋体"/>
          <w:b/>
          <w:bCs/>
          <w:color w:val="auto"/>
          <w:sz w:val="24"/>
          <w:szCs w:val="28"/>
          <w:highlight w:val="none"/>
        </w:rPr>
        <w:t>六</w:t>
      </w:r>
      <w:r>
        <w:rPr>
          <w:rFonts w:ascii="宋体" w:hAnsi="宋体"/>
          <w:b/>
          <w:bCs/>
          <w:color w:val="auto"/>
          <w:sz w:val="24"/>
          <w:szCs w:val="28"/>
          <w:highlight w:val="none"/>
        </w:rPr>
        <w:t>：</w:t>
      </w:r>
      <w:bookmarkEnd w:id="56"/>
    </w:p>
    <w:p>
      <w:pPr>
        <w:widowControl/>
        <w:spacing w:line="36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（以下格式文件由供应商根据需要选用）</w:t>
      </w:r>
    </w:p>
    <w:p>
      <w:pPr>
        <w:widowControl/>
        <w:spacing w:before="156" w:beforeLines="50" w:line="360" w:lineRule="auto"/>
        <w:jc w:val="center"/>
        <w:outlineLvl w:val="3"/>
        <w:rPr>
          <w:rFonts w:ascii="宋体" w:hAnsi="宋体"/>
          <w:color w:val="auto"/>
          <w:kern w:val="0"/>
          <w:szCs w:val="21"/>
          <w:highlight w:val="none"/>
          <w:lang w:eastAsia="zh-Hans"/>
        </w:rPr>
      </w:pPr>
      <w:r>
        <w:rPr>
          <w:rFonts w:ascii="宋体" w:hAnsi="宋体"/>
          <w:b/>
          <w:color w:val="auto"/>
          <w:kern w:val="0"/>
          <w:sz w:val="32"/>
          <w:szCs w:val="32"/>
          <w:highlight w:val="none"/>
          <w:lang w:eastAsia="zh-Hans"/>
        </w:rPr>
        <w:t>残疾人福利性单位声明函</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本单位对上述声明的真实性负责。如有虚假，将依法承担相应责任。</w:t>
      </w:r>
    </w:p>
    <w:p>
      <w:pPr>
        <w:widowControl/>
        <w:snapToGrid w:val="0"/>
        <w:spacing w:line="360" w:lineRule="auto"/>
        <w:ind w:right="840"/>
        <w:contextualSpacing/>
        <w:jc w:val="right"/>
        <w:rPr>
          <w:rFonts w:ascii="宋体" w:hAnsi="宋体"/>
          <w:color w:val="auto"/>
          <w:kern w:val="0"/>
          <w:szCs w:val="21"/>
          <w:highlight w:val="none"/>
        </w:rPr>
      </w:pPr>
    </w:p>
    <w:p>
      <w:pPr>
        <w:widowControl/>
        <w:tabs>
          <w:tab w:val="left" w:pos="4395"/>
        </w:tabs>
        <w:snapToGrid w:val="0"/>
        <w:spacing w:before="624" w:beforeLines="200" w:line="360" w:lineRule="auto"/>
        <w:ind w:right="629" w:firstLine="4109" w:firstLineChars="1957"/>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单位名称（盖章）：__________________</w:t>
      </w:r>
    </w:p>
    <w:p>
      <w:pPr>
        <w:widowControl/>
        <w:tabs>
          <w:tab w:val="left" w:pos="4395"/>
        </w:tabs>
        <w:snapToGrid w:val="0"/>
        <w:spacing w:before="312" w:beforeLines="100" w:line="360" w:lineRule="auto"/>
        <w:ind w:right="1680" w:firstLine="4109" w:firstLineChars="1957"/>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日期： 年 月 日</w:t>
      </w:r>
    </w:p>
    <w:p>
      <w:pPr>
        <w:pageBreakBefore/>
        <w:rPr>
          <w:color w:val="auto"/>
          <w:kern w:val="0"/>
          <w:szCs w:val="21"/>
          <w:highlight w:val="none"/>
          <w:lang w:eastAsia="zh-Hans"/>
        </w:rPr>
      </w:pPr>
      <w:bookmarkStart w:id="57" w:name="_Toc169799793"/>
      <w:r>
        <w:rPr>
          <w:rFonts w:ascii="宋体" w:hAnsi="宋体"/>
          <w:b/>
          <w:bCs/>
          <w:color w:val="auto"/>
          <w:sz w:val="24"/>
          <w:szCs w:val="28"/>
          <w:highlight w:val="none"/>
        </w:rPr>
        <w:t>格式</w:t>
      </w:r>
      <w:r>
        <w:rPr>
          <w:rFonts w:hint="eastAsia" w:ascii="宋体" w:hAnsi="宋体"/>
          <w:b/>
          <w:bCs/>
          <w:color w:val="auto"/>
          <w:sz w:val="24"/>
          <w:szCs w:val="28"/>
          <w:highlight w:val="none"/>
        </w:rPr>
        <w:t>七</w:t>
      </w:r>
      <w:r>
        <w:rPr>
          <w:rFonts w:ascii="宋体" w:hAnsi="宋体"/>
          <w:b/>
          <w:bCs/>
          <w:color w:val="auto"/>
          <w:sz w:val="24"/>
          <w:szCs w:val="28"/>
          <w:highlight w:val="none"/>
        </w:rPr>
        <w:t>：</w:t>
      </w:r>
      <w:bookmarkEnd w:id="57"/>
    </w:p>
    <w:p>
      <w:pPr>
        <w:widowControl/>
        <w:spacing w:after="156" w:afterLines="50"/>
        <w:jc w:val="center"/>
        <w:outlineLvl w:val="3"/>
        <w:rPr>
          <w:color w:val="auto"/>
          <w:kern w:val="0"/>
          <w:sz w:val="20"/>
          <w:szCs w:val="20"/>
          <w:highlight w:val="none"/>
          <w:lang w:eastAsia="zh-Hans"/>
        </w:rPr>
      </w:pPr>
      <w:r>
        <w:rPr>
          <w:b/>
          <w:color w:val="auto"/>
          <w:kern w:val="0"/>
          <w:sz w:val="32"/>
          <w:highlight w:val="none"/>
          <w:lang w:eastAsia="zh-Hans"/>
        </w:rPr>
        <w:t>政策适用性说明</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按照政府采购有关政策的要求，在本次的技术方案中，采用符合政策的小型或微型企业产品、节能产品、环境标志产品，主要产品与核心技术介绍说明如下：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772"/>
        <w:gridCol w:w="1140"/>
        <w:gridCol w:w="1140"/>
        <w:gridCol w:w="1138"/>
        <w:gridCol w:w="1140"/>
        <w:gridCol w:w="1003"/>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widowControl/>
              <w:snapToGrid w:val="0"/>
              <w:spacing w:line="360"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序号</w:t>
            </w:r>
          </w:p>
        </w:tc>
        <w:tc>
          <w:tcPr>
            <w:tcW w:w="954" w:type="pct"/>
            <w:vAlign w:val="center"/>
          </w:tcPr>
          <w:p>
            <w:pPr>
              <w:widowControl/>
              <w:snapToGrid w:val="0"/>
              <w:spacing w:line="360"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主要产品/技术名称（规格型号、注册商标）</w:t>
            </w:r>
          </w:p>
        </w:tc>
        <w:tc>
          <w:tcPr>
            <w:tcW w:w="614" w:type="pct"/>
            <w:vAlign w:val="center"/>
          </w:tcPr>
          <w:p>
            <w:pPr>
              <w:widowControl/>
              <w:snapToGrid w:val="0"/>
              <w:spacing w:line="360"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制造商(开发商)</w:t>
            </w:r>
          </w:p>
        </w:tc>
        <w:tc>
          <w:tcPr>
            <w:tcW w:w="614" w:type="pct"/>
            <w:vAlign w:val="center"/>
          </w:tcPr>
          <w:p>
            <w:pPr>
              <w:widowControl/>
              <w:snapToGrid w:val="0"/>
              <w:spacing w:line="360"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制造商企业类型</w:t>
            </w:r>
          </w:p>
        </w:tc>
        <w:tc>
          <w:tcPr>
            <w:tcW w:w="613" w:type="pct"/>
            <w:vAlign w:val="center"/>
          </w:tcPr>
          <w:p>
            <w:pPr>
              <w:widowControl/>
              <w:snapToGrid w:val="0"/>
              <w:spacing w:line="360"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节能产品</w:t>
            </w:r>
          </w:p>
        </w:tc>
        <w:tc>
          <w:tcPr>
            <w:tcW w:w="614" w:type="pct"/>
            <w:vAlign w:val="center"/>
          </w:tcPr>
          <w:p>
            <w:pPr>
              <w:widowControl/>
              <w:snapToGrid w:val="0"/>
              <w:spacing w:line="360"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环境标志产品</w:t>
            </w:r>
          </w:p>
        </w:tc>
        <w:tc>
          <w:tcPr>
            <w:tcW w:w="540" w:type="pct"/>
            <w:vAlign w:val="center"/>
          </w:tcPr>
          <w:p>
            <w:pPr>
              <w:widowControl/>
              <w:snapToGrid w:val="0"/>
              <w:spacing w:line="360"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认证证书编号</w:t>
            </w:r>
          </w:p>
        </w:tc>
        <w:tc>
          <w:tcPr>
            <w:tcW w:w="624" w:type="pct"/>
            <w:vAlign w:val="center"/>
          </w:tcPr>
          <w:p>
            <w:pPr>
              <w:widowControl/>
              <w:snapToGrid w:val="0"/>
              <w:spacing w:line="360"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该产品报价在总报价中占比（%）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widowControl/>
              <w:snapToGrid w:val="0"/>
              <w:spacing w:line="276"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1</w:t>
            </w:r>
          </w:p>
        </w:tc>
        <w:tc>
          <w:tcPr>
            <w:tcW w:w="954"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613"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540" w:type="pct"/>
            <w:vAlign w:val="center"/>
          </w:tcPr>
          <w:p>
            <w:pPr>
              <w:snapToGrid w:val="0"/>
              <w:spacing w:line="360" w:lineRule="auto"/>
              <w:contextualSpacing/>
              <w:jc w:val="center"/>
              <w:rPr>
                <w:rFonts w:ascii="宋体" w:hAnsi="宋体"/>
                <w:color w:val="auto"/>
                <w:szCs w:val="21"/>
                <w:highlight w:val="none"/>
              </w:rPr>
            </w:pPr>
          </w:p>
        </w:tc>
        <w:tc>
          <w:tcPr>
            <w:tcW w:w="624" w:type="pct"/>
            <w:vAlign w:val="center"/>
          </w:tcPr>
          <w:p>
            <w:pPr>
              <w:snapToGrid w:val="0"/>
              <w:spacing w:line="360" w:lineRule="auto"/>
              <w:contextualSpacing/>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widowControl/>
              <w:snapToGrid w:val="0"/>
              <w:spacing w:line="276"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2</w:t>
            </w:r>
          </w:p>
        </w:tc>
        <w:tc>
          <w:tcPr>
            <w:tcW w:w="954"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613"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540" w:type="pct"/>
            <w:vAlign w:val="center"/>
          </w:tcPr>
          <w:p>
            <w:pPr>
              <w:snapToGrid w:val="0"/>
              <w:spacing w:line="360" w:lineRule="auto"/>
              <w:contextualSpacing/>
              <w:jc w:val="center"/>
              <w:rPr>
                <w:rFonts w:ascii="宋体" w:hAnsi="宋体"/>
                <w:color w:val="auto"/>
                <w:szCs w:val="21"/>
                <w:highlight w:val="none"/>
              </w:rPr>
            </w:pPr>
          </w:p>
        </w:tc>
        <w:tc>
          <w:tcPr>
            <w:tcW w:w="624" w:type="pct"/>
            <w:vAlign w:val="center"/>
          </w:tcPr>
          <w:p>
            <w:pPr>
              <w:snapToGrid w:val="0"/>
              <w:spacing w:line="360" w:lineRule="auto"/>
              <w:contextualSpacing/>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widowControl/>
              <w:snapToGrid w:val="0"/>
              <w:spacing w:line="276"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3</w:t>
            </w:r>
          </w:p>
        </w:tc>
        <w:tc>
          <w:tcPr>
            <w:tcW w:w="954"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613"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540" w:type="pct"/>
            <w:vAlign w:val="center"/>
          </w:tcPr>
          <w:p>
            <w:pPr>
              <w:snapToGrid w:val="0"/>
              <w:spacing w:line="360" w:lineRule="auto"/>
              <w:contextualSpacing/>
              <w:jc w:val="center"/>
              <w:rPr>
                <w:rFonts w:ascii="宋体" w:hAnsi="宋体"/>
                <w:color w:val="auto"/>
                <w:szCs w:val="21"/>
                <w:highlight w:val="none"/>
              </w:rPr>
            </w:pPr>
          </w:p>
        </w:tc>
        <w:tc>
          <w:tcPr>
            <w:tcW w:w="624" w:type="pct"/>
            <w:vAlign w:val="center"/>
          </w:tcPr>
          <w:p>
            <w:pPr>
              <w:snapToGrid w:val="0"/>
              <w:spacing w:line="360" w:lineRule="auto"/>
              <w:contextualSpacing/>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widowControl/>
              <w:snapToGrid w:val="0"/>
              <w:spacing w:line="276"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4</w:t>
            </w:r>
          </w:p>
        </w:tc>
        <w:tc>
          <w:tcPr>
            <w:tcW w:w="954"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613"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540" w:type="pct"/>
            <w:vAlign w:val="center"/>
          </w:tcPr>
          <w:p>
            <w:pPr>
              <w:snapToGrid w:val="0"/>
              <w:spacing w:line="360" w:lineRule="auto"/>
              <w:contextualSpacing/>
              <w:jc w:val="center"/>
              <w:rPr>
                <w:rFonts w:ascii="宋体" w:hAnsi="宋体"/>
                <w:color w:val="auto"/>
                <w:szCs w:val="21"/>
                <w:highlight w:val="none"/>
              </w:rPr>
            </w:pPr>
          </w:p>
        </w:tc>
        <w:tc>
          <w:tcPr>
            <w:tcW w:w="624" w:type="pct"/>
            <w:vAlign w:val="center"/>
          </w:tcPr>
          <w:p>
            <w:pPr>
              <w:snapToGrid w:val="0"/>
              <w:spacing w:line="360" w:lineRule="auto"/>
              <w:contextualSpacing/>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widowControl/>
              <w:snapToGrid w:val="0"/>
              <w:spacing w:line="276"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5</w:t>
            </w:r>
          </w:p>
        </w:tc>
        <w:tc>
          <w:tcPr>
            <w:tcW w:w="954"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613"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540" w:type="pct"/>
            <w:vAlign w:val="center"/>
          </w:tcPr>
          <w:p>
            <w:pPr>
              <w:snapToGrid w:val="0"/>
              <w:spacing w:line="360" w:lineRule="auto"/>
              <w:contextualSpacing/>
              <w:jc w:val="center"/>
              <w:rPr>
                <w:rFonts w:ascii="宋体" w:hAnsi="宋体"/>
                <w:color w:val="auto"/>
                <w:szCs w:val="21"/>
                <w:highlight w:val="none"/>
              </w:rPr>
            </w:pPr>
          </w:p>
        </w:tc>
        <w:tc>
          <w:tcPr>
            <w:tcW w:w="624" w:type="pct"/>
            <w:vAlign w:val="center"/>
          </w:tcPr>
          <w:p>
            <w:pPr>
              <w:snapToGrid w:val="0"/>
              <w:spacing w:line="360" w:lineRule="auto"/>
              <w:contextualSpacing/>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widowControl/>
              <w:snapToGrid w:val="0"/>
              <w:spacing w:line="360" w:lineRule="auto"/>
              <w:contextualSpacing/>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w:t>
            </w:r>
          </w:p>
        </w:tc>
        <w:tc>
          <w:tcPr>
            <w:tcW w:w="954"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613" w:type="pct"/>
            <w:vAlign w:val="center"/>
          </w:tcPr>
          <w:p>
            <w:pPr>
              <w:snapToGrid w:val="0"/>
              <w:spacing w:line="360" w:lineRule="auto"/>
              <w:contextualSpacing/>
              <w:jc w:val="center"/>
              <w:rPr>
                <w:rFonts w:ascii="宋体" w:hAnsi="宋体"/>
                <w:color w:val="auto"/>
                <w:szCs w:val="21"/>
                <w:highlight w:val="none"/>
              </w:rPr>
            </w:pPr>
          </w:p>
        </w:tc>
        <w:tc>
          <w:tcPr>
            <w:tcW w:w="614" w:type="pct"/>
            <w:vAlign w:val="center"/>
          </w:tcPr>
          <w:p>
            <w:pPr>
              <w:snapToGrid w:val="0"/>
              <w:spacing w:line="360" w:lineRule="auto"/>
              <w:contextualSpacing/>
              <w:jc w:val="center"/>
              <w:rPr>
                <w:rFonts w:ascii="宋体" w:hAnsi="宋体"/>
                <w:color w:val="auto"/>
                <w:szCs w:val="21"/>
                <w:highlight w:val="none"/>
              </w:rPr>
            </w:pPr>
          </w:p>
        </w:tc>
        <w:tc>
          <w:tcPr>
            <w:tcW w:w="540" w:type="pct"/>
            <w:vAlign w:val="center"/>
          </w:tcPr>
          <w:p>
            <w:pPr>
              <w:snapToGrid w:val="0"/>
              <w:spacing w:line="360" w:lineRule="auto"/>
              <w:contextualSpacing/>
              <w:jc w:val="center"/>
              <w:rPr>
                <w:rFonts w:ascii="宋体" w:hAnsi="宋体"/>
                <w:color w:val="auto"/>
                <w:szCs w:val="21"/>
                <w:highlight w:val="none"/>
              </w:rPr>
            </w:pPr>
          </w:p>
        </w:tc>
        <w:tc>
          <w:tcPr>
            <w:tcW w:w="624" w:type="pct"/>
            <w:vAlign w:val="center"/>
          </w:tcPr>
          <w:p>
            <w:pPr>
              <w:snapToGrid w:val="0"/>
              <w:spacing w:line="360" w:lineRule="auto"/>
              <w:contextualSpacing/>
              <w:jc w:val="center"/>
              <w:rPr>
                <w:rFonts w:ascii="宋体" w:hAnsi="宋体"/>
                <w:color w:val="auto"/>
                <w:szCs w:val="21"/>
                <w:highlight w:val="none"/>
              </w:rPr>
            </w:pPr>
          </w:p>
        </w:tc>
      </w:tr>
    </w:tbl>
    <w:p>
      <w:pPr>
        <w:widowControl/>
        <w:snapToGri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lang w:eastAsia="zh-Hans"/>
        </w:rPr>
        <w:t>注：</w:t>
      </w:r>
    </w:p>
    <w:p>
      <w:pPr>
        <w:widowControl/>
        <w:snapToGri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制造商为小型或微型企业时才需要填“制造商企业类型”栏，填写内容为“小型”或“微型”；</w:t>
      </w:r>
    </w:p>
    <w:p>
      <w:pPr>
        <w:widowControl/>
        <w:snapToGri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节能产品须填写认证证书编号，并提供</w:t>
      </w:r>
      <w:r>
        <w:rPr>
          <w:rFonts w:hint="eastAsia" w:ascii="宋体" w:hAnsi="宋体"/>
          <w:color w:val="auto"/>
          <w:kern w:val="0"/>
          <w:szCs w:val="21"/>
          <w:highlight w:val="none"/>
        </w:rPr>
        <w:t>响应</w:t>
      </w:r>
      <w:r>
        <w:rPr>
          <w:rFonts w:ascii="宋体" w:hAnsi="宋体"/>
          <w:color w:val="auto"/>
          <w:kern w:val="0"/>
          <w:szCs w:val="21"/>
          <w:highlight w:val="none"/>
        </w:rPr>
        <w:t>产品的节能产品认证证书复印件加盖供应商公章；</w:t>
      </w:r>
    </w:p>
    <w:p>
      <w:pPr>
        <w:widowControl/>
        <w:snapToGri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环保标志产品须填写认证证书编号，并提供</w:t>
      </w:r>
      <w:r>
        <w:rPr>
          <w:rFonts w:hint="eastAsia" w:ascii="宋体" w:hAnsi="宋体"/>
          <w:color w:val="auto"/>
          <w:kern w:val="0"/>
          <w:szCs w:val="21"/>
          <w:highlight w:val="none"/>
        </w:rPr>
        <w:t>响应</w:t>
      </w:r>
      <w:r>
        <w:rPr>
          <w:rFonts w:ascii="宋体" w:hAnsi="宋体"/>
          <w:color w:val="auto"/>
          <w:kern w:val="0"/>
          <w:szCs w:val="21"/>
          <w:highlight w:val="none"/>
        </w:rPr>
        <w:t>产品的环保标志产品认证证书复印件加盖供应商公章。</w:t>
      </w:r>
    </w:p>
    <w:p>
      <w:pPr>
        <w:widowControl/>
        <w:snapToGrid w:val="0"/>
        <w:spacing w:after="1092" w:afterLines="350"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以上证明资料未按要求提供或未提供完整的，视为未提供处理。</w:t>
      </w:r>
    </w:p>
    <w:p>
      <w:pPr>
        <w:widowControl/>
        <w:snapToGrid w:val="0"/>
        <w:spacing w:line="360" w:lineRule="auto"/>
        <w:contextualSpacing/>
        <w:jc w:val="left"/>
        <w:rPr>
          <w:rFonts w:ascii="宋体" w:hAnsi="宋体"/>
          <w:color w:val="auto"/>
          <w:kern w:val="0"/>
          <w:szCs w:val="21"/>
          <w:highlight w:val="none"/>
        </w:rPr>
      </w:pPr>
    </w:p>
    <w:p>
      <w:pPr>
        <w:widowControl/>
        <w:snapToGrid w:val="0"/>
        <w:spacing w:line="360" w:lineRule="auto"/>
        <w:contextualSpacing/>
        <w:jc w:val="left"/>
        <w:rPr>
          <w:rFonts w:ascii="宋体" w:hAnsi="宋体"/>
          <w:color w:val="auto"/>
          <w:kern w:val="0"/>
          <w:szCs w:val="21"/>
          <w:highlight w:val="none"/>
        </w:rPr>
      </w:pP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供应商名称</w:t>
      </w:r>
      <w:r>
        <w:rPr>
          <w:rFonts w:hint="eastAsia" w:ascii="宋体" w:hAnsi="宋体"/>
          <w:color w:val="auto"/>
          <w:szCs w:val="21"/>
          <w:highlight w:val="none"/>
        </w:rPr>
        <w:t>（加盖公章）</w:t>
      </w:r>
      <w:r>
        <w:rPr>
          <w:rFonts w:ascii="宋体" w:hAnsi="宋体"/>
          <w:color w:val="auto"/>
          <w:kern w:val="0"/>
          <w:szCs w:val="21"/>
          <w:highlight w:val="none"/>
          <w:lang w:eastAsia="zh-Hans"/>
        </w:rPr>
        <w:t>：__________________</w:t>
      </w:r>
    </w:p>
    <w:p>
      <w:pPr>
        <w:widowControl/>
        <w:snapToGri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lang w:eastAsia="zh-Hans"/>
        </w:rPr>
        <w:t xml:space="preserve">日期：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年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月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日</w:t>
      </w:r>
    </w:p>
    <w:p>
      <w:pPr>
        <w:pageBreakBefore/>
        <w:rPr>
          <w:rFonts w:ascii="宋体" w:hAnsi="宋体"/>
          <w:color w:val="auto"/>
          <w:kern w:val="0"/>
          <w:szCs w:val="21"/>
          <w:highlight w:val="none"/>
          <w:lang w:eastAsia="zh-Hans"/>
        </w:rPr>
      </w:pPr>
      <w:bookmarkStart w:id="58" w:name="_Toc169799794"/>
      <w:r>
        <w:rPr>
          <w:rFonts w:ascii="宋体" w:hAnsi="宋体"/>
          <w:b/>
          <w:bCs/>
          <w:color w:val="auto"/>
          <w:sz w:val="24"/>
          <w:szCs w:val="28"/>
          <w:highlight w:val="none"/>
        </w:rPr>
        <w:t>格式</w:t>
      </w:r>
      <w:r>
        <w:rPr>
          <w:rFonts w:hint="eastAsia" w:ascii="宋体" w:hAnsi="宋体"/>
          <w:b/>
          <w:bCs/>
          <w:color w:val="auto"/>
          <w:sz w:val="24"/>
          <w:szCs w:val="28"/>
          <w:highlight w:val="none"/>
        </w:rPr>
        <w:t>八</w:t>
      </w:r>
      <w:r>
        <w:rPr>
          <w:rFonts w:ascii="宋体" w:hAnsi="宋体"/>
          <w:b/>
          <w:bCs/>
          <w:color w:val="auto"/>
          <w:sz w:val="24"/>
          <w:szCs w:val="28"/>
          <w:highlight w:val="none"/>
        </w:rPr>
        <w:t>：</w:t>
      </w:r>
      <w:bookmarkEnd w:id="58"/>
    </w:p>
    <w:p>
      <w:pPr>
        <w:widowControl/>
        <w:jc w:val="left"/>
        <w:rPr>
          <w:rFonts w:ascii="宋体" w:hAnsi="宋体"/>
          <w:color w:val="auto"/>
          <w:kern w:val="0"/>
          <w:szCs w:val="21"/>
          <w:highlight w:val="none"/>
          <w:lang w:eastAsia="zh-Hans"/>
        </w:rPr>
      </w:pPr>
      <w:bookmarkStart w:id="59" w:name="_Hlk169795196"/>
      <w:r>
        <w:rPr>
          <w:rFonts w:ascii="宋体" w:hAnsi="宋体"/>
          <w:color w:val="auto"/>
          <w:kern w:val="0"/>
          <w:szCs w:val="21"/>
          <w:highlight w:val="none"/>
          <w:lang w:eastAsia="zh-Hans"/>
        </w:rPr>
        <w:t>（以下格式文件由供应商根据需要选用）</w:t>
      </w:r>
      <w:bookmarkEnd w:id="59"/>
    </w:p>
    <w:p>
      <w:pPr>
        <w:widowControl/>
        <w:spacing w:before="312" w:beforeLines="100" w:after="156" w:afterLines="50"/>
        <w:jc w:val="center"/>
        <w:outlineLvl w:val="3"/>
        <w:rPr>
          <w:rFonts w:ascii="宋体" w:hAnsi="宋体"/>
          <w:color w:val="auto"/>
          <w:kern w:val="0"/>
          <w:sz w:val="28"/>
          <w:szCs w:val="28"/>
          <w:highlight w:val="none"/>
          <w:lang w:eastAsia="zh-Hans"/>
        </w:rPr>
      </w:pPr>
      <w:r>
        <w:rPr>
          <w:rFonts w:ascii="宋体" w:hAnsi="宋体"/>
          <w:b/>
          <w:color w:val="auto"/>
          <w:kern w:val="0"/>
          <w:sz w:val="32"/>
          <w:szCs w:val="32"/>
          <w:highlight w:val="none"/>
          <w:lang w:eastAsia="zh-Hans"/>
        </w:rPr>
        <w:t>联合体共同投标协议书</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立约方：</w:t>
      </w:r>
      <w:r>
        <w:rPr>
          <w:rFonts w:ascii="宋体" w:hAnsi="宋体"/>
          <w:color w:val="auto"/>
          <w:kern w:val="0"/>
          <w:szCs w:val="21"/>
          <w:highlight w:val="none"/>
          <w:u w:val="single"/>
          <w:lang w:eastAsia="zh-Hans"/>
        </w:rPr>
        <w:t>（甲公司全称）</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u w:val="single"/>
          <w:lang w:eastAsia="zh-Hans"/>
        </w:rPr>
        <w:t>（乙公司全称）</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u w:val="single"/>
          <w:lang w:eastAsia="zh-Hans"/>
        </w:rPr>
        <w:t>（……公司全称）</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u w:val="single"/>
          <w:lang w:eastAsia="zh-Hans"/>
        </w:rPr>
        <w:t>（甲公司全称）、（乙公司全称）、（……公司全称）</w:t>
      </w:r>
      <w:r>
        <w:rPr>
          <w:rFonts w:ascii="宋体" w:hAnsi="宋体"/>
          <w:color w:val="auto"/>
          <w:kern w:val="0"/>
          <w:szCs w:val="21"/>
          <w:highlight w:val="none"/>
          <w:lang w:eastAsia="zh-Hans"/>
        </w:rPr>
        <w:t>自愿组成联合体，以一个供应商的身份共同参加（采购项目名称）（采购项目编号）的响应活动。经各方充分协商一致，就项目的响应和合同实施阶段的有关事务协商一致订立协议如下：</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一、联合体各方关系</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u w:val="single"/>
          <w:lang w:eastAsia="zh-Hans"/>
        </w:rPr>
        <w:t>（甲公司全称）、（乙公司全称）、（……公司全称）</w:t>
      </w:r>
      <w:r>
        <w:rPr>
          <w:rFonts w:ascii="宋体" w:hAnsi="宋体"/>
          <w:color w:val="auto"/>
          <w:kern w:val="0"/>
          <w:szCs w:val="21"/>
          <w:highlight w:val="none"/>
          <w:lang w:eastAsia="zh-Hans"/>
        </w:rPr>
        <w:t>共同组成一个联合体，以一个供应商的身份共同参加本项目的响应。（甲公司全称）、（乙公司全称）、（……公司全称）作为联合体成员，若成交，联合体各方共同与（采购人）签订政府采购合同。</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二、联合体内部有关事项约定如下：</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1.（甲公司全称）作为联合体的牵头单位，代表联合体双方负责投标和合同实施阶段的主办、协调工作。</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2.联合体将严格按照文件的各项要求，递交响应文件，切实执行一切合同文件，共同承担合同规定的一切义务和责任，同时按照内部职责的划分，承担自身所负的责任和风险，在法律上承担连带责任。</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3.如果本联合体成交，</w:t>
      </w:r>
      <w:r>
        <w:rPr>
          <w:rFonts w:ascii="宋体" w:hAnsi="宋体"/>
          <w:color w:val="auto"/>
          <w:kern w:val="0"/>
          <w:szCs w:val="21"/>
          <w:highlight w:val="none"/>
          <w:u w:val="single"/>
          <w:lang w:eastAsia="zh-Hans"/>
        </w:rPr>
        <w:t>（甲公司全称）</w:t>
      </w:r>
      <w:r>
        <w:rPr>
          <w:rFonts w:ascii="宋体" w:hAnsi="宋体"/>
          <w:color w:val="auto"/>
          <w:kern w:val="0"/>
          <w:szCs w:val="21"/>
          <w:highlight w:val="none"/>
          <w:lang w:eastAsia="zh-Hans"/>
        </w:rPr>
        <w:t>负责本项目___________部分，</w:t>
      </w:r>
      <w:r>
        <w:rPr>
          <w:rFonts w:ascii="宋体" w:hAnsi="宋体"/>
          <w:color w:val="auto"/>
          <w:kern w:val="0"/>
          <w:szCs w:val="21"/>
          <w:highlight w:val="none"/>
          <w:u w:val="single"/>
          <w:lang w:eastAsia="zh-Hans"/>
        </w:rPr>
        <w:t>（乙公司全称）</w:t>
      </w:r>
      <w:r>
        <w:rPr>
          <w:rFonts w:ascii="宋体" w:hAnsi="宋体"/>
          <w:color w:val="auto"/>
          <w:kern w:val="0"/>
          <w:szCs w:val="21"/>
          <w:highlight w:val="none"/>
          <w:lang w:eastAsia="zh-Hans"/>
        </w:rPr>
        <w:t>负责本项目___________部分。</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4.如成交，联合体各方共同与（采购人）签订合同书，并就成交项目向采购人负责有连带的和各自的法律责任；</w:t>
      </w: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5.联合体成员（公司全称）为（请填写：小型、微型）企业，将承担合同总金额_____%的工作内容（联合体成员中有小型、微型企业时适用）。</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四、联合体如因违约过失责任而导致采购人经济损失或被索赔时，本联合体任何一方均同意无条件优先清偿采购人的一切债务和经济赔偿。</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五、本协议在自签署之日起生效，有效期内有效，如获成交资格，合同有效期延续至合同履行完毕之日。</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六、本协议书正本一式_____份，随响应文件装订_____份，送采购人_____份，联合体成员各一份；副本一式_____份，联合体成员各执_____份。</w:t>
      </w:r>
    </w:p>
    <w:p>
      <w:pPr>
        <w:widowControl/>
        <w:snapToGrid w:val="0"/>
        <w:spacing w:line="360" w:lineRule="auto"/>
        <w:contextualSpacing/>
        <w:jc w:val="left"/>
        <w:rPr>
          <w:rFonts w:ascii="宋体" w:hAnsi="宋体"/>
          <w:color w:val="auto"/>
          <w:kern w:val="0"/>
          <w:szCs w:val="21"/>
          <w:highlight w:val="none"/>
        </w:rPr>
      </w:pPr>
    </w:p>
    <w:p>
      <w:pPr>
        <w:widowControl/>
        <w:snapToGri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lang w:eastAsia="zh-Hans"/>
        </w:rPr>
        <w:t>甲公司全称：____（盖章）________，乙公司全称：____（盖章）________，……公司全称：____（盖章）________</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____年____月 ____日，____年____月____日，____年____月____日</w:t>
      </w:r>
    </w:p>
    <w:p>
      <w:pPr>
        <w:widowControl/>
        <w:snapToGri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lang w:eastAsia="zh-Hans"/>
        </w:rPr>
        <w:t>注：</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1．联合响应时需签本协议，联合体各方成员应在本协议上共同盖章确认。</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2．本协议内容不得擅自修改。此协议将作为签订合同的附件之一。</w:t>
      </w:r>
    </w:p>
    <w:p>
      <w:pPr>
        <w:widowControl/>
        <w:snapToGrid w:val="0"/>
        <w:spacing w:line="360" w:lineRule="auto"/>
        <w:contextualSpacing/>
        <w:jc w:val="left"/>
        <w:rPr>
          <w:color w:val="auto"/>
          <w:kern w:val="0"/>
          <w:sz w:val="20"/>
          <w:szCs w:val="20"/>
          <w:highlight w:val="none"/>
          <w:lang w:eastAsia="zh-Hans"/>
        </w:rPr>
      </w:pPr>
    </w:p>
    <w:p>
      <w:pPr>
        <w:widowControl/>
        <w:snapToGrid w:val="0"/>
        <w:spacing w:line="360" w:lineRule="auto"/>
        <w:contextualSpacing/>
        <w:jc w:val="left"/>
        <w:rPr>
          <w:color w:val="auto"/>
          <w:kern w:val="0"/>
          <w:sz w:val="20"/>
          <w:szCs w:val="20"/>
          <w:highlight w:val="none"/>
        </w:rPr>
      </w:pPr>
    </w:p>
    <w:p>
      <w:pPr>
        <w:pageBreakBefore/>
        <w:rPr>
          <w:color w:val="auto"/>
          <w:kern w:val="0"/>
          <w:sz w:val="20"/>
          <w:szCs w:val="20"/>
          <w:highlight w:val="none"/>
          <w:lang w:eastAsia="zh-Hans"/>
        </w:rPr>
      </w:pPr>
      <w:bookmarkStart w:id="60" w:name="_Toc169799795"/>
      <w:r>
        <w:rPr>
          <w:rFonts w:ascii="宋体" w:hAnsi="宋体"/>
          <w:b/>
          <w:bCs/>
          <w:color w:val="auto"/>
          <w:sz w:val="24"/>
          <w:szCs w:val="28"/>
          <w:highlight w:val="none"/>
        </w:rPr>
        <w:t>格式</w:t>
      </w:r>
      <w:r>
        <w:rPr>
          <w:rFonts w:hint="eastAsia" w:ascii="宋体" w:hAnsi="宋体"/>
          <w:b/>
          <w:bCs/>
          <w:color w:val="auto"/>
          <w:sz w:val="24"/>
          <w:szCs w:val="28"/>
          <w:highlight w:val="none"/>
        </w:rPr>
        <w:t>九</w:t>
      </w:r>
      <w:r>
        <w:rPr>
          <w:rFonts w:ascii="宋体" w:hAnsi="宋体"/>
          <w:b/>
          <w:bCs/>
          <w:color w:val="auto"/>
          <w:sz w:val="24"/>
          <w:szCs w:val="28"/>
          <w:highlight w:val="none"/>
        </w:rPr>
        <w:t>：</w:t>
      </w:r>
      <w:bookmarkEnd w:id="60"/>
    </w:p>
    <w:p>
      <w:pPr>
        <w:widowControl/>
        <w:spacing w:before="156" w:beforeLines="50" w:after="312" w:afterLines="100"/>
        <w:jc w:val="center"/>
        <w:outlineLvl w:val="3"/>
        <w:rPr>
          <w:color w:val="auto"/>
          <w:kern w:val="0"/>
          <w:sz w:val="20"/>
          <w:szCs w:val="20"/>
          <w:highlight w:val="none"/>
          <w:lang w:eastAsia="zh-Hans"/>
        </w:rPr>
      </w:pPr>
      <w:r>
        <w:rPr>
          <w:b/>
          <w:color w:val="auto"/>
          <w:kern w:val="0"/>
          <w:sz w:val="32"/>
          <w:highlight w:val="none"/>
          <w:lang w:eastAsia="zh-Hans"/>
        </w:rPr>
        <w:t>法定代表人证明书</w:t>
      </w:r>
    </w:p>
    <w:p>
      <w:pPr>
        <w:widowControl/>
        <w:spacing w:line="360" w:lineRule="auto"/>
        <w:jc w:val="left"/>
        <w:rPr>
          <w:rFonts w:ascii="宋体" w:hAnsi="宋体"/>
          <w:color w:val="auto"/>
          <w:kern w:val="0"/>
          <w:szCs w:val="21"/>
          <w:highlight w:val="none"/>
          <w:lang w:eastAsia="zh-Hans"/>
        </w:rPr>
      </w:pP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现任我单位</w:t>
      </w:r>
      <w:r>
        <w:rPr>
          <w:rFonts w:hint="eastAsia" w:ascii="宋体" w:hAnsi="宋体"/>
          <w:color w:val="auto"/>
          <w:kern w:val="0"/>
          <w:szCs w:val="21"/>
          <w:highlight w:val="none"/>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职务，为法定代表人，特此证明。</w:t>
      </w:r>
    </w:p>
    <w:p>
      <w:pPr>
        <w:widowControl/>
        <w:spacing w:line="36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有效期限：</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lang w:eastAsia="zh-Hans"/>
        </w:rPr>
        <w:t xml:space="preserve">   </w:t>
      </w:r>
    </w:p>
    <w:p>
      <w:pPr>
        <w:widowControl/>
        <w:spacing w:line="36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附：代表人性别：</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年龄：</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 身份证号码：</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p>
    <w:p>
      <w:pPr>
        <w:widowControl/>
        <w:spacing w:line="360" w:lineRule="auto"/>
        <w:jc w:val="left"/>
        <w:rPr>
          <w:rFonts w:ascii="宋体" w:hAnsi="宋体"/>
          <w:color w:val="auto"/>
          <w:kern w:val="0"/>
          <w:szCs w:val="21"/>
          <w:highlight w:val="none"/>
          <w:lang w:eastAsia="zh-Hans"/>
        </w:rPr>
      </w:pPr>
      <w:r>
        <w:rPr>
          <w:rFonts w:hint="eastAsia" w:ascii="宋体" w:hAnsi="宋体"/>
          <w:color w:val="auto"/>
          <w:kern w:val="0"/>
          <w:szCs w:val="21"/>
          <w:highlight w:val="none"/>
          <w:lang w:eastAsia="zh-Hans"/>
        </w:rPr>
        <w:t>统一社会信用代码</w:t>
      </w:r>
      <w:r>
        <w:rPr>
          <w:rFonts w:ascii="宋体" w:hAnsi="宋体"/>
          <w:color w:val="auto"/>
          <w:kern w:val="0"/>
          <w:szCs w:val="21"/>
          <w:highlight w:val="none"/>
          <w:lang w:eastAsia="zh-Hans"/>
        </w:rPr>
        <w:t>：</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企业类型：</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p>
    <w:p>
      <w:pPr>
        <w:widowControl/>
        <w:spacing w:line="36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经营范围：</w:t>
      </w:r>
      <w:r>
        <w:rPr>
          <w:rFonts w:hint="eastAsia"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供应商名称</w:t>
      </w:r>
      <w:r>
        <w:rPr>
          <w:rFonts w:hint="eastAsia" w:ascii="宋体" w:hAnsi="宋体"/>
          <w:color w:val="auto"/>
          <w:szCs w:val="21"/>
          <w:highlight w:val="none"/>
        </w:rPr>
        <w:t>（加盖公章）</w:t>
      </w:r>
      <w:r>
        <w:rPr>
          <w:rFonts w:ascii="宋体" w:hAnsi="宋体"/>
          <w:color w:val="auto"/>
          <w:kern w:val="0"/>
          <w:szCs w:val="21"/>
          <w:highlight w:val="none"/>
          <w:lang w:eastAsia="zh-Hans"/>
        </w:rPr>
        <w:t>：</w:t>
      </w:r>
      <w:r>
        <w:rPr>
          <w:rFonts w:hint="eastAsia"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地址：</w:t>
      </w:r>
      <w:r>
        <w:rPr>
          <w:rFonts w:hint="eastAsia"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法定代表人（签字或盖</w:t>
      </w:r>
      <w:r>
        <w:rPr>
          <w:rFonts w:hint="eastAsia" w:ascii="宋体" w:hAnsi="宋体"/>
          <w:color w:val="auto"/>
          <w:kern w:val="0"/>
          <w:szCs w:val="21"/>
          <w:highlight w:val="none"/>
          <w:lang w:eastAsia="zh-Hans"/>
        </w:rPr>
        <w:t>私</w:t>
      </w:r>
      <w:r>
        <w:rPr>
          <w:rFonts w:ascii="宋体" w:hAnsi="宋体"/>
          <w:color w:val="auto"/>
          <w:kern w:val="0"/>
          <w:szCs w:val="21"/>
          <w:highlight w:val="none"/>
          <w:lang w:eastAsia="zh-Hans"/>
        </w:rPr>
        <w:t>章）：</w:t>
      </w:r>
      <w:r>
        <w:rPr>
          <w:rFonts w:hint="eastAsia" w:ascii="宋体" w:hAnsi="宋体"/>
          <w:color w:val="auto"/>
          <w:kern w:val="0"/>
          <w:szCs w:val="21"/>
          <w:highlight w:val="none"/>
          <w:u w:val="single"/>
        </w:rPr>
        <w:t xml:space="preserve">                                                     </w:t>
      </w:r>
    </w:p>
    <w:p>
      <w:pPr>
        <w:widowControl/>
        <w:spacing w:line="36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职务：</w:t>
      </w:r>
      <w:r>
        <w:rPr>
          <w:rFonts w:hint="eastAsia" w:ascii="宋体" w:hAnsi="宋体"/>
          <w:color w:val="auto"/>
          <w:kern w:val="0"/>
          <w:szCs w:val="21"/>
          <w:highlight w:val="none"/>
          <w:u w:val="single"/>
        </w:rPr>
        <w:t xml:space="preserve">                     </w:t>
      </w:r>
    </w:p>
    <w:p>
      <w:pPr>
        <w:widowControl/>
        <w:spacing w:line="360" w:lineRule="auto"/>
        <w:jc w:val="left"/>
        <w:rPr>
          <w:color w:val="auto"/>
          <w:kern w:val="0"/>
          <w:sz w:val="20"/>
          <w:szCs w:val="20"/>
          <w:highlight w:val="none"/>
          <w:lang w:eastAsia="zh-Hans"/>
        </w:rPr>
      </w:pPr>
      <w:r>
        <w:rPr>
          <w:rFonts w:ascii="宋体" w:hAnsi="宋体"/>
          <w:color w:val="auto"/>
          <w:kern w:val="0"/>
          <w:szCs w:val="21"/>
          <w:highlight w:val="none"/>
          <w:lang w:eastAsia="zh-Hans"/>
        </w:rPr>
        <w:t>日期：</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 年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月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日</w:t>
      </w:r>
    </w:p>
    <w:p>
      <w:pPr>
        <w:spacing w:before="156" w:beforeLines="50" w:after="156" w:afterLines="50" w:line="360" w:lineRule="auto"/>
        <w:rPr>
          <w:rFonts w:ascii="宋体" w:hAnsi="宋体"/>
          <w:color w:val="auto"/>
          <w:szCs w:val="21"/>
          <w:highlight w:val="none"/>
        </w:rPr>
      </w:pP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须附：法定代表人有效期内身份证复印件</w:t>
      </w:r>
    </w:p>
    <w:tbl>
      <w:tblPr>
        <w:tblStyle w:val="22"/>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643"/>
        <w:gridCol w:w="464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094" w:hRule="atLeast"/>
          <w:jc w:val="center"/>
        </w:trPr>
        <w:tc>
          <w:tcPr>
            <w:tcW w:w="2500" w:type="pct"/>
            <w:vAlign w:val="center"/>
          </w:tcPr>
          <w:p>
            <w:pPr>
              <w:pStyle w:val="49"/>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正面</w:t>
            </w:r>
          </w:p>
        </w:tc>
        <w:tc>
          <w:tcPr>
            <w:tcW w:w="2500" w:type="pct"/>
            <w:vAlign w:val="center"/>
          </w:tcPr>
          <w:p>
            <w:pPr>
              <w:pStyle w:val="49"/>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背面</w:t>
            </w:r>
          </w:p>
        </w:tc>
      </w:tr>
    </w:tbl>
    <w:p>
      <w:pPr>
        <w:widowControl/>
        <w:jc w:val="left"/>
        <w:rPr>
          <w:color w:val="auto"/>
          <w:kern w:val="0"/>
          <w:sz w:val="20"/>
          <w:szCs w:val="20"/>
          <w:highlight w:val="none"/>
          <w:lang w:eastAsia="zh-Hans"/>
        </w:rPr>
      </w:pPr>
    </w:p>
    <w:p>
      <w:pPr>
        <w:pageBreakBefore/>
        <w:rPr>
          <w:color w:val="auto"/>
          <w:kern w:val="0"/>
          <w:sz w:val="20"/>
          <w:szCs w:val="20"/>
          <w:highlight w:val="none"/>
          <w:lang w:eastAsia="zh-Hans"/>
        </w:rPr>
      </w:pPr>
      <w:bookmarkStart w:id="61" w:name="_Toc169799796"/>
      <w:r>
        <w:rPr>
          <w:rFonts w:ascii="宋体" w:hAnsi="宋体"/>
          <w:b/>
          <w:bCs/>
          <w:color w:val="auto"/>
          <w:sz w:val="24"/>
          <w:szCs w:val="28"/>
          <w:highlight w:val="none"/>
        </w:rPr>
        <w:t>格式</w:t>
      </w:r>
      <w:r>
        <w:rPr>
          <w:rFonts w:hint="eastAsia" w:ascii="宋体" w:hAnsi="宋体"/>
          <w:b/>
          <w:bCs/>
          <w:color w:val="auto"/>
          <w:sz w:val="24"/>
          <w:szCs w:val="28"/>
          <w:highlight w:val="none"/>
        </w:rPr>
        <w:t>十</w:t>
      </w:r>
      <w:r>
        <w:rPr>
          <w:rFonts w:ascii="宋体" w:hAnsi="宋体"/>
          <w:b/>
          <w:bCs/>
          <w:color w:val="auto"/>
          <w:sz w:val="24"/>
          <w:szCs w:val="28"/>
          <w:highlight w:val="none"/>
        </w:rPr>
        <w:t>：</w:t>
      </w:r>
      <w:bookmarkEnd w:id="61"/>
    </w:p>
    <w:p>
      <w:pPr>
        <w:widowControl/>
        <w:spacing w:before="156" w:beforeLines="50" w:after="312" w:afterLines="100"/>
        <w:jc w:val="center"/>
        <w:outlineLvl w:val="3"/>
        <w:rPr>
          <w:color w:val="auto"/>
          <w:kern w:val="0"/>
          <w:sz w:val="20"/>
          <w:szCs w:val="20"/>
          <w:highlight w:val="none"/>
          <w:lang w:eastAsia="zh-Hans"/>
        </w:rPr>
      </w:pPr>
      <w:r>
        <w:rPr>
          <w:b/>
          <w:color w:val="auto"/>
          <w:kern w:val="0"/>
          <w:sz w:val="32"/>
          <w:highlight w:val="none"/>
          <w:lang w:eastAsia="zh-Hans"/>
        </w:rPr>
        <w:t>法定代表人授权</w:t>
      </w:r>
      <w:r>
        <w:rPr>
          <w:rFonts w:hint="eastAsia"/>
          <w:b/>
          <w:color w:val="auto"/>
          <w:kern w:val="0"/>
          <w:sz w:val="32"/>
          <w:highlight w:val="none"/>
          <w:lang w:eastAsia="zh-Hans"/>
        </w:rPr>
        <w:t>委托</w:t>
      </w:r>
      <w:r>
        <w:rPr>
          <w:b/>
          <w:color w:val="auto"/>
          <w:kern w:val="0"/>
          <w:sz w:val="32"/>
          <w:highlight w:val="none"/>
          <w:lang w:eastAsia="zh-Hans"/>
        </w:rPr>
        <w:t>书</w:t>
      </w:r>
    </w:p>
    <w:p>
      <w:pPr>
        <w:spacing w:before="468" w:beforeLines="150" w:after="312" w:afterLines="100" w:line="360" w:lineRule="auto"/>
        <w:rPr>
          <w:rFonts w:ascii="宋体" w:hAnsi="宋体"/>
          <w:b/>
          <w:color w:val="auto"/>
          <w:highlight w:val="none"/>
        </w:rPr>
      </w:pPr>
      <w:r>
        <w:rPr>
          <w:rFonts w:hint="eastAsia" w:ascii="宋体" w:hAnsi="宋体"/>
          <w:b/>
          <w:color w:val="auto"/>
          <w:highlight w:val="none"/>
        </w:rPr>
        <w:t>广东智汇城市招标采购有限公司：</w:t>
      </w:r>
    </w:p>
    <w:p>
      <w:pPr>
        <w:pStyle w:val="49"/>
        <w:snapToGrid w:val="0"/>
        <w:spacing w:line="360" w:lineRule="auto"/>
        <w:ind w:firstLine="450" w:firstLineChars="0"/>
        <w:contextualSpacing/>
        <w:rPr>
          <w:rFonts w:ascii="宋体" w:eastAsia="宋体"/>
          <w:color w:val="auto"/>
          <w:sz w:val="21"/>
          <w:szCs w:val="21"/>
          <w:highlight w:val="none"/>
        </w:rPr>
      </w:pPr>
      <w:r>
        <w:rPr>
          <w:rFonts w:hint="eastAsia" w:ascii="宋体" w:eastAsia="宋体"/>
          <w:color w:val="auto"/>
          <w:sz w:val="21"/>
          <w:szCs w:val="21"/>
          <w:highlight w:val="none"/>
        </w:rPr>
        <w:t>本人</w:t>
      </w:r>
      <w:r>
        <w:rPr>
          <w:rFonts w:ascii="宋体" w:eastAsia="宋体"/>
          <w:color w:val="auto"/>
          <w:sz w:val="21"/>
          <w:szCs w:val="21"/>
          <w:highlight w:val="none"/>
          <w:u w:val="single"/>
        </w:rPr>
        <w:t xml:space="preserve">   </w:t>
      </w:r>
      <w:r>
        <w:rPr>
          <w:rFonts w:hint="eastAsia" w:ascii="宋体" w:eastAsia="宋体"/>
          <w:color w:val="auto"/>
          <w:sz w:val="21"/>
          <w:szCs w:val="21"/>
          <w:highlight w:val="none"/>
          <w:u w:val="single"/>
        </w:rPr>
        <w:t>（姓名）</w:t>
      </w:r>
      <w:r>
        <w:rPr>
          <w:rFonts w:ascii="宋体" w:eastAsia="宋体"/>
          <w:color w:val="auto"/>
          <w:sz w:val="21"/>
          <w:szCs w:val="21"/>
          <w:highlight w:val="none"/>
          <w:u w:val="single"/>
        </w:rPr>
        <w:t xml:space="preserve">  </w:t>
      </w:r>
      <w:r>
        <w:rPr>
          <w:rFonts w:hint="eastAsia" w:ascii="宋体" w:eastAsia="宋体"/>
          <w:color w:val="auto"/>
          <w:sz w:val="21"/>
          <w:szCs w:val="21"/>
          <w:highlight w:val="none"/>
        </w:rPr>
        <w:t>系</w:t>
      </w:r>
      <w:r>
        <w:rPr>
          <w:rFonts w:ascii="宋体" w:eastAsia="宋体"/>
          <w:color w:val="auto"/>
          <w:sz w:val="21"/>
          <w:szCs w:val="21"/>
          <w:highlight w:val="none"/>
          <w:u w:val="single"/>
        </w:rPr>
        <w:t xml:space="preserve">     （供应商名称）    </w:t>
      </w:r>
      <w:r>
        <w:rPr>
          <w:rFonts w:hint="eastAsia" w:ascii="宋体" w:eastAsia="宋体"/>
          <w:color w:val="auto"/>
          <w:sz w:val="21"/>
          <w:szCs w:val="21"/>
          <w:highlight w:val="none"/>
        </w:rPr>
        <w:t>的法定代表人，现委托</w:t>
      </w:r>
      <w:r>
        <w:rPr>
          <w:rFonts w:ascii="宋体" w:eastAsia="宋体"/>
          <w:color w:val="auto"/>
          <w:sz w:val="21"/>
          <w:szCs w:val="21"/>
          <w:highlight w:val="none"/>
          <w:u w:val="single"/>
        </w:rPr>
        <w:t xml:space="preserve"> （姓名） </w:t>
      </w:r>
      <w:r>
        <w:rPr>
          <w:rFonts w:hint="eastAsia" w:ascii="宋体" w:eastAsia="宋体"/>
          <w:color w:val="auto"/>
          <w:sz w:val="21"/>
          <w:szCs w:val="21"/>
          <w:highlight w:val="none"/>
        </w:rPr>
        <w:t>为我方合法代理人。代理人根据授权，以我方名义签署、澄清、说明、补正、递交、撤回、修改</w:t>
      </w:r>
      <w:r>
        <w:rPr>
          <w:rFonts w:ascii="宋体" w:eastAsia="宋体"/>
          <w:color w:val="auto"/>
          <w:sz w:val="21"/>
          <w:szCs w:val="21"/>
          <w:highlight w:val="none"/>
          <w:u w:val="single"/>
        </w:rPr>
        <w:t xml:space="preserve">     （项目名称） </w:t>
      </w:r>
      <w:r>
        <w:rPr>
          <w:rFonts w:hint="eastAsia" w:ascii="宋体" w:eastAsia="宋体"/>
          <w:color w:val="auto"/>
          <w:sz w:val="21"/>
          <w:szCs w:val="21"/>
          <w:highlight w:val="none"/>
        </w:rPr>
        <w:t>（项目编号：</w:t>
      </w:r>
      <w:r>
        <w:rPr>
          <w:rFonts w:hint="eastAsia" w:ascii="宋体" w:eastAsia="宋体"/>
          <w:color w:val="auto"/>
          <w:sz w:val="21"/>
          <w:szCs w:val="21"/>
          <w:highlight w:val="none"/>
          <w:u w:val="single"/>
        </w:rPr>
        <w:t xml:space="preserve"> </w:t>
      </w:r>
      <w:r>
        <w:rPr>
          <w:rFonts w:ascii="宋体" w:eastAsia="宋体"/>
          <w:color w:val="auto"/>
          <w:sz w:val="21"/>
          <w:szCs w:val="21"/>
          <w:highlight w:val="none"/>
          <w:u w:val="single"/>
        </w:rPr>
        <w:t xml:space="preserve">     </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）响应文件、签订合同和处理有关事宜，其法律后果由我方承担。</w:t>
      </w:r>
    </w:p>
    <w:p>
      <w:pPr>
        <w:pStyle w:val="49"/>
        <w:snapToGrid w:val="0"/>
        <w:spacing w:line="360" w:lineRule="auto"/>
        <w:ind w:firstLine="428" w:firstLineChars="204"/>
        <w:contextualSpacing/>
        <w:rPr>
          <w:rFonts w:ascii="宋体" w:eastAsia="宋体"/>
          <w:color w:val="auto"/>
          <w:sz w:val="21"/>
          <w:szCs w:val="21"/>
          <w:highlight w:val="none"/>
        </w:rPr>
      </w:pPr>
      <w:r>
        <w:rPr>
          <w:rFonts w:hint="eastAsia" w:ascii="宋体" w:eastAsia="宋体"/>
          <w:color w:val="auto"/>
          <w:sz w:val="21"/>
          <w:szCs w:val="21"/>
          <w:highlight w:val="none"/>
        </w:rPr>
        <w:t>本委托书于</w:t>
      </w:r>
      <w:r>
        <w:rPr>
          <w:rFonts w:hint="eastAsia" w:ascii="宋体" w:eastAsia="宋体"/>
          <w:color w:val="auto"/>
          <w:sz w:val="21"/>
          <w:szCs w:val="21"/>
          <w:highlight w:val="none"/>
          <w:u w:val="single"/>
        </w:rPr>
        <w:t xml:space="preserve"> </w:t>
      </w:r>
      <w:r>
        <w:rPr>
          <w:rFonts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日签字生效，特此证明。</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供应商名称（</w:t>
      </w:r>
      <w:r>
        <w:rPr>
          <w:rFonts w:hint="eastAsia" w:ascii="宋体" w:hAnsi="宋体"/>
          <w:color w:val="auto"/>
          <w:kern w:val="0"/>
          <w:szCs w:val="21"/>
          <w:highlight w:val="none"/>
          <w:lang w:eastAsia="zh-Hans"/>
        </w:rPr>
        <w:t>加</w:t>
      </w:r>
      <w:r>
        <w:rPr>
          <w:rFonts w:ascii="宋体" w:hAnsi="宋体"/>
          <w:color w:val="auto"/>
          <w:kern w:val="0"/>
          <w:szCs w:val="21"/>
          <w:highlight w:val="none"/>
          <w:lang w:eastAsia="zh-Hans"/>
        </w:rPr>
        <w:t>盖</w:t>
      </w:r>
      <w:r>
        <w:rPr>
          <w:rFonts w:hint="eastAsia" w:ascii="宋体" w:hAnsi="宋体"/>
          <w:color w:val="auto"/>
          <w:kern w:val="0"/>
          <w:szCs w:val="21"/>
          <w:highlight w:val="none"/>
          <w:lang w:eastAsia="zh-Hans"/>
        </w:rPr>
        <w:t>公</w:t>
      </w:r>
      <w:r>
        <w:rPr>
          <w:rFonts w:ascii="宋体" w:hAnsi="宋体"/>
          <w:color w:val="auto"/>
          <w:kern w:val="0"/>
          <w:szCs w:val="21"/>
          <w:highlight w:val="none"/>
          <w:lang w:eastAsia="zh-Hans"/>
        </w:rPr>
        <w:t>章）：</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ascii="宋体"/>
          <w:color w:val="auto"/>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地址：</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ascii="宋体"/>
          <w:color w:val="auto"/>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法定代表人（签字或盖</w:t>
      </w:r>
      <w:r>
        <w:rPr>
          <w:rFonts w:hint="eastAsia" w:ascii="宋体" w:hAnsi="宋体"/>
          <w:color w:val="auto"/>
          <w:kern w:val="0"/>
          <w:szCs w:val="21"/>
          <w:highlight w:val="none"/>
          <w:lang w:eastAsia="zh-Hans"/>
        </w:rPr>
        <w:t>私</w:t>
      </w:r>
      <w:r>
        <w:rPr>
          <w:rFonts w:ascii="宋体" w:hAnsi="宋体"/>
          <w:color w:val="auto"/>
          <w:kern w:val="0"/>
          <w:szCs w:val="21"/>
          <w:highlight w:val="none"/>
          <w:lang w:eastAsia="zh-Hans"/>
        </w:rPr>
        <w:t>章）：</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ascii="宋体"/>
          <w:color w:val="auto"/>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职务：</w:t>
      </w:r>
      <w:r>
        <w:rPr>
          <w:rFonts w:ascii="宋体"/>
          <w:color w:val="auto"/>
          <w:szCs w:val="21"/>
          <w:highlight w:val="none"/>
          <w:u w:val="single"/>
        </w:rPr>
        <w:t xml:space="preserve">   </w:t>
      </w:r>
      <w:r>
        <w:rPr>
          <w:rFonts w:hint="eastAsia" w:ascii="宋体"/>
          <w:color w:val="auto"/>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被授权人（签字或盖</w:t>
      </w:r>
      <w:r>
        <w:rPr>
          <w:rFonts w:hint="eastAsia" w:ascii="宋体" w:hAnsi="宋体"/>
          <w:color w:val="auto"/>
          <w:kern w:val="0"/>
          <w:szCs w:val="21"/>
          <w:highlight w:val="none"/>
          <w:lang w:eastAsia="zh-Hans"/>
        </w:rPr>
        <w:t>私</w:t>
      </w:r>
      <w:r>
        <w:rPr>
          <w:rFonts w:ascii="宋体" w:hAnsi="宋体"/>
          <w:color w:val="auto"/>
          <w:kern w:val="0"/>
          <w:szCs w:val="21"/>
          <w:highlight w:val="none"/>
          <w:lang w:eastAsia="zh-Hans"/>
        </w:rPr>
        <w:t>章）：</w:t>
      </w:r>
      <w:r>
        <w:rPr>
          <w:rFonts w:ascii="宋体"/>
          <w:color w:val="auto"/>
          <w:szCs w:val="21"/>
          <w:highlight w:val="none"/>
          <w:u w:val="single"/>
        </w:rPr>
        <w:t xml:space="preserve">   </w:t>
      </w:r>
      <w:r>
        <w:rPr>
          <w:rFonts w:hint="eastAsia" w:ascii="宋体"/>
          <w:color w:val="auto"/>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职务：</w:t>
      </w:r>
      <w:r>
        <w:rPr>
          <w:rFonts w:ascii="宋体"/>
          <w:color w:val="auto"/>
          <w:szCs w:val="21"/>
          <w:highlight w:val="none"/>
          <w:u w:val="single"/>
        </w:rPr>
        <w:t xml:space="preserve">   </w:t>
      </w:r>
      <w:r>
        <w:rPr>
          <w:rFonts w:hint="eastAsia" w:ascii="宋体"/>
          <w:color w:val="auto"/>
          <w:szCs w:val="21"/>
          <w:highlight w:val="none"/>
          <w:u w:val="single"/>
        </w:rPr>
        <w:t xml:space="preserve">                                                 </w:t>
      </w:r>
    </w:p>
    <w:p>
      <w:pPr>
        <w:pStyle w:val="49"/>
        <w:snapToGrid w:val="0"/>
        <w:spacing w:line="360" w:lineRule="auto"/>
        <w:ind w:firstLine="0" w:firstLineChars="0"/>
        <w:contextualSpacing/>
        <w:rPr>
          <w:rFonts w:ascii="黑体" w:hAnsi="黑体" w:eastAsia="黑体"/>
          <w:color w:val="auto"/>
          <w:sz w:val="21"/>
          <w:szCs w:val="21"/>
          <w:highlight w:val="none"/>
        </w:rPr>
      </w:pPr>
      <w:r>
        <w:rPr>
          <w:rFonts w:ascii="宋体" w:eastAsia="宋体"/>
          <w:color w:val="auto"/>
          <w:kern w:val="0"/>
          <w:sz w:val="21"/>
          <w:szCs w:val="21"/>
          <w:highlight w:val="none"/>
          <w:lang w:eastAsia="zh-Hans"/>
        </w:rPr>
        <w:t xml:space="preserve">日期： </w:t>
      </w:r>
      <w:r>
        <w:rPr>
          <w:rFonts w:hint="eastAsia" w:ascii="宋体" w:eastAsia="宋体"/>
          <w:color w:val="auto"/>
          <w:kern w:val="0"/>
          <w:sz w:val="21"/>
          <w:szCs w:val="21"/>
          <w:highlight w:val="none"/>
        </w:rPr>
        <w:t xml:space="preserve">  </w:t>
      </w:r>
      <w:r>
        <w:rPr>
          <w:rFonts w:ascii="宋体" w:eastAsia="宋体"/>
          <w:color w:val="auto"/>
          <w:kern w:val="0"/>
          <w:sz w:val="21"/>
          <w:szCs w:val="21"/>
          <w:highlight w:val="none"/>
          <w:lang w:eastAsia="zh-Hans"/>
        </w:rPr>
        <w:t xml:space="preserve">年 </w:t>
      </w:r>
      <w:r>
        <w:rPr>
          <w:rFonts w:hint="eastAsia" w:ascii="宋体" w:eastAsia="宋体"/>
          <w:color w:val="auto"/>
          <w:kern w:val="0"/>
          <w:sz w:val="21"/>
          <w:szCs w:val="21"/>
          <w:highlight w:val="none"/>
        </w:rPr>
        <w:t xml:space="preserve"> </w:t>
      </w:r>
      <w:r>
        <w:rPr>
          <w:rFonts w:ascii="宋体" w:eastAsia="宋体"/>
          <w:color w:val="auto"/>
          <w:kern w:val="0"/>
          <w:sz w:val="21"/>
          <w:szCs w:val="21"/>
          <w:highlight w:val="none"/>
          <w:lang w:eastAsia="zh-Hans"/>
        </w:rPr>
        <w:t xml:space="preserve">月 </w:t>
      </w:r>
      <w:r>
        <w:rPr>
          <w:rFonts w:hint="eastAsia" w:ascii="宋体" w:eastAsia="宋体"/>
          <w:color w:val="auto"/>
          <w:kern w:val="0"/>
          <w:sz w:val="21"/>
          <w:szCs w:val="21"/>
          <w:highlight w:val="none"/>
        </w:rPr>
        <w:t xml:space="preserve"> </w:t>
      </w:r>
      <w:r>
        <w:rPr>
          <w:rFonts w:ascii="宋体" w:eastAsia="宋体"/>
          <w:color w:val="auto"/>
          <w:kern w:val="0"/>
          <w:sz w:val="21"/>
          <w:szCs w:val="21"/>
          <w:highlight w:val="none"/>
          <w:lang w:eastAsia="zh-Hans"/>
        </w:rPr>
        <w:t>日</w:t>
      </w:r>
    </w:p>
    <w:p>
      <w:pPr>
        <w:pStyle w:val="49"/>
        <w:spacing w:line="360" w:lineRule="auto"/>
        <w:ind w:firstLine="0" w:firstLineChars="0"/>
        <w:rPr>
          <w:rFonts w:ascii="宋体" w:eastAsia="宋体"/>
          <w:color w:val="auto"/>
          <w:sz w:val="21"/>
          <w:szCs w:val="21"/>
          <w:highlight w:val="none"/>
        </w:rPr>
      </w:pPr>
    </w:p>
    <w:p>
      <w:pPr>
        <w:spacing w:after="156" w:afterLines="50" w:line="360" w:lineRule="auto"/>
        <w:rPr>
          <w:rFonts w:ascii="宋体" w:hAnsi="宋体"/>
          <w:color w:val="auto"/>
          <w:szCs w:val="21"/>
          <w:highlight w:val="none"/>
        </w:rPr>
      </w:pPr>
      <w:r>
        <w:rPr>
          <w:rFonts w:hint="eastAsia" w:ascii="宋体" w:hAnsi="宋体"/>
          <w:color w:val="auto"/>
          <w:szCs w:val="21"/>
          <w:highlight w:val="none"/>
        </w:rPr>
        <w:t>须附：被授权人有效期内身份证复印件</w:t>
      </w:r>
    </w:p>
    <w:tbl>
      <w:tblPr>
        <w:tblStyle w:val="22"/>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643"/>
        <w:gridCol w:w="464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84" w:hRule="atLeast"/>
          <w:jc w:val="center"/>
        </w:trPr>
        <w:tc>
          <w:tcPr>
            <w:tcW w:w="2500" w:type="pct"/>
            <w:vAlign w:val="center"/>
          </w:tcPr>
          <w:p>
            <w:pPr>
              <w:pStyle w:val="49"/>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正面</w:t>
            </w:r>
          </w:p>
        </w:tc>
        <w:tc>
          <w:tcPr>
            <w:tcW w:w="2500" w:type="pct"/>
            <w:vAlign w:val="center"/>
          </w:tcPr>
          <w:p>
            <w:pPr>
              <w:pStyle w:val="49"/>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背面</w:t>
            </w:r>
          </w:p>
        </w:tc>
      </w:tr>
    </w:tbl>
    <w:p>
      <w:pPr>
        <w:widowControl/>
        <w:jc w:val="left"/>
        <w:rPr>
          <w:color w:val="auto"/>
          <w:kern w:val="0"/>
          <w:sz w:val="20"/>
          <w:szCs w:val="20"/>
          <w:highlight w:val="none"/>
          <w:lang w:eastAsia="zh-Hans"/>
        </w:rPr>
      </w:pPr>
    </w:p>
    <w:p>
      <w:pPr>
        <w:pStyle w:val="74"/>
        <w:ind w:right="1890" w:firstLine="640"/>
        <w:jc w:val="center"/>
        <w:rPr>
          <w:rFonts w:hint="default"/>
          <w:color w:val="auto"/>
          <w:highlight w:val="none"/>
        </w:rPr>
      </w:pPr>
    </w:p>
    <w:p>
      <w:pPr>
        <w:pageBreakBefore/>
        <w:rPr>
          <w:rFonts w:ascii="宋体" w:hAnsi="宋体"/>
          <w:b/>
          <w:bCs/>
          <w:color w:val="auto"/>
          <w:highlight w:val="none"/>
        </w:rPr>
      </w:pPr>
      <w:r>
        <w:rPr>
          <w:rFonts w:hint="eastAsia" w:ascii="宋体" w:hAnsi="宋体"/>
          <w:b/>
          <w:bCs/>
          <w:color w:val="auto"/>
          <w:sz w:val="24"/>
          <w:szCs w:val="28"/>
          <w:highlight w:val="none"/>
        </w:rPr>
        <w:t>格式十一：</w:t>
      </w:r>
    </w:p>
    <w:p>
      <w:pPr>
        <w:widowControl/>
        <w:spacing w:before="156" w:beforeLines="50" w:after="312" w:afterLines="100"/>
        <w:jc w:val="center"/>
        <w:outlineLvl w:val="3"/>
        <w:rPr>
          <w:rFonts w:ascii="宋体" w:hAnsi="宋体"/>
          <w:b/>
          <w:color w:val="auto"/>
          <w:sz w:val="30"/>
          <w:szCs w:val="30"/>
          <w:highlight w:val="none"/>
        </w:rPr>
      </w:pPr>
      <w:r>
        <w:rPr>
          <w:rFonts w:hint="eastAsia" w:ascii="宋体" w:hAnsi="宋体"/>
          <w:b/>
          <w:color w:val="auto"/>
          <w:sz w:val="32"/>
          <w:szCs w:val="32"/>
          <w:highlight w:val="none"/>
        </w:rPr>
        <w:t>资格条件承诺函</w:t>
      </w:r>
    </w:p>
    <w:p>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广东智汇城市招标采购有限公司：</w:t>
      </w:r>
    </w:p>
    <w:p>
      <w:pPr>
        <w:adjustRightInd w:val="0"/>
        <w:snapToGrid w:val="0"/>
        <w:spacing w:before="156" w:beforeLines="50" w:line="360" w:lineRule="auto"/>
        <w:ind w:firstLine="424" w:firstLineChars="202"/>
        <w:rPr>
          <w:rFonts w:ascii="宋体" w:hAnsi="宋体"/>
          <w:color w:val="auto"/>
          <w:szCs w:val="21"/>
          <w:highlight w:val="none"/>
        </w:rPr>
      </w:pPr>
      <w:r>
        <w:rPr>
          <w:rFonts w:hint="eastAsia" w:ascii="宋体" w:hAnsi="宋体"/>
          <w:color w:val="auto"/>
          <w:szCs w:val="21"/>
          <w:highlight w:val="none"/>
        </w:rPr>
        <w:t xml:space="preserve">关于贵公司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日发布</w:t>
      </w:r>
      <w:r>
        <w:rPr>
          <w:rFonts w:hint="eastAsia" w:ascii="宋体" w:hAnsi="宋体"/>
          <w:color w:val="auto"/>
          <w:szCs w:val="21"/>
          <w:highlight w:val="none"/>
          <w:u w:val="single"/>
        </w:rPr>
        <w:t xml:space="preserve">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）的采购公告，我方愿意参加磋商，并承诺：</w:t>
      </w:r>
    </w:p>
    <w:p>
      <w:pPr>
        <w:pStyle w:val="70"/>
        <w:widowControl/>
        <w:numPr>
          <w:ilvl w:val="0"/>
          <w:numId w:val="75"/>
        </w:numPr>
        <w:adjustRightInd w:val="0"/>
        <w:snapToGrid w:val="0"/>
        <w:spacing w:line="360" w:lineRule="auto"/>
        <w:ind w:firstLineChars="0"/>
        <w:rPr>
          <w:rFonts w:ascii="宋体" w:hAnsi="宋体" w:cs="宋体"/>
          <w:color w:val="auto"/>
          <w:kern w:val="0"/>
          <w:szCs w:val="21"/>
          <w:highlight w:val="none"/>
        </w:rPr>
      </w:pPr>
      <w:r>
        <w:rPr>
          <w:rFonts w:hint="eastAsia" w:ascii="宋体" w:hAnsi="宋体" w:cs="宋体"/>
          <w:color w:val="auto"/>
          <w:kern w:val="0"/>
          <w:szCs w:val="21"/>
          <w:highlight w:val="none"/>
        </w:rPr>
        <w:t>具有良好的商业信誉和健全的财务会计制度。</w:t>
      </w:r>
    </w:p>
    <w:p>
      <w:pPr>
        <w:pStyle w:val="70"/>
        <w:widowControl/>
        <w:numPr>
          <w:ilvl w:val="0"/>
          <w:numId w:val="75"/>
        </w:numPr>
        <w:adjustRightInd w:val="0"/>
        <w:snapToGrid w:val="0"/>
        <w:spacing w:line="360" w:lineRule="auto"/>
        <w:ind w:firstLineChars="0"/>
        <w:rPr>
          <w:rFonts w:ascii="宋体" w:hAnsi="宋体" w:cs="宋体"/>
          <w:color w:val="auto"/>
          <w:kern w:val="0"/>
          <w:szCs w:val="21"/>
          <w:highlight w:val="none"/>
        </w:rPr>
      </w:pPr>
      <w:r>
        <w:rPr>
          <w:rFonts w:hint="eastAsia" w:ascii="宋体" w:hAnsi="宋体" w:cs="宋体"/>
          <w:color w:val="auto"/>
          <w:kern w:val="0"/>
          <w:szCs w:val="21"/>
          <w:highlight w:val="none"/>
        </w:rPr>
        <w:t>具有履行合同所必需的设备和专业技术能力。</w:t>
      </w:r>
    </w:p>
    <w:p>
      <w:pPr>
        <w:pStyle w:val="70"/>
        <w:widowControl/>
        <w:numPr>
          <w:ilvl w:val="0"/>
          <w:numId w:val="75"/>
        </w:numPr>
        <w:adjustRightInd w:val="0"/>
        <w:snapToGrid w:val="0"/>
        <w:spacing w:line="360" w:lineRule="auto"/>
        <w:ind w:firstLineChars="0"/>
        <w:rPr>
          <w:rFonts w:ascii="宋体" w:hAnsi="宋体" w:cs="宋体"/>
          <w:color w:val="auto"/>
          <w:kern w:val="0"/>
          <w:szCs w:val="21"/>
          <w:highlight w:val="none"/>
        </w:rPr>
      </w:pPr>
      <w:r>
        <w:rPr>
          <w:rFonts w:hint="eastAsia" w:ascii="宋体" w:hAnsi="宋体" w:cs="宋体"/>
          <w:color w:val="auto"/>
          <w:kern w:val="0"/>
          <w:szCs w:val="21"/>
          <w:highlight w:val="none"/>
        </w:rPr>
        <w:t>有依法缴纳税收和社会保障资金的良好记录。</w:t>
      </w:r>
    </w:p>
    <w:p>
      <w:pPr>
        <w:pStyle w:val="70"/>
        <w:widowControl/>
        <w:numPr>
          <w:ilvl w:val="0"/>
          <w:numId w:val="75"/>
        </w:numPr>
        <w:adjustRightInd w:val="0"/>
        <w:snapToGrid w:val="0"/>
        <w:spacing w:line="360" w:lineRule="auto"/>
        <w:ind w:firstLineChars="0"/>
        <w:rPr>
          <w:rFonts w:ascii="宋体" w:hAnsi="宋体" w:cs="宋体"/>
          <w:color w:val="auto"/>
          <w:kern w:val="0"/>
          <w:szCs w:val="21"/>
          <w:highlight w:val="none"/>
        </w:rPr>
      </w:pPr>
      <w:r>
        <w:rPr>
          <w:rFonts w:hint="eastAsia" w:ascii="宋体" w:hAnsi="宋体" w:cs="宋体"/>
          <w:color w:val="auto"/>
          <w:kern w:val="0"/>
          <w:szCs w:val="21"/>
          <w:highlight w:val="none"/>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70"/>
        <w:widowControl/>
        <w:numPr>
          <w:ilvl w:val="0"/>
          <w:numId w:val="75"/>
        </w:numPr>
        <w:adjustRightInd w:val="0"/>
        <w:snapToGrid w:val="0"/>
        <w:spacing w:line="360" w:lineRule="auto"/>
        <w:ind w:firstLineChars="0"/>
        <w:rPr>
          <w:rFonts w:ascii="宋体" w:hAnsi="宋体" w:cs="宋体"/>
          <w:color w:val="auto"/>
          <w:kern w:val="0"/>
          <w:szCs w:val="21"/>
          <w:highlight w:val="none"/>
        </w:rPr>
      </w:pPr>
      <w:r>
        <w:rPr>
          <w:rFonts w:hint="eastAsia" w:ascii="宋体" w:hAnsi="宋体" w:cs="宋体"/>
          <w:color w:val="auto"/>
          <w:kern w:val="0"/>
          <w:szCs w:val="21"/>
          <w:highlight w:val="none"/>
        </w:rPr>
        <w:t>法律、行政法规规定的其他条件。</w:t>
      </w:r>
    </w:p>
    <w:p>
      <w:pPr>
        <w:pStyle w:val="70"/>
        <w:widowControl/>
        <w:numPr>
          <w:ilvl w:val="0"/>
          <w:numId w:val="75"/>
        </w:numPr>
        <w:adjustRightInd w:val="0"/>
        <w:snapToGrid w:val="0"/>
        <w:spacing w:line="360" w:lineRule="auto"/>
        <w:ind w:firstLineChars="0"/>
        <w:rPr>
          <w:rFonts w:ascii="宋体" w:hAnsi="宋体" w:cs="宋体"/>
          <w:color w:val="auto"/>
          <w:kern w:val="0"/>
          <w:szCs w:val="21"/>
          <w:highlight w:val="none"/>
        </w:rPr>
      </w:pPr>
      <w:r>
        <w:rPr>
          <w:rFonts w:hint="eastAsia" w:ascii="宋体" w:hAnsi="宋体" w:cs="宋体"/>
          <w:color w:val="auto"/>
          <w:kern w:val="0"/>
          <w:szCs w:val="21"/>
          <w:highlight w:val="none"/>
        </w:rPr>
        <w:t>承诺单位负责人为同一人或者存在直接控股、管理关系的不同供应商，不得同时参加本采购项目（或采购包）投标。</w:t>
      </w:r>
    </w:p>
    <w:p>
      <w:pPr>
        <w:pStyle w:val="70"/>
        <w:widowControl/>
        <w:numPr>
          <w:ilvl w:val="0"/>
          <w:numId w:val="75"/>
        </w:numPr>
        <w:adjustRightInd w:val="0"/>
        <w:snapToGrid w:val="0"/>
        <w:spacing w:line="360" w:lineRule="auto"/>
        <w:ind w:firstLineChars="0"/>
        <w:rPr>
          <w:rFonts w:ascii="宋体" w:hAnsi="宋体" w:cs="宋体"/>
          <w:color w:val="auto"/>
          <w:kern w:val="0"/>
          <w:szCs w:val="21"/>
          <w:highlight w:val="none"/>
        </w:rPr>
      </w:pPr>
      <w:r>
        <w:rPr>
          <w:rFonts w:hint="eastAsia" w:ascii="宋体" w:hAnsi="宋体" w:cs="宋体"/>
          <w:color w:val="auto"/>
          <w:kern w:val="0"/>
          <w:szCs w:val="21"/>
          <w:highlight w:val="none"/>
        </w:rPr>
        <w:t>承诺为本项目提供整体设计、规范编制或者项目管理、监理、检测等服务的供应商，不得再参与本项目投标。</w:t>
      </w:r>
    </w:p>
    <w:p>
      <w:pPr>
        <w:adjustRightInd w:val="0"/>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我方对上述承诺的真实性负责，在评审环节结束后，自愿接受采购单位（采购代理机构）的检查核验，配合提供相关证明材料，证明符合相关资格条件。如有虚假，将依法承担相应法律责任。</w:t>
      </w:r>
    </w:p>
    <w:p>
      <w:pPr>
        <w:adjustRightInd w:val="0"/>
        <w:snapToGrid w:val="0"/>
        <w:spacing w:before="156" w:beforeLines="50" w:line="360" w:lineRule="auto"/>
        <w:ind w:firstLine="420"/>
        <w:rPr>
          <w:rFonts w:ascii="宋体" w:hAnsi="宋体"/>
          <w:color w:val="auto"/>
          <w:szCs w:val="21"/>
          <w:highlight w:val="none"/>
        </w:rPr>
      </w:pPr>
      <w:r>
        <w:rPr>
          <w:rFonts w:hint="eastAsia" w:ascii="宋体" w:hAnsi="宋体"/>
          <w:color w:val="auto"/>
          <w:szCs w:val="21"/>
          <w:highlight w:val="none"/>
        </w:rPr>
        <w:t>特此承诺。</w:t>
      </w:r>
    </w:p>
    <w:p>
      <w:pPr>
        <w:rPr>
          <w:rFonts w:ascii="宋体" w:hAnsi="宋体"/>
          <w:color w:val="auto"/>
          <w:szCs w:val="21"/>
          <w:highlight w:val="none"/>
        </w:rPr>
      </w:pPr>
    </w:p>
    <w:p>
      <w:pPr>
        <w:widowControl/>
        <w:spacing w:before="624" w:beforeLines="200" w:line="30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供应商名称</w:t>
      </w:r>
      <w:r>
        <w:rPr>
          <w:rFonts w:hint="eastAsia" w:ascii="宋体" w:hAnsi="宋体"/>
          <w:color w:val="auto"/>
          <w:szCs w:val="21"/>
          <w:highlight w:val="none"/>
        </w:rPr>
        <w:t>（加盖公章）</w:t>
      </w:r>
      <w:r>
        <w:rPr>
          <w:rFonts w:ascii="宋体" w:hAnsi="宋体"/>
          <w:color w:val="auto"/>
          <w:kern w:val="0"/>
          <w:szCs w:val="21"/>
          <w:highlight w:val="none"/>
          <w:lang w:eastAsia="zh-Hans"/>
        </w:rPr>
        <w:t>：__________________</w:t>
      </w:r>
    </w:p>
    <w:p>
      <w:pPr>
        <w:widowControl/>
        <w:spacing w:line="30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 xml:space="preserve">日期：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年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月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日</w:t>
      </w:r>
    </w:p>
    <w:p>
      <w:pPr>
        <w:rPr>
          <w:rFonts w:ascii="宋体" w:hAnsi="宋体"/>
          <w:color w:val="auto"/>
          <w:szCs w:val="21"/>
          <w:highlight w:val="none"/>
        </w:rPr>
      </w:pPr>
    </w:p>
    <w:p>
      <w:pPr>
        <w:pageBreakBefore/>
        <w:rPr>
          <w:color w:val="auto"/>
          <w:kern w:val="0"/>
          <w:szCs w:val="21"/>
          <w:highlight w:val="none"/>
          <w:lang w:eastAsia="zh-Hans"/>
        </w:rPr>
      </w:pPr>
      <w:bookmarkStart w:id="62" w:name="_Toc169799798"/>
      <w:r>
        <w:rPr>
          <w:rFonts w:ascii="宋体" w:hAnsi="宋体"/>
          <w:b/>
          <w:bCs/>
          <w:color w:val="auto"/>
          <w:sz w:val="24"/>
          <w:szCs w:val="28"/>
          <w:highlight w:val="none"/>
        </w:rPr>
        <w:t>格式</w:t>
      </w:r>
      <w:r>
        <w:rPr>
          <w:rFonts w:hint="eastAsia" w:ascii="宋体" w:hAnsi="宋体"/>
          <w:b/>
          <w:bCs/>
          <w:color w:val="auto"/>
          <w:sz w:val="24"/>
          <w:szCs w:val="28"/>
          <w:highlight w:val="none"/>
        </w:rPr>
        <w:t>十二</w:t>
      </w:r>
      <w:r>
        <w:rPr>
          <w:rFonts w:ascii="宋体" w:hAnsi="宋体"/>
          <w:b/>
          <w:bCs/>
          <w:color w:val="auto"/>
          <w:sz w:val="24"/>
          <w:szCs w:val="28"/>
          <w:highlight w:val="none"/>
        </w:rPr>
        <w:t>：</w:t>
      </w:r>
      <w:bookmarkEnd w:id="62"/>
    </w:p>
    <w:p>
      <w:pPr>
        <w:widowControl/>
        <w:spacing w:before="156" w:beforeLines="50"/>
        <w:jc w:val="center"/>
        <w:outlineLvl w:val="3"/>
        <w:rPr>
          <w:color w:val="auto"/>
          <w:kern w:val="0"/>
          <w:sz w:val="20"/>
          <w:szCs w:val="20"/>
          <w:highlight w:val="none"/>
        </w:rPr>
      </w:pPr>
      <w:r>
        <w:rPr>
          <w:b/>
          <w:color w:val="auto"/>
          <w:kern w:val="0"/>
          <w:sz w:val="28"/>
          <w:szCs w:val="21"/>
          <w:highlight w:val="none"/>
          <w:lang w:eastAsia="zh-Hans"/>
        </w:rPr>
        <w:t>提供具有独立承担民事责任的能力的证明材料</w:t>
      </w:r>
    </w:p>
    <w:p>
      <w:pPr>
        <w:widowControl/>
        <w:jc w:val="left"/>
        <w:rPr>
          <w:color w:val="auto"/>
          <w:kern w:val="0"/>
          <w:sz w:val="20"/>
          <w:szCs w:val="20"/>
          <w:highlight w:val="none"/>
          <w:lang w:eastAsia="zh-Hans"/>
        </w:rPr>
      </w:pPr>
    </w:p>
    <w:p>
      <w:pPr>
        <w:pageBreakBefore/>
        <w:rPr>
          <w:rFonts w:ascii="宋体" w:hAnsi="宋体"/>
          <w:b/>
          <w:bCs/>
          <w:color w:val="auto"/>
          <w:highlight w:val="none"/>
        </w:rPr>
      </w:pPr>
      <w:r>
        <w:rPr>
          <w:rFonts w:hint="eastAsia" w:ascii="宋体" w:hAnsi="宋体"/>
          <w:b/>
          <w:bCs/>
          <w:color w:val="auto"/>
          <w:sz w:val="24"/>
          <w:szCs w:val="28"/>
          <w:highlight w:val="none"/>
        </w:rPr>
        <w:t>格式十三：</w:t>
      </w:r>
    </w:p>
    <w:p>
      <w:pPr>
        <w:widowControl/>
        <w:spacing w:before="156" w:beforeLines="50"/>
        <w:jc w:val="center"/>
        <w:outlineLvl w:val="3"/>
        <w:rPr>
          <w:rFonts w:ascii="宋体" w:hAnsi="宋体"/>
          <w:b/>
          <w:color w:val="auto"/>
          <w:sz w:val="22"/>
          <w:highlight w:val="none"/>
        </w:rPr>
      </w:pPr>
      <w:r>
        <w:rPr>
          <w:rFonts w:hint="eastAsia" w:ascii="宋体" w:hAnsi="宋体"/>
          <w:b/>
          <w:color w:val="auto"/>
          <w:sz w:val="32"/>
          <w:szCs w:val="32"/>
          <w:highlight w:val="none"/>
        </w:rPr>
        <w:t>拟投入本项目设备情况表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903"/>
        <w:gridCol w:w="2162"/>
        <w:gridCol w:w="1359"/>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32" w:type="pct"/>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1563" w:type="pct"/>
            <w:vAlign w:val="center"/>
          </w:tcPr>
          <w:p>
            <w:pPr>
              <w:jc w:val="center"/>
              <w:rPr>
                <w:rFonts w:ascii="宋体" w:hAnsi="宋体"/>
                <w:b/>
                <w:bCs/>
                <w:color w:val="auto"/>
                <w:szCs w:val="21"/>
                <w:highlight w:val="none"/>
              </w:rPr>
            </w:pPr>
            <w:r>
              <w:rPr>
                <w:rFonts w:hint="eastAsia" w:ascii="宋体" w:hAnsi="宋体"/>
                <w:b/>
                <w:bCs/>
                <w:color w:val="auto"/>
                <w:szCs w:val="21"/>
                <w:highlight w:val="none"/>
              </w:rPr>
              <w:t>名称</w:t>
            </w:r>
          </w:p>
        </w:tc>
        <w:tc>
          <w:tcPr>
            <w:tcW w:w="1164" w:type="pct"/>
            <w:vAlign w:val="center"/>
          </w:tcPr>
          <w:p>
            <w:pPr>
              <w:jc w:val="center"/>
              <w:rPr>
                <w:rFonts w:ascii="宋体" w:hAnsi="宋体"/>
                <w:b/>
                <w:bCs/>
                <w:color w:val="auto"/>
                <w:szCs w:val="21"/>
                <w:highlight w:val="none"/>
              </w:rPr>
            </w:pPr>
            <w:r>
              <w:rPr>
                <w:rFonts w:hint="eastAsia" w:ascii="宋体" w:hAnsi="宋体"/>
                <w:b/>
                <w:bCs/>
                <w:color w:val="auto"/>
                <w:szCs w:val="21"/>
                <w:highlight w:val="none"/>
              </w:rPr>
              <w:t>规格型号</w:t>
            </w:r>
          </w:p>
        </w:tc>
        <w:tc>
          <w:tcPr>
            <w:tcW w:w="732" w:type="pct"/>
            <w:vAlign w:val="center"/>
          </w:tcPr>
          <w:p>
            <w:pPr>
              <w:jc w:val="center"/>
              <w:rPr>
                <w:rFonts w:ascii="宋体" w:hAnsi="宋体"/>
                <w:b/>
                <w:bCs/>
                <w:color w:val="auto"/>
                <w:szCs w:val="21"/>
                <w:highlight w:val="none"/>
              </w:rPr>
            </w:pPr>
            <w:r>
              <w:rPr>
                <w:rFonts w:hint="eastAsia" w:ascii="宋体" w:hAnsi="宋体"/>
                <w:b/>
                <w:bCs/>
                <w:color w:val="auto"/>
                <w:szCs w:val="21"/>
                <w:highlight w:val="none"/>
              </w:rPr>
              <w:t>数量</w:t>
            </w:r>
          </w:p>
        </w:tc>
        <w:tc>
          <w:tcPr>
            <w:tcW w:w="1009" w:type="pct"/>
            <w:vAlign w:val="center"/>
          </w:tcPr>
          <w:p>
            <w:pPr>
              <w:jc w:val="center"/>
              <w:rPr>
                <w:rFonts w:ascii="宋体" w:hAnsi="宋体"/>
                <w:b/>
                <w:bCs/>
                <w:color w:val="auto"/>
                <w:szCs w:val="21"/>
                <w:highlight w:val="none"/>
              </w:rPr>
            </w:pPr>
            <w:r>
              <w:rPr>
                <w:rFonts w:hint="eastAsia" w:ascii="宋体" w:hAnsi="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32" w:type="pct"/>
            <w:vAlign w:val="center"/>
          </w:tcPr>
          <w:p>
            <w:pPr>
              <w:jc w:val="center"/>
              <w:rPr>
                <w:rFonts w:ascii="宋体" w:hAnsi="宋体"/>
                <w:color w:val="auto"/>
                <w:szCs w:val="21"/>
                <w:highlight w:val="none"/>
              </w:rPr>
            </w:pPr>
          </w:p>
        </w:tc>
        <w:tc>
          <w:tcPr>
            <w:tcW w:w="1563" w:type="pct"/>
            <w:vAlign w:val="center"/>
          </w:tcPr>
          <w:p>
            <w:pPr>
              <w:jc w:val="center"/>
              <w:rPr>
                <w:rFonts w:ascii="宋体" w:hAnsi="宋体"/>
                <w:color w:val="auto"/>
                <w:szCs w:val="21"/>
                <w:highlight w:val="none"/>
              </w:rPr>
            </w:pPr>
          </w:p>
        </w:tc>
        <w:tc>
          <w:tcPr>
            <w:tcW w:w="1164" w:type="pct"/>
            <w:vAlign w:val="center"/>
          </w:tcPr>
          <w:p>
            <w:pPr>
              <w:jc w:val="center"/>
              <w:rPr>
                <w:rFonts w:ascii="宋体" w:hAnsi="宋体"/>
                <w:color w:val="auto"/>
                <w:szCs w:val="21"/>
                <w:highlight w:val="none"/>
              </w:rPr>
            </w:pPr>
          </w:p>
        </w:tc>
        <w:tc>
          <w:tcPr>
            <w:tcW w:w="732" w:type="pct"/>
            <w:vAlign w:val="center"/>
          </w:tcPr>
          <w:p>
            <w:pPr>
              <w:jc w:val="center"/>
              <w:rPr>
                <w:rFonts w:ascii="宋体" w:hAnsi="宋体"/>
                <w:color w:val="auto"/>
                <w:szCs w:val="21"/>
                <w:highlight w:val="none"/>
              </w:rPr>
            </w:pPr>
          </w:p>
        </w:tc>
        <w:tc>
          <w:tcPr>
            <w:tcW w:w="1009" w:type="pct"/>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32" w:type="pct"/>
            <w:vAlign w:val="center"/>
          </w:tcPr>
          <w:p>
            <w:pPr>
              <w:jc w:val="center"/>
              <w:rPr>
                <w:rFonts w:ascii="宋体" w:hAnsi="宋体"/>
                <w:color w:val="auto"/>
                <w:szCs w:val="21"/>
                <w:highlight w:val="none"/>
              </w:rPr>
            </w:pPr>
          </w:p>
        </w:tc>
        <w:tc>
          <w:tcPr>
            <w:tcW w:w="1563" w:type="pct"/>
            <w:vAlign w:val="center"/>
          </w:tcPr>
          <w:p>
            <w:pPr>
              <w:jc w:val="center"/>
              <w:rPr>
                <w:rFonts w:ascii="宋体" w:hAnsi="宋体"/>
                <w:color w:val="auto"/>
                <w:szCs w:val="21"/>
                <w:highlight w:val="none"/>
              </w:rPr>
            </w:pPr>
          </w:p>
        </w:tc>
        <w:tc>
          <w:tcPr>
            <w:tcW w:w="1164" w:type="pct"/>
            <w:vAlign w:val="center"/>
          </w:tcPr>
          <w:p>
            <w:pPr>
              <w:jc w:val="center"/>
              <w:rPr>
                <w:rFonts w:ascii="宋体" w:hAnsi="宋体"/>
                <w:color w:val="auto"/>
                <w:szCs w:val="21"/>
                <w:highlight w:val="none"/>
              </w:rPr>
            </w:pPr>
          </w:p>
        </w:tc>
        <w:tc>
          <w:tcPr>
            <w:tcW w:w="732" w:type="pct"/>
            <w:vAlign w:val="center"/>
          </w:tcPr>
          <w:p>
            <w:pPr>
              <w:jc w:val="center"/>
              <w:rPr>
                <w:rFonts w:ascii="宋体" w:hAnsi="宋体"/>
                <w:color w:val="auto"/>
                <w:szCs w:val="21"/>
                <w:highlight w:val="none"/>
              </w:rPr>
            </w:pPr>
          </w:p>
        </w:tc>
        <w:tc>
          <w:tcPr>
            <w:tcW w:w="1009" w:type="pct"/>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2" w:type="pct"/>
            <w:vAlign w:val="center"/>
          </w:tcPr>
          <w:p>
            <w:pPr>
              <w:jc w:val="center"/>
              <w:rPr>
                <w:rFonts w:ascii="宋体" w:hAnsi="宋体"/>
                <w:color w:val="auto"/>
                <w:szCs w:val="21"/>
                <w:highlight w:val="none"/>
              </w:rPr>
            </w:pPr>
          </w:p>
        </w:tc>
        <w:tc>
          <w:tcPr>
            <w:tcW w:w="1563" w:type="pct"/>
            <w:vAlign w:val="center"/>
          </w:tcPr>
          <w:p>
            <w:pPr>
              <w:jc w:val="center"/>
              <w:rPr>
                <w:rFonts w:ascii="宋体" w:hAnsi="宋体"/>
                <w:color w:val="auto"/>
                <w:szCs w:val="21"/>
                <w:highlight w:val="none"/>
              </w:rPr>
            </w:pPr>
          </w:p>
        </w:tc>
        <w:tc>
          <w:tcPr>
            <w:tcW w:w="1164" w:type="pct"/>
            <w:vAlign w:val="center"/>
          </w:tcPr>
          <w:p>
            <w:pPr>
              <w:jc w:val="center"/>
              <w:rPr>
                <w:rFonts w:ascii="宋体" w:hAnsi="宋体"/>
                <w:color w:val="auto"/>
                <w:szCs w:val="21"/>
                <w:highlight w:val="none"/>
              </w:rPr>
            </w:pPr>
          </w:p>
        </w:tc>
        <w:tc>
          <w:tcPr>
            <w:tcW w:w="732" w:type="pct"/>
            <w:vAlign w:val="center"/>
          </w:tcPr>
          <w:p>
            <w:pPr>
              <w:jc w:val="center"/>
              <w:rPr>
                <w:rFonts w:ascii="宋体" w:hAnsi="宋体"/>
                <w:color w:val="auto"/>
                <w:szCs w:val="21"/>
                <w:highlight w:val="none"/>
              </w:rPr>
            </w:pPr>
          </w:p>
        </w:tc>
        <w:tc>
          <w:tcPr>
            <w:tcW w:w="1009" w:type="pct"/>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2" w:type="pct"/>
            <w:vAlign w:val="center"/>
          </w:tcPr>
          <w:p>
            <w:pPr>
              <w:jc w:val="center"/>
              <w:rPr>
                <w:rFonts w:ascii="宋体" w:hAnsi="宋体"/>
                <w:color w:val="auto"/>
                <w:szCs w:val="21"/>
                <w:highlight w:val="none"/>
              </w:rPr>
            </w:pPr>
          </w:p>
        </w:tc>
        <w:tc>
          <w:tcPr>
            <w:tcW w:w="1563" w:type="pct"/>
            <w:vAlign w:val="center"/>
          </w:tcPr>
          <w:p>
            <w:pPr>
              <w:jc w:val="center"/>
              <w:rPr>
                <w:rFonts w:ascii="宋体" w:hAnsi="宋体"/>
                <w:color w:val="auto"/>
                <w:szCs w:val="21"/>
                <w:highlight w:val="none"/>
              </w:rPr>
            </w:pPr>
          </w:p>
        </w:tc>
        <w:tc>
          <w:tcPr>
            <w:tcW w:w="1164" w:type="pct"/>
            <w:vAlign w:val="center"/>
          </w:tcPr>
          <w:p>
            <w:pPr>
              <w:jc w:val="center"/>
              <w:rPr>
                <w:rFonts w:ascii="宋体" w:hAnsi="宋体"/>
                <w:color w:val="auto"/>
                <w:szCs w:val="21"/>
                <w:highlight w:val="none"/>
              </w:rPr>
            </w:pPr>
          </w:p>
        </w:tc>
        <w:tc>
          <w:tcPr>
            <w:tcW w:w="732" w:type="pct"/>
            <w:vAlign w:val="center"/>
          </w:tcPr>
          <w:p>
            <w:pPr>
              <w:jc w:val="center"/>
              <w:rPr>
                <w:rFonts w:ascii="宋体" w:hAnsi="宋体"/>
                <w:color w:val="auto"/>
                <w:szCs w:val="21"/>
                <w:highlight w:val="none"/>
              </w:rPr>
            </w:pPr>
          </w:p>
        </w:tc>
        <w:tc>
          <w:tcPr>
            <w:tcW w:w="1009" w:type="pct"/>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2" w:type="pct"/>
            <w:vAlign w:val="center"/>
          </w:tcPr>
          <w:p>
            <w:pPr>
              <w:jc w:val="center"/>
              <w:rPr>
                <w:rFonts w:ascii="宋体" w:hAnsi="宋体"/>
                <w:color w:val="auto"/>
                <w:szCs w:val="21"/>
                <w:highlight w:val="none"/>
              </w:rPr>
            </w:pPr>
          </w:p>
        </w:tc>
        <w:tc>
          <w:tcPr>
            <w:tcW w:w="1563" w:type="pct"/>
            <w:vAlign w:val="center"/>
          </w:tcPr>
          <w:p>
            <w:pPr>
              <w:jc w:val="center"/>
              <w:rPr>
                <w:rFonts w:ascii="宋体" w:hAnsi="宋体"/>
                <w:color w:val="auto"/>
                <w:szCs w:val="21"/>
                <w:highlight w:val="none"/>
              </w:rPr>
            </w:pPr>
          </w:p>
        </w:tc>
        <w:tc>
          <w:tcPr>
            <w:tcW w:w="1164" w:type="pct"/>
            <w:vAlign w:val="center"/>
          </w:tcPr>
          <w:p>
            <w:pPr>
              <w:jc w:val="center"/>
              <w:rPr>
                <w:rFonts w:ascii="宋体" w:hAnsi="宋体"/>
                <w:color w:val="auto"/>
                <w:szCs w:val="21"/>
                <w:highlight w:val="none"/>
              </w:rPr>
            </w:pPr>
          </w:p>
        </w:tc>
        <w:tc>
          <w:tcPr>
            <w:tcW w:w="732" w:type="pct"/>
            <w:vAlign w:val="center"/>
          </w:tcPr>
          <w:p>
            <w:pPr>
              <w:jc w:val="center"/>
              <w:rPr>
                <w:rFonts w:ascii="宋体" w:hAnsi="宋体"/>
                <w:color w:val="auto"/>
                <w:szCs w:val="21"/>
                <w:highlight w:val="none"/>
              </w:rPr>
            </w:pPr>
          </w:p>
        </w:tc>
        <w:tc>
          <w:tcPr>
            <w:tcW w:w="1009" w:type="pct"/>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2" w:type="pct"/>
            <w:vAlign w:val="center"/>
          </w:tcPr>
          <w:p>
            <w:pPr>
              <w:jc w:val="center"/>
              <w:rPr>
                <w:rFonts w:ascii="宋体" w:hAnsi="宋体"/>
                <w:color w:val="auto"/>
                <w:szCs w:val="21"/>
                <w:highlight w:val="none"/>
              </w:rPr>
            </w:pPr>
          </w:p>
        </w:tc>
        <w:tc>
          <w:tcPr>
            <w:tcW w:w="1563" w:type="pct"/>
            <w:vAlign w:val="center"/>
          </w:tcPr>
          <w:p>
            <w:pPr>
              <w:jc w:val="center"/>
              <w:rPr>
                <w:rFonts w:ascii="宋体" w:hAnsi="宋体"/>
                <w:color w:val="auto"/>
                <w:szCs w:val="21"/>
                <w:highlight w:val="none"/>
              </w:rPr>
            </w:pPr>
          </w:p>
        </w:tc>
        <w:tc>
          <w:tcPr>
            <w:tcW w:w="1164" w:type="pct"/>
            <w:vAlign w:val="center"/>
          </w:tcPr>
          <w:p>
            <w:pPr>
              <w:jc w:val="center"/>
              <w:rPr>
                <w:rFonts w:ascii="宋体" w:hAnsi="宋体"/>
                <w:color w:val="auto"/>
                <w:szCs w:val="21"/>
                <w:highlight w:val="none"/>
              </w:rPr>
            </w:pPr>
          </w:p>
        </w:tc>
        <w:tc>
          <w:tcPr>
            <w:tcW w:w="732" w:type="pct"/>
            <w:vAlign w:val="center"/>
          </w:tcPr>
          <w:p>
            <w:pPr>
              <w:jc w:val="center"/>
              <w:rPr>
                <w:rFonts w:ascii="宋体" w:hAnsi="宋体"/>
                <w:color w:val="auto"/>
                <w:szCs w:val="21"/>
                <w:highlight w:val="none"/>
              </w:rPr>
            </w:pPr>
          </w:p>
        </w:tc>
        <w:tc>
          <w:tcPr>
            <w:tcW w:w="1009" w:type="pct"/>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2" w:type="pct"/>
            <w:vAlign w:val="center"/>
          </w:tcPr>
          <w:p>
            <w:pPr>
              <w:jc w:val="center"/>
              <w:rPr>
                <w:rFonts w:ascii="宋体" w:hAnsi="宋体"/>
                <w:color w:val="auto"/>
                <w:szCs w:val="21"/>
                <w:highlight w:val="none"/>
              </w:rPr>
            </w:pPr>
          </w:p>
        </w:tc>
        <w:tc>
          <w:tcPr>
            <w:tcW w:w="1563" w:type="pct"/>
            <w:vAlign w:val="center"/>
          </w:tcPr>
          <w:p>
            <w:pPr>
              <w:jc w:val="center"/>
              <w:rPr>
                <w:rFonts w:ascii="宋体" w:hAnsi="宋体"/>
                <w:color w:val="auto"/>
                <w:szCs w:val="21"/>
                <w:highlight w:val="none"/>
              </w:rPr>
            </w:pPr>
          </w:p>
        </w:tc>
        <w:tc>
          <w:tcPr>
            <w:tcW w:w="1164" w:type="pct"/>
            <w:vAlign w:val="center"/>
          </w:tcPr>
          <w:p>
            <w:pPr>
              <w:jc w:val="center"/>
              <w:rPr>
                <w:rFonts w:ascii="宋体" w:hAnsi="宋体"/>
                <w:color w:val="auto"/>
                <w:szCs w:val="21"/>
                <w:highlight w:val="none"/>
              </w:rPr>
            </w:pPr>
          </w:p>
        </w:tc>
        <w:tc>
          <w:tcPr>
            <w:tcW w:w="732" w:type="pct"/>
            <w:vAlign w:val="center"/>
          </w:tcPr>
          <w:p>
            <w:pPr>
              <w:jc w:val="center"/>
              <w:rPr>
                <w:rFonts w:ascii="宋体" w:hAnsi="宋体"/>
                <w:color w:val="auto"/>
                <w:szCs w:val="21"/>
                <w:highlight w:val="none"/>
              </w:rPr>
            </w:pPr>
          </w:p>
        </w:tc>
        <w:tc>
          <w:tcPr>
            <w:tcW w:w="1009" w:type="pct"/>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2" w:type="pct"/>
            <w:vAlign w:val="center"/>
          </w:tcPr>
          <w:p>
            <w:pPr>
              <w:jc w:val="center"/>
              <w:rPr>
                <w:rFonts w:ascii="宋体" w:hAnsi="宋体"/>
                <w:color w:val="auto"/>
                <w:szCs w:val="21"/>
                <w:highlight w:val="none"/>
              </w:rPr>
            </w:pPr>
          </w:p>
        </w:tc>
        <w:tc>
          <w:tcPr>
            <w:tcW w:w="1563" w:type="pct"/>
            <w:vAlign w:val="center"/>
          </w:tcPr>
          <w:p>
            <w:pPr>
              <w:jc w:val="center"/>
              <w:rPr>
                <w:rFonts w:ascii="宋体" w:hAnsi="宋体"/>
                <w:color w:val="auto"/>
                <w:szCs w:val="21"/>
                <w:highlight w:val="none"/>
              </w:rPr>
            </w:pPr>
          </w:p>
        </w:tc>
        <w:tc>
          <w:tcPr>
            <w:tcW w:w="1164" w:type="pct"/>
            <w:vAlign w:val="center"/>
          </w:tcPr>
          <w:p>
            <w:pPr>
              <w:jc w:val="center"/>
              <w:rPr>
                <w:rFonts w:ascii="宋体" w:hAnsi="宋体"/>
                <w:color w:val="auto"/>
                <w:szCs w:val="21"/>
                <w:highlight w:val="none"/>
              </w:rPr>
            </w:pPr>
          </w:p>
        </w:tc>
        <w:tc>
          <w:tcPr>
            <w:tcW w:w="732" w:type="pct"/>
            <w:vAlign w:val="center"/>
          </w:tcPr>
          <w:p>
            <w:pPr>
              <w:jc w:val="center"/>
              <w:rPr>
                <w:rFonts w:ascii="宋体" w:hAnsi="宋体"/>
                <w:color w:val="auto"/>
                <w:szCs w:val="21"/>
                <w:highlight w:val="none"/>
              </w:rPr>
            </w:pPr>
          </w:p>
        </w:tc>
        <w:tc>
          <w:tcPr>
            <w:tcW w:w="1009" w:type="pct"/>
            <w:vAlign w:val="center"/>
          </w:tcPr>
          <w:p>
            <w:pPr>
              <w:jc w:val="center"/>
              <w:rPr>
                <w:rFonts w:ascii="宋体" w:hAnsi="宋体"/>
                <w:color w:val="auto"/>
                <w:szCs w:val="21"/>
                <w:highlight w:val="none"/>
              </w:rPr>
            </w:pPr>
          </w:p>
        </w:tc>
      </w:tr>
    </w:tbl>
    <w:p>
      <w:pPr>
        <w:widowControl/>
        <w:spacing w:before="624" w:beforeLines="200" w:line="30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供应商名称</w:t>
      </w:r>
      <w:r>
        <w:rPr>
          <w:rFonts w:hint="eastAsia" w:ascii="宋体" w:hAnsi="宋体"/>
          <w:color w:val="auto"/>
          <w:szCs w:val="21"/>
          <w:highlight w:val="none"/>
        </w:rPr>
        <w:t>（加盖公章）</w:t>
      </w:r>
      <w:r>
        <w:rPr>
          <w:rFonts w:ascii="宋体" w:hAnsi="宋体"/>
          <w:color w:val="auto"/>
          <w:kern w:val="0"/>
          <w:szCs w:val="21"/>
          <w:highlight w:val="none"/>
          <w:lang w:eastAsia="zh-Hans"/>
        </w:rPr>
        <w:t>：__________________</w:t>
      </w:r>
    </w:p>
    <w:p>
      <w:pPr>
        <w:spacing w:line="360" w:lineRule="auto"/>
        <w:rPr>
          <w:rFonts w:ascii="黑体" w:hAnsi="黑体" w:eastAsia="黑体"/>
          <w:color w:val="auto"/>
          <w:szCs w:val="21"/>
          <w:highlight w:val="none"/>
        </w:rPr>
      </w:pPr>
      <w:r>
        <w:rPr>
          <w:rFonts w:ascii="宋体" w:hAnsi="宋体"/>
          <w:color w:val="auto"/>
          <w:kern w:val="0"/>
          <w:szCs w:val="21"/>
          <w:highlight w:val="none"/>
          <w:lang w:eastAsia="zh-Hans"/>
        </w:rPr>
        <w:t xml:space="preserve">日期：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年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月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日</w:t>
      </w:r>
    </w:p>
    <w:p>
      <w:pPr>
        <w:pageBreakBefore/>
        <w:rPr>
          <w:rFonts w:ascii="宋体" w:hAnsi="宋体"/>
          <w:b/>
          <w:bCs/>
          <w:color w:val="auto"/>
          <w:szCs w:val="21"/>
          <w:highlight w:val="none"/>
        </w:rPr>
      </w:pPr>
      <w:r>
        <w:rPr>
          <w:rFonts w:hint="eastAsia" w:ascii="宋体" w:hAnsi="宋体"/>
          <w:b/>
          <w:bCs/>
          <w:color w:val="auto"/>
          <w:sz w:val="24"/>
          <w:szCs w:val="28"/>
          <w:highlight w:val="none"/>
        </w:rPr>
        <w:t>格式十四：</w:t>
      </w:r>
    </w:p>
    <w:p>
      <w:pPr>
        <w:widowControl/>
        <w:spacing w:before="156" w:beforeLines="50"/>
        <w:jc w:val="center"/>
        <w:outlineLvl w:val="3"/>
        <w:rPr>
          <w:rFonts w:ascii="宋体" w:hAnsi="宋体"/>
          <w:b/>
          <w:color w:val="auto"/>
          <w:spacing w:val="20"/>
          <w:sz w:val="30"/>
          <w:szCs w:val="30"/>
          <w:highlight w:val="none"/>
        </w:rPr>
      </w:pPr>
      <w:r>
        <w:rPr>
          <w:rFonts w:hint="eastAsia" w:ascii="宋体" w:hAnsi="宋体"/>
          <w:b/>
          <w:color w:val="auto"/>
          <w:sz w:val="32"/>
          <w:szCs w:val="32"/>
          <w:highlight w:val="none"/>
        </w:rPr>
        <w:t>项目技术服务人员情况表</w:t>
      </w:r>
    </w:p>
    <w:tbl>
      <w:tblPr>
        <w:tblStyle w:val="22"/>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213"/>
        <w:gridCol w:w="1372"/>
        <w:gridCol w:w="2008"/>
        <w:gridCol w:w="1541"/>
        <w:gridCol w:w="108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16" w:type="pct"/>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653" w:type="pct"/>
            <w:vAlign w:val="center"/>
          </w:tcPr>
          <w:p>
            <w:pPr>
              <w:jc w:val="center"/>
              <w:rPr>
                <w:rFonts w:ascii="宋体" w:hAnsi="宋体"/>
                <w:b/>
                <w:bCs/>
                <w:color w:val="auto"/>
                <w:szCs w:val="21"/>
                <w:highlight w:val="none"/>
              </w:rPr>
            </w:pPr>
            <w:r>
              <w:rPr>
                <w:rFonts w:hint="eastAsia" w:ascii="宋体" w:hAnsi="宋体"/>
                <w:b/>
                <w:bCs/>
                <w:color w:val="auto"/>
                <w:szCs w:val="21"/>
                <w:highlight w:val="none"/>
              </w:rPr>
              <w:t>姓名</w:t>
            </w:r>
          </w:p>
        </w:tc>
        <w:tc>
          <w:tcPr>
            <w:tcW w:w="739" w:type="pct"/>
            <w:vAlign w:val="center"/>
          </w:tcPr>
          <w:p>
            <w:pPr>
              <w:jc w:val="center"/>
              <w:rPr>
                <w:rFonts w:ascii="宋体" w:hAnsi="宋体"/>
                <w:b/>
                <w:bCs/>
                <w:color w:val="auto"/>
                <w:szCs w:val="21"/>
                <w:highlight w:val="none"/>
              </w:rPr>
            </w:pPr>
            <w:r>
              <w:rPr>
                <w:rFonts w:hint="eastAsia" w:ascii="宋体" w:hAnsi="宋体"/>
                <w:b/>
                <w:bCs/>
                <w:color w:val="auto"/>
                <w:szCs w:val="21"/>
                <w:highlight w:val="none"/>
              </w:rPr>
              <w:t>职位</w:t>
            </w:r>
          </w:p>
        </w:tc>
        <w:tc>
          <w:tcPr>
            <w:tcW w:w="1081" w:type="pct"/>
            <w:vAlign w:val="center"/>
          </w:tcPr>
          <w:p>
            <w:pPr>
              <w:jc w:val="center"/>
              <w:rPr>
                <w:rFonts w:ascii="宋体" w:hAnsi="宋体"/>
                <w:b/>
                <w:bCs/>
                <w:color w:val="auto"/>
                <w:szCs w:val="21"/>
                <w:highlight w:val="none"/>
              </w:rPr>
            </w:pPr>
            <w:r>
              <w:rPr>
                <w:rFonts w:hint="eastAsia" w:ascii="宋体" w:hAnsi="宋体"/>
                <w:b/>
                <w:bCs/>
                <w:color w:val="auto"/>
                <w:szCs w:val="21"/>
                <w:highlight w:val="none"/>
              </w:rPr>
              <w:t>持何种资格证件</w:t>
            </w:r>
          </w:p>
        </w:tc>
        <w:tc>
          <w:tcPr>
            <w:tcW w:w="830" w:type="pct"/>
            <w:vAlign w:val="center"/>
          </w:tcPr>
          <w:p>
            <w:pPr>
              <w:jc w:val="center"/>
              <w:rPr>
                <w:rFonts w:ascii="宋体" w:hAnsi="宋体"/>
                <w:b/>
                <w:bCs/>
                <w:color w:val="auto"/>
                <w:szCs w:val="21"/>
                <w:highlight w:val="none"/>
              </w:rPr>
            </w:pPr>
            <w:r>
              <w:rPr>
                <w:rFonts w:hint="eastAsia" w:ascii="宋体" w:hAnsi="宋体"/>
                <w:b/>
                <w:bCs/>
                <w:color w:val="auto"/>
                <w:szCs w:val="21"/>
                <w:highlight w:val="none"/>
              </w:rPr>
              <w:t>发证时间</w:t>
            </w:r>
          </w:p>
        </w:tc>
        <w:tc>
          <w:tcPr>
            <w:tcW w:w="582" w:type="pct"/>
            <w:vAlign w:val="center"/>
          </w:tcPr>
          <w:p>
            <w:pPr>
              <w:jc w:val="center"/>
              <w:rPr>
                <w:rFonts w:ascii="宋体" w:hAnsi="宋体"/>
                <w:b/>
                <w:bCs/>
                <w:color w:val="auto"/>
                <w:szCs w:val="21"/>
                <w:highlight w:val="none"/>
              </w:rPr>
            </w:pPr>
            <w:r>
              <w:rPr>
                <w:rFonts w:hint="eastAsia" w:ascii="宋体" w:hAnsi="宋体"/>
                <w:b/>
                <w:bCs/>
                <w:color w:val="auto"/>
                <w:szCs w:val="21"/>
                <w:highlight w:val="none"/>
              </w:rPr>
              <w:t>学历</w:t>
            </w:r>
          </w:p>
        </w:tc>
        <w:tc>
          <w:tcPr>
            <w:tcW w:w="699" w:type="pct"/>
            <w:vAlign w:val="center"/>
          </w:tcPr>
          <w:p>
            <w:pPr>
              <w:jc w:val="center"/>
              <w:rPr>
                <w:rFonts w:ascii="宋体" w:hAnsi="宋体"/>
                <w:b/>
                <w:bCs/>
                <w:color w:val="auto"/>
                <w:szCs w:val="21"/>
                <w:highlight w:val="none"/>
              </w:rPr>
            </w:pPr>
            <w:r>
              <w:rPr>
                <w:rFonts w:hint="eastAsia" w:ascii="宋体" w:hAnsi="宋体"/>
                <w:b/>
                <w:bCs/>
                <w:color w:val="auto"/>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jc w:val="center"/>
              <w:rPr>
                <w:rFonts w:ascii="宋体" w:hAnsi="宋体"/>
                <w:color w:val="auto"/>
                <w:szCs w:val="21"/>
                <w:highlight w:val="none"/>
              </w:rPr>
            </w:pPr>
          </w:p>
        </w:tc>
        <w:tc>
          <w:tcPr>
            <w:tcW w:w="653" w:type="pct"/>
            <w:vAlign w:val="center"/>
          </w:tcPr>
          <w:p>
            <w:pPr>
              <w:jc w:val="center"/>
              <w:rPr>
                <w:rFonts w:ascii="宋体" w:hAnsi="宋体"/>
                <w:color w:val="auto"/>
                <w:szCs w:val="21"/>
                <w:highlight w:val="none"/>
              </w:rPr>
            </w:pPr>
          </w:p>
        </w:tc>
        <w:tc>
          <w:tcPr>
            <w:tcW w:w="739" w:type="pct"/>
            <w:vAlign w:val="center"/>
          </w:tcPr>
          <w:p>
            <w:pPr>
              <w:jc w:val="center"/>
              <w:rPr>
                <w:rFonts w:ascii="宋体" w:hAnsi="宋体"/>
                <w:color w:val="auto"/>
                <w:szCs w:val="21"/>
                <w:highlight w:val="none"/>
              </w:rPr>
            </w:pPr>
          </w:p>
        </w:tc>
        <w:tc>
          <w:tcPr>
            <w:tcW w:w="1081" w:type="pct"/>
            <w:vAlign w:val="center"/>
          </w:tcPr>
          <w:p>
            <w:pPr>
              <w:jc w:val="center"/>
              <w:rPr>
                <w:rFonts w:ascii="宋体" w:hAnsi="宋体"/>
                <w:color w:val="auto"/>
                <w:szCs w:val="21"/>
                <w:highlight w:val="none"/>
              </w:rPr>
            </w:pPr>
          </w:p>
        </w:tc>
        <w:tc>
          <w:tcPr>
            <w:tcW w:w="830" w:type="pct"/>
          </w:tcPr>
          <w:p>
            <w:pPr>
              <w:jc w:val="center"/>
              <w:rPr>
                <w:rFonts w:ascii="宋体" w:hAnsi="宋体"/>
                <w:color w:val="auto"/>
                <w:szCs w:val="21"/>
                <w:highlight w:val="none"/>
              </w:rPr>
            </w:pPr>
          </w:p>
        </w:tc>
        <w:tc>
          <w:tcPr>
            <w:tcW w:w="582" w:type="pct"/>
            <w:vAlign w:val="center"/>
          </w:tcPr>
          <w:p>
            <w:pPr>
              <w:jc w:val="center"/>
              <w:rPr>
                <w:rFonts w:ascii="宋体" w:hAnsi="宋体"/>
                <w:color w:val="auto"/>
                <w:szCs w:val="21"/>
                <w:highlight w:val="none"/>
              </w:rPr>
            </w:pPr>
          </w:p>
        </w:tc>
        <w:tc>
          <w:tcPr>
            <w:tcW w:w="699" w:type="pct"/>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jc w:val="center"/>
              <w:rPr>
                <w:rFonts w:ascii="宋体" w:hAnsi="宋体"/>
                <w:color w:val="auto"/>
                <w:szCs w:val="21"/>
                <w:highlight w:val="none"/>
              </w:rPr>
            </w:pPr>
          </w:p>
        </w:tc>
        <w:tc>
          <w:tcPr>
            <w:tcW w:w="653" w:type="pct"/>
            <w:vAlign w:val="center"/>
          </w:tcPr>
          <w:p>
            <w:pPr>
              <w:jc w:val="center"/>
              <w:rPr>
                <w:rFonts w:ascii="宋体" w:hAnsi="宋体"/>
                <w:color w:val="auto"/>
                <w:szCs w:val="21"/>
                <w:highlight w:val="none"/>
              </w:rPr>
            </w:pPr>
          </w:p>
        </w:tc>
        <w:tc>
          <w:tcPr>
            <w:tcW w:w="739" w:type="pct"/>
            <w:vAlign w:val="center"/>
          </w:tcPr>
          <w:p>
            <w:pPr>
              <w:jc w:val="center"/>
              <w:rPr>
                <w:rFonts w:ascii="宋体" w:hAnsi="宋体"/>
                <w:color w:val="auto"/>
                <w:szCs w:val="21"/>
                <w:highlight w:val="none"/>
              </w:rPr>
            </w:pPr>
          </w:p>
        </w:tc>
        <w:tc>
          <w:tcPr>
            <w:tcW w:w="1081" w:type="pct"/>
            <w:vAlign w:val="center"/>
          </w:tcPr>
          <w:p>
            <w:pPr>
              <w:jc w:val="center"/>
              <w:rPr>
                <w:rFonts w:ascii="宋体" w:hAnsi="宋体"/>
                <w:color w:val="auto"/>
                <w:szCs w:val="21"/>
                <w:highlight w:val="none"/>
              </w:rPr>
            </w:pPr>
          </w:p>
        </w:tc>
        <w:tc>
          <w:tcPr>
            <w:tcW w:w="830" w:type="pct"/>
          </w:tcPr>
          <w:p>
            <w:pPr>
              <w:jc w:val="center"/>
              <w:rPr>
                <w:rFonts w:ascii="宋体" w:hAnsi="宋体"/>
                <w:color w:val="auto"/>
                <w:szCs w:val="21"/>
                <w:highlight w:val="none"/>
              </w:rPr>
            </w:pPr>
          </w:p>
        </w:tc>
        <w:tc>
          <w:tcPr>
            <w:tcW w:w="582" w:type="pct"/>
            <w:vAlign w:val="center"/>
          </w:tcPr>
          <w:p>
            <w:pPr>
              <w:jc w:val="center"/>
              <w:rPr>
                <w:rFonts w:ascii="宋体" w:hAnsi="宋体"/>
                <w:color w:val="auto"/>
                <w:szCs w:val="21"/>
                <w:highlight w:val="none"/>
              </w:rPr>
            </w:pPr>
          </w:p>
        </w:tc>
        <w:tc>
          <w:tcPr>
            <w:tcW w:w="699" w:type="pct"/>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jc w:val="center"/>
              <w:rPr>
                <w:rFonts w:ascii="宋体" w:hAnsi="宋体"/>
                <w:color w:val="auto"/>
                <w:szCs w:val="21"/>
                <w:highlight w:val="none"/>
              </w:rPr>
            </w:pPr>
          </w:p>
        </w:tc>
        <w:tc>
          <w:tcPr>
            <w:tcW w:w="653" w:type="pct"/>
            <w:vAlign w:val="center"/>
          </w:tcPr>
          <w:p>
            <w:pPr>
              <w:jc w:val="center"/>
              <w:rPr>
                <w:rFonts w:ascii="宋体" w:hAnsi="宋体"/>
                <w:color w:val="auto"/>
                <w:szCs w:val="21"/>
                <w:highlight w:val="none"/>
              </w:rPr>
            </w:pPr>
          </w:p>
        </w:tc>
        <w:tc>
          <w:tcPr>
            <w:tcW w:w="739" w:type="pct"/>
            <w:vAlign w:val="center"/>
          </w:tcPr>
          <w:p>
            <w:pPr>
              <w:jc w:val="center"/>
              <w:rPr>
                <w:rFonts w:ascii="宋体" w:hAnsi="宋体"/>
                <w:color w:val="auto"/>
                <w:szCs w:val="21"/>
                <w:highlight w:val="none"/>
              </w:rPr>
            </w:pPr>
          </w:p>
        </w:tc>
        <w:tc>
          <w:tcPr>
            <w:tcW w:w="1081" w:type="pct"/>
            <w:vAlign w:val="center"/>
          </w:tcPr>
          <w:p>
            <w:pPr>
              <w:jc w:val="center"/>
              <w:rPr>
                <w:rFonts w:ascii="宋体" w:hAnsi="宋体"/>
                <w:color w:val="auto"/>
                <w:szCs w:val="21"/>
                <w:highlight w:val="none"/>
              </w:rPr>
            </w:pPr>
          </w:p>
        </w:tc>
        <w:tc>
          <w:tcPr>
            <w:tcW w:w="830" w:type="pct"/>
          </w:tcPr>
          <w:p>
            <w:pPr>
              <w:jc w:val="center"/>
              <w:rPr>
                <w:rFonts w:ascii="宋体" w:hAnsi="宋体"/>
                <w:color w:val="auto"/>
                <w:szCs w:val="21"/>
                <w:highlight w:val="none"/>
              </w:rPr>
            </w:pPr>
          </w:p>
        </w:tc>
        <w:tc>
          <w:tcPr>
            <w:tcW w:w="582" w:type="pct"/>
            <w:vAlign w:val="center"/>
          </w:tcPr>
          <w:p>
            <w:pPr>
              <w:jc w:val="center"/>
              <w:rPr>
                <w:rFonts w:ascii="宋体" w:hAnsi="宋体"/>
                <w:color w:val="auto"/>
                <w:szCs w:val="21"/>
                <w:highlight w:val="none"/>
              </w:rPr>
            </w:pPr>
          </w:p>
        </w:tc>
        <w:tc>
          <w:tcPr>
            <w:tcW w:w="699" w:type="pct"/>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jc w:val="center"/>
              <w:rPr>
                <w:rFonts w:ascii="宋体" w:hAnsi="宋体"/>
                <w:color w:val="auto"/>
                <w:szCs w:val="21"/>
                <w:highlight w:val="none"/>
              </w:rPr>
            </w:pPr>
          </w:p>
        </w:tc>
        <w:tc>
          <w:tcPr>
            <w:tcW w:w="653" w:type="pct"/>
            <w:vAlign w:val="center"/>
          </w:tcPr>
          <w:p>
            <w:pPr>
              <w:jc w:val="center"/>
              <w:rPr>
                <w:rFonts w:ascii="宋体" w:hAnsi="宋体"/>
                <w:color w:val="auto"/>
                <w:szCs w:val="21"/>
                <w:highlight w:val="none"/>
              </w:rPr>
            </w:pPr>
          </w:p>
        </w:tc>
        <w:tc>
          <w:tcPr>
            <w:tcW w:w="739" w:type="pct"/>
            <w:vAlign w:val="center"/>
          </w:tcPr>
          <w:p>
            <w:pPr>
              <w:jc w:val="center"/>
              <w:rPr>
                <w:rFonts w:ascii="宋体" w:hAnsi="宋体"/>
                <w:color w:val="auto"/>
                <w:szCs w:val="21"/>
                <w:highlight w:val="none"/>
              </w:rPr>
            </w:pPr>
          </w:p>
        </w:tc>
        <w:tc>
          <w:tcPr>
            <w:tcW w:w="1081" w:type="pct"/>
            <w:vAlign w:val="center"/>
          </w:tcPr>
          <w:p>
            <w:pPr>
              <w:jc w:val="center"/>
              <w:rPr>
                <w:rFonts w:ascii="宋体" w:hAnsi="宋体"/>
                <w:color w:val="auto"/>
                <w:szCs w:val="21"/>
                <w:highlight w:val="none"/>
              </w:rPr>
            </w:pPr>
          </w:p>
        </w:tc>
        <w:tc>
          <w:tcPr>
            <w:tcW w:w="830" w:type="pct"/>
          </w:tcPr>
          <w:p>
            <w:pPr>
              <w:jc w:val="center"/>
              <w:rPr>
                <w:rFonts w:ascii="宋体" w:hAnsi="宋体"/>
                <w:color w:val="auto"/>
                <w:szCs w:val="21"/>
                <w:highlight w:val="none"/>
              </w:rPr>
            </w:pPr>
          </w:p>
        </w:tc>
        <w:tc>
          <w:tcPr>
            <w:tcW w:w="582" w:type="pct"/>
            <w:vAlign w:val="center"/>
          </w:tcPr>
          <w:p>
            <w:pPr>
              <w:jc w:val="center"/>
              <w:rPr>
                <w:rFonts w:ascii="宋体" w:hAnsi="宋体"/>
                <w:color w:val="auto"/>
                <w:szCs w:val="21"/>
                <w:highlight w:val="none"/>
              </w:rPr>
            </w:pPr>
          </w:p>
        </w:tc>
        <w:tc>
          <w:tcPr>
            <w:tcW w:w="699" w:type="pct"/>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jc w:val="center"/>
              <w:rPr>
                <w:rFonts w:ascii="宋体" w:hAnsi="宋体"/>
                <w:color w:val="auto"/>
                <w:szCs w:val="21"/>
                <w:highlight w:val="none"/>
              </w:rPr>
            </w:pPr>
          </w:p>
        </w:tc>
        <w:tc>
          <w:tcPr>
            <w:tcW w:w="653" w:type="pct"/>
            <w:vAlign w:val="center"/>
          </w:tcPr>
          <w:p>
            <w:pPr>
              <w:jc w:val="center"/>
              <w:rPr>
                <w:rFonts w:ascii="宋体" w:hAnsi="宋体"/>
                <w:color w:val="auto"/>
                <w:szCs w:val="21"/>
                <w:highlight w:val="none"/>
              </w:rPr>
            </w:pPr>
          </w:p>
        </w:tc>
        <w:tc>
          <w:tcPr>
            <w:tcW w:w="739" w:type="pct"/>
            <w:vAlign w:val="center"/>
          </w:tcPr>
          <w:p>
            <w:pPr>
              <w:jc w:val="center"/>
              <w:rPr>
                <w:rFonts w:ascii="宋体" w:hAnsi="宋体"/>
                <w:color w:val="auto"/>
                <w:szCs w:val="21"/>
                <w:highlight w:val="none"/>
              </w:rPr>
            </w:pPr>
          </w:p>
        </w:tc>
        <w:tc>
          <w:tcPr>
            <w:tcW w:w="1081" w:type="pct"/>
            <w:vAlign w:val="center"/>
          </w:tcPr>
          <w:p>
            <w:pPr>
              <w:widowControl/>
              <w:tabs>
                <w:tab w:val="right" w:leader="dot" w:pos="8302"/>
              </w:tabs>
              <w:jc w:val="center"/>
              <w:rPr>
                <w:rFonts w:ascii="宋体" w:hAnsi="宋体"/>
                <w:color w:val="auto"/>
                <w:kern w:val="0"/>
                <w:szCs w:val="21"/>
                <w:highlight w:val="none"/>
              </w:rPr>
            </w:pPr>
          </w:p>
        </w:tc>
        <w:tc>
          <w:tcPr>
            <w:tcW w:w="830" w:type="pct"/>
          </w:tcPr>
          <w:p>
            <w:pPr>
              <w:jc w:val="center"/>
              <w:rPr>
                <w:rFonts w:ascii="宋体" w:hAnsi="宋体"/>
                <w:color w:val="auto"/>
                <w:szCs w:val="21"/>
                <w:highlight w:val="none"/>
              </w:rPr>
            </w:pPr>
          </w:p>
        </w:tc>
        <w:tc>
          <w:tcPr>
            <w:tcW w:w="582" w:type="pct"/>
            <w:vAlign w:val="center"/>
          </w:tcPr>
          <w:p>
            <w:pPr>
              <w:jc w:val="center"/>
              <w:rPr>
                <w:rFonts w:ascii="宋体" w:hAnsi="宋体"/>
                <w:color w:val="auto"/>
                <w:szCs w:val="21"/>
                <w:highlight w:val="none"/>
              </w:rPr>
            </w:pPr>
          </w:p>
        </w:tc>
        <w:tc>
          <w:tcPr>
            <w:tcW w:w="699" w:type="pct"/>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jc w:val="center"/>
              <w:rPr>
                <w:rFonts w:ascii="宋体" w:hAnsi="宋体"/>
                <w:color w:val="auto"/>
                <w:szCs w:val="21"/>
                <w:highlight w:val="none"/>
              </w:rPr>
            </w:pPr>
          </w:p>
        </w:tc>
        <w:tc>
          <w:tcPr>
            <w:tcW w:w="653" w:type="pct"/>
            <w:vAlign w:val="center"/>
          </w:tcPr>
          <w:p>
            <w:pPr>
              <w:jc w:val="center"/>
              <w:rPr>
                <w:rFonts w:ascii="宋体" w:hAnsi="宋体"/>
                <w:color w:val="auto"/>
                <w:szCs w:val="21"/>
                <w:highlight w:val="none"/>
              </w:rPr>
            </w:pPr>
          </w:p>
        </w:tc>
        <w:tc>
          <w:tcPr>
            <w:tcW w:w="739" w:type="pct"/>
            <w:vAlign w:val="center"/>
          </w:tcPr>
          <w:p>
            <w:pPr>
              <w:jc w:val="center"/>
              <w:rPr>
                <w:rFonts w:ascii="宋体" w:hAnsi="宋体"/>
                <w:color w:val="auto"/>
                <w:szCs w:val="21"/>
                <w:highlight w:val="none"/>
              </w:rPr>
            </w:pPr>
          </w:p>
        </w:tc>
        <w:tc>
          <w:tcPr>
            <w:tcW w:w="1081" w:type="pct"/>
            <w:vAlign w:val="center"/>
          </w:tcPr>
          <w:p>
            <w:pPr>
              <w:widowControl/>
              <w:tabs>
                <w:tab w:val="right" w:leader="dot" w:pos="8302"/>
              </w:tabs>
              <w:jc w:val="center"/>
              <w:rPr>
                <w:rFonts w:ascii="宋体" w:hAnsi="宋体"/>
                <w:color w:val="auto"/>
                <w:kern w:val="0"/>
                <w:szCs w:val="21"/>
                <w:highlight w:val="none"/>
              </w:rPr>
            </w:pPr>
          </w:p>
        </w:tc>
        <w:tc>
          <w:tcPr>
            <w:tcW w:w="830" w:type="pct"/>
          </w:tcPr>
          <w:p>
            <w:pPr>
              <w:jc w:val="center"/>
              <w:rPr>
                <w:rFonts w:ascii="宋体" w:hAnsi="宋体"/>
                <w:color w:val="auto"/>
                <w:szCs w:val="21"/>
                <w:highlight w:val="none"/>
              </w:rPr>
            </w:pPr>
          </w:p>
        </w:tc>
        <w:tc>
          <w:tcPr>
            <w:tcW w:w="582" w:type="pct"/>
            <w:vAlign w:val="center"/>
          </w:tcPr>
          <w:p>
            <w:pPr>
              <w:jc w:val="center"/>
              <w:rPr>
                <w:rFonts w:ascii="宋体" w:hAnsi="宋体"/>
                <w:color w:val="auto"/>
                <w:szCs w:val="21"/>
                <w:highlight w:val="none"/>
              </w:rPr>
            </w:pPr>
          </w:p>
        </w:tc>
        <w:tc>
          <w:tcPr>
            <w:tcW w:w="699" w:type="pct"/>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jc w:val="center"/>
              <w:rPr>
                <w:rFonts w:ascii="宋体" w:hAnsi="宋体"/>
                <w:color w:val="auto"/>
                <w:szCs w:val="21"/>
                <w:highlight w:val="none"/>
              </w:rPr>
            </w:pPr>
          </w:p>
        </w:tc>
        <w:tc>
          <w:tcPr>
            <w:tcW w:w="653" w:type="pct"/>
            <w:vAlign w:val="center"/>
          </w:tcPr>
          <w:p>
            <w:pPr>
              <w:jc w:val="center"/>
              <w:rPr>
                <w:rFonts w:ascii="宋体" w:hAnsi="宋体"/>
                <w:color w:val="auto"/>
                <w:szCs w:val="21"/>
                <w:highlight w:val="none"/>
              </w:rPr>
            </w:pPr>
          </w:p>
        </w:tc>
        <w:tc>
          <w:tcPr>
            <w:tcW w:w="739" w:type="pct"/>
            <w:vAlign w:val="center"/>
          </w:tcPr>
          <w:p>
            <w:pPr>
              <w:jc w:val="center"/>
              <w:rPr>
                <w:rFonts w:ascii="宋体" w:hAnsi="宋体"/>
                <w:color w:val="auto"/>
                <w:szCs w:val="21"/>
                <w:highlight w:val="none"/>
              </w:rPr>
            </w:pPr>
          </w:p>
        </w:tc>
        <w:tc>
          <w:tcPr>
            <w:tcW w:w="1081" w:type="pct"/>
            <w:vAlign w:val="center"/>
          </w:tcPr>
          <w:p>
            <w:pPr>
              <w:jc w:val="center"/>
              <w:rPr>
                <w:rFonts w:ascii="宋体" w:hAnsi="宋体"/>
                <w:color w:val="auto"/>
                <w:szCs w:val="21"/>
                <w:highlight w:val="none"/>
              </w:rPr>
            </w:pPr>
          </w:p>
        </w:tc>
        <w:tc>
          <w:tcPr>
            <w:tcW w:w="830" w:type="pct"/>
          </w:tcPr>
          <w:p>
            <w:pPr>
              <w:jc w:val="center"/>
              <w:rPr>
                <w:rFonts w:ascii="宋体" w:hAnsi="宋体"/>
                <w:color w:val="auto"/>
                <w:szCs w:val="21"/>
                <w:highlight w:val="none"/>
              </w:rPr>
            </w:pPr>
          </w:p>
        </w:tc>
        <w:tc>
          <w:tcPr>
            <w:tcW w:w="582" w:type="pct"/>
            <w:vAlign w:val="center"/>
          </w:tcPr>
          <w:p>
            <w:pPr>
              <w:jc w:val="center"/>
              <w:rPr>
                <w:rFonts w:ascii="宋体" w:hAnsi="宋体"/>
                <w:color w:val="auto"/>
                <w:szCs w:val="21"/>
                <w:highlight w:val="none"/>
              </w:rPr>
            </w:pPr>
          </w:p>
        </w:tc>
        <w:tc>
          <w:tcPr>
            <w:tcW w:w="699" w:type="pct"/>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jc w:val="center"/>
              <w:rPr>
                <w:rFonts w:ascii="宋体" w:hAnsi="宋体"/>
                <w:color w:val="auto"/>
                <w:szCs w:val="21"/>
                <w:highlight w:val="none"/>
              </w:rPr>
            </w:pPr>
          </w:p>
        </w:tc>
        <w:tc>
          <w:tcPr>
            <w:tcW w:w="653" w:type="pct"/>
            <w:vAlign w:val="center"/>
          </w:tcPr>
          <w:p>
            <w:pPr>
              <w:jc w:val="center"/>
              <w:rPr>
                <w:rFonts w:ascii="宋体" w:hAnsi="宋体"/>
                <w:color w:val="auto"/>
                <w:szCs w:val="21"/>
                <w:highlight w:val="none"/>
              </w:rPr>
            </w:pPr>
          </w:p>
        </w:tc>
        <w:tc>
          <w:tcPr>
            <w:tcW w:w="739" w:type="pct"/>
            <w:vAlign w:val="center"/>
          </w:tcPr>
          <w:p>
            <w:pPr>
              <w:jc w:val="center"/>
              <w:rPr>
                <w:rFonts w:ascii="宋体" w:hAnsi="宋体"/>
                <w:color w:val="auto"/>
                <w:szCs w:val="21"/>
                <w:highlight w:val="none"/>
              </w:rPr>
            </w:pPr>
          </w:p>
        </w:tc>
        <w:tc>
          <w:tcPr>
            <w:tcW w:w="1081" w:type="pct"/>
            <w:vAlign w:val="center"/>
          </w:tcPr>
          <w:p>
            <w:pPr>
              <w:jc w:val="center"/>
              <w:rPr>
                <w:rFonts w:ascii="宋体" w:hAnsi="宋体"/>
                <w:color w:val="auto"/>
                <w:szCs w:val="21"/>
                <w:highlight w:val="none"/>
              </w:rPr>
            </w:pPr>
          </w:p>
        </w:tc>
        <w:tc>
          <w:tcPr>
            <w:tcW w:w="830" w:type="pct"/>
          </w:tcPr>
          <w:p>
            <w:pPr>
              <w:jc w:val="center"/>
              <w:rPr>
                <w:rFonts w:ascii="宋体" w:hAnsi="宋体"/>
                <w:color w:val="auto"/>
                <w:szCs w:val="21"/>
                <w:highlight w:val="none"/>
              </w:rPr>
            </w:pPr>
          </w:p>
        </w:tc>
        <w:tc>
          <w:tcPr>
            <w:tcW w:w="582" w:type="pct"/>
            <w:vAlign w:val="center"/>
          </w:tcPr>
          <w:p>
            <w:pPr>
              <w:jc w:val="center"/>
              <w:rPr>
                <w:rFonts w:ascii="宋体" w:hAnsi="宋体"/>
                <w:color w:val="auto"/>
                <w:szCs w:val="21"/>
                <w:highlight w:val="none"/>
              </w:rPr>
            </w:pPr>
          </w:p>
        </w:tc>
        <w:tc>
          <w:tcPr>
            <w:tcW w:w="699" w:type="pct"/>
          </w:tcPr>
          <w:p>
            <w:pPr>
              <w:jc w:val="center"/>
              <w:rPr>
                <w:rFonts w:ascii="宋体" w:hAnsi="宋体"/>
                <w:color w:val="auto"/>
                <w:szCs w:val="21"/>
                <w:highlight w:val="none"/>
              </w:rPr>
            </w:pPr>
          </w:p>
        </w:tc>
      </w:tr>
    </w:tbl>
    <w:p>
      <w:pPr>
        <w:spacing w:line="360" w:lineRule="auto"/>
        <w:rPr>
          <w:rFonts w:ascii="黑体" w:hAnsi="黑体" w:eastAsia="黑体"/>
          <w:color w:val="auto"/>
          <w:highlight w:val="none"/>
        </w:rPr>
      </w:pPr>
    </w:p>
    <w:p>
      <w:pPr>
        <w:widowControl/>
        <w:spacing w:before="624" w:beforeLines="200" w:line="30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供应商名称</w:t>
      </w:r>
      <w:r>
        <w:rPr>
          <w:rFonts w:hint="eastAsia" w:ascii="宋体" w:hAnsi="宋体"/>
          <w:color w:val="auto"/>
          <w:szCs w:val="21"/>
          <w:highlight w:val="none"/>
        </w:rPr>
        <w:t>（加盖公章）</w:t>
      </w:r>
      <w:r>
        <w:rPr>
          <w:rFonts w:ascii="宋体" w:hAnsi="宋体"/>
          <w:color w:val="auto"/>
          <w:kern w:val="0"/>
          <w:szCs w:val="21"/>
          <w:highlight w:val="none"/>
          <w:lang w:eastAsia="zh-Hans"/>
        </w:rPr>
        <w:t>：__________________</w:t>
      </w:r>
    </w:p>
    <w:p>
      <w:pPr>
        <w:widowControl/>
        <w:spacing w:line="30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 xml:space="preserve">日期：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年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月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日</w:t>
      </w:r>
    </w:p>
    <w:p>
      <w:pPr>
        <w:spacing w:line="360" w:lineRule="auto"/>
        <w:rPr>
          <w:rFonts w:ascii="黑体" w:hAnsi="黑体" w:eastAsia="黑体"/>
          <w:color w:val="auto"/>
          <w:highlight w:val="none"/>
        </w:rPr>
      </w:pPr>
    </w:p>
    <w:p>
      <w:pPr>
        <w:pageBreakBefore/>
        <w:rPr>
          <w:rFonts w:ascii="宋体" w:hAnsi="宋体"/>
          <w:b/>
          <w:bCs/>
          <w:color w:val="auto"/>
          <w:highlight w:val="none"/>
        </w:rPr>
      </w:pPr>
      <w:r>
        <w:rPr>
          <w:rFonts w:hint="eastAsia" w:ascii="宋体" w:hAnsi="宋体"/>
          <w:b/>
          <w:bCs/>
          <w:color w:val="auto"/>
          <w:sz w:val="24"/>
          <w:szCs w:val="28"/>
          <w:highlight w:val="none"/>
        </w:rPr>
        <w:t>格式十五：</w:t>
      </w:r>
    </w:p>
    <w:p>
      <w:pPr>
        <w:widowControl/>
        <w:spacing w:before="156" w:beforeLines="50"/>
        <w:jc w:val="center"/>
        <w:outlineLvl w:val="3"/>
        <w:rPr>
          <w:rFonts w:ascii="宋体" w:hAnsi="宋体"/>
          <w:b/>
          <w:color w:val="auto"/>
          <w:sz w:val="28"/>
          <w:szCs w:val="28"/>
          <w:highlight w:val="none"/>
        </w:rPr>
      </w:pPr>
      <w:r>
        <w:rPr>
          <w:rFonts w:hint="eastAsia" w:ascii="宋体" w:hAnsi="宋体"/>
          <w:b/>
          <w:color w:val="auto"/>
          <w:sz w:val="32"/>
          <w:szCs w:val="32"/>
          <w:highlight w:val="none"/>
        </w:rPr>
        <w:t>项目负责人简历表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791"/>
        <w:gridCol w:w="1441"/>
        <w:gridCol w:w="345"/>
        <w:gridCol w:w="195"/>
        <w:gridCol w:w="891"/>
        <w:gridCol w:w="576"/>
        <w:gridCol w:w="15"/>
        <w:gridCol w:w="1196"/>
        <w:gridCol w:w="461"/>
        <w:gridCol w:w="685"/>
        <w:gridCol w:w="433"/>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19" w:type="pct"/>
            <w:vAlign w:val="center"/>
          </w:tcPr>
          <w:p>
            <w:pPr>
              <w:jc w:val="center"/>
              <w:rPr>
                <w:rFonts w:ascii="宋体" w:hAnsi="宋体"/>
                <w:color w:val="auto"/>
                <w:szCs w:val="21"/>
                <w:highlight w:val="none"/>
              </w:rPr>
            </w:pPr>
            <w:r>
              <w:rPr>
                <w:rFonts w:hint="eastAsia" w:ascii="宋体" w:hAnsi="宋体"/>
                <w:color w:val="auto"/>
                <w:szCs w:val="21"/>
                <w:highlight w:val="none"/>
              </w:rPr>
              <w:t>姓名</w:t>
            </w:r>
          </w:p>
        </w:tc>
        <w:tc>
          <w:tcPr>
            <w:tcW w:w="1493" w:type="pct"/>
            <w:gridSpan w:val="4"/>
            <w:vAlign w:val="center"/>
          </w:tcPr>
          <w:p>
            <w:pPr>
              <w:jc w:val="center"/>
              <w:rPr>
                <w:rFonts w:ascii="宋体" w:hAnsi="宋体"/>
                <w:color w:val="auto"/>
                <w:szCs w:val="21"/>
                <w:highlight w:val="none"/>
              </w:rPr>
            </w:pPr>
          </w:p>
        </w:tc>
        <w:tc>
          <w:tcPr>
            <w:tcW w:w="480" w:type="pct"/>
            <w:vAlign w:val="center"/>
          </w:tcPr>
          <w:p>
            <w:pPr>
              <w:jc w:val="center"/>
              <w:rPr>
                <w:rFonts w:ascii="宋体" w:hAnsi="宋体"/>
                <w:color w:val="auto"/>
                <w:szCs w:val="21"/>
                <w:highlight w:val="none"/>
              </w:rPr>
            </w:pPr>
            <w:r>
              <w:rPr>
                <w:rFonts w:hint="eastAsia" w:ascii="宋体" w:hAnsi="宋体"/>
                <w:color w:val="auto"/>
                <w:szCs w:val="21"/>
                <w:highlight w:val="none"/>
              </w:rPr>
              <w:t>性别</w:t>
            </w:r>
          </w:p>
        </w:tc>
        <w:tc>
          <w:tcPr>
            <w:tcW w:w="962" w:type="pct"/>
            <w:gridSpan w:val="3"/>
            <w:vAlign w:val="center"/>
          </w:tcPr>
          <w:p>
            <w:pPr>
              <w:jc w:val="center"/>
              <w:rPr>
                <w:rFonts w:ascii="宋体" w:hAnsi="宋体"/>
                <w:color w:val="auto"/>
                <w:szCs w:val="21"/>
                <w:highlight w:val="none"/>
              </w:rPr>
            </w:pPr>
          </w:p>
        </w:tc>
        <w:tc>
          <w:tcPr>
            <w:tcW w:w="617" w:type="pct"/>
            <w:gridSpan w:val="2"/>
            <w:vAlign w:val="center"/>
          </w:tcPr>
          <w:p>
            <w:pPr>
              <w:jc w:val="center"/>
              <w:rPr>
                <w:rFonts w:ascii="宋体" w:hAnsi="宋体"/>
                <w:color w:val="auto"/>
                <w:szCs w:val="21"/>
                <w:highlight w:val="none"/>
              </w:rPr>
            </w:pPr>
            <w:r>
              <w:rPr>
                <w:rFonts w:hint="eastAsia" w:ascii="宋体" w:hAnsi="宋体"/>
                <w:color w:val="auto"/>
                <w:szCs w:val="21"/>
                <w:highlight w:val="none"/>
              </w:rPr>
              <w:t>年龄</w:t>
            </w:r>
          </w:p>
        </w:tc>
        <w:tc>
          <w:tcPr>
            <w:tcW w:w="1030" w:type="pct"/>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19" w:type="pct"/>
            <w:vAlign w:val="center"/>
          </w:tcPr>
          <w:p>
            <w:pPr>
              <w:jc w:val="center"/>
              <w:rPr>
                <w:rFonts w:ascii="宋体" w:hAnsi="宋体"/>
                <w:color w:val="auto"/>
                <w:szCs w:val="21"/>
                <w:highlight w:val="none"/>
              </w:rPr>
            </w:pPr>
            <w:r>
              <w:rPr>
                <w:rFonts w:hint="eastAsia" w:ascii="宋体" w:hAnsi="宋体"/>
                <w:color w:val="auto"/>
                <w:szCs w:val="21"/>
                <w:highlight w:val="none"/>
              </w:rPr>
              <w:t>职务</w:t>
            </w:r>
          </w:p>
        </w:tc>
        <w:tc>
          <w:tcPr>
            <w:tcW w:w="1493" w:type="pct"/>
            <w:gridSpan w:val="4"/>
            <w:vAlign w:val="center"/>
          </w:tcPr>
          <w:p>
            <w:pPr>
              <w:jc w:val="center"/>
              <w:rPr>
                <w:rFonts w:ascii="宋体" w:hAnsi="宋体"/>
                <w:color w:val="auto"/>
                <w:szCs w:val="21"/>
                <w:highlight w:val="none"/>
              </w:rPr>
            </w:pPr>
          </w:p>
        </w:tc>
        <w:tc>
          <w:tcPr>
            <w:tcW w:w="480" w:type="pct"/>
            <w:vAlign w:val="center"/>
          </w:tcPr>
          <w:p>
            <w:pPr>
              <w:jc w:val="center"/>
              <w:rPr>
                <w:rFonts w:ascii="宋体" w:hAnsi="宋体"/>
                <w:color w:val="auto"/>
                <w:szCs w:val="21"/>
                <w:highlight w:val="none"/>
              </w:rPr>
            </w:pPr>
            <w:r>
              <w:rPr>
                <w:rFonts w:hint="eastAsia" w:ascii="宋体" w:hAnsi="宋体"/>
                <w:color w:val="auto"/>
                <w:szCs w:val="21"/>
                <w:highlight w:val="none"/>
              </w:rPr>
              <w:t>职称</w:t>
            </w:r>
          </w:p>
        </w:tc>
        <w:tc>
          <w:tcPr>
            <w:tcW w:w="962" w:type="pct"/>
            <w:gridSpan w:val="3"/>
            <w:vAlign w:val="center"/>
          </w:tcPr>
          <w:p>
            <w:pPr>
              <w:jc w:val="center"/>
              <w:rPr>
                <w:rFonts w:ascii="宋体" w:hAnsi="宋体"/>
                <w:color w:val="auto"/>
                <w:szCs w:val="21"/>
                <w:highlight w:val="none"/>
              </w:rPr>
            </w:pPr>
          </w:p>
        </w:tc>
        <w:tc>
          <w:tcPr>
            <w:tcW w:w="617" w:type="pct"/>
            <w:gridSpan w:val="2"/>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1030" w:type="pct"/>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vAlign w:val="center"/>
          </w:tcPr>
          <w:p>
            <w:pPr>
              <w:jc w:val="center"/>
              <w:rPr>
                <w:rFonts w:ascii="宋体" w:hAnsi="宋体"/>
                <w:color w:val="auto"/>
                <w:szCs w:val="21"/>
                <w:highlight w:val="none"/>
              </w:rPr>
            </w:pPr>
            <w:r>
              <w:rPr>
                <w:rFonts w:hint="eastAsia" w:ascii="宋体" w:hAnsi="宋体"/>
                <w:color w:val="auto"/>
                <w:szCs w:val="21"/>
                <w:highlight w:val="none"/>
              </w:rPr>
              <w:t>参加工作时间</w:t>
            </w:r>
          </w:p>
        </w:tc>
        <w:tc>
          <w:tcPr>
            <w:tcW w:w="1081" w:type="pct"/>
            <w:gridSpan w:val="4"/>
            <w:vAlign w:val="center"/>
          </w:tcPr>
          <w:p>
            <w:pPr>
              <w:jc w:val="center"/>
              <w:rPr>
                <w:rFonts w:ascii="宋体" w:hAnsi="宋体"/>
                <w:color w:val="auto"/>
                <w:szCs w:val="21"/>
                <w:highlight w:val="none"/>
              </w:rPr>
            </w:pPr>
          </w:p>
        </w:tc>
        <w:tc>
          <w:tcPr>
            <w:tcW w:w="1502" w:type="pct"/>
            <w:gridSpan w:val="5"/>
            <w:vAlign w:val="center"/>
          </w:tcPr>
          <w:p>
            <w:pPr>
              <w:jc w:val="center"/>
              <w:rPr>
                <w:rFonts w:ascii="宋体" w:hAnsi="宋体"/>
                <w:color w:val="auto"/>
                <w:szCs w:val="21"/>
                <w:highlight w:val="none"/>
              </w:rPr>
            </w:pPr>
            <w:r>
              <w:rPr>
                <w:rFonts w:hint="eastAsia" w:ascii="宋体" w:hAnsi="宋体"/>
                <w:color w:val="auto"/>
                <w:szCs w:val="21"/>
                <w:highlight w:val="none"/>
              </w:rPr>
              <w:t>相关经验年限</w:t>
            </w:r>
          </w:p>
        </w:tc>
        <w:tc>
          <w:tcPr>
            <w:tcW w:w="796" w:type="pct"/>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1" w:type="pct"/>
            <w:gridSpan w:val="3"/>
            <w:vAlign w:val="center"/>
          </w:tcPr>
          <w:p>
            <w:pPr>
              <w:jc w:val="center"/>
              <w:rPr>
                <w:rFonts w:ascii="宋体" w:hAnsi="宋体"/>
                <w:color w:val="auto"/>
                <w:szCs w:val="21"/>
                <w:highlight w:val="none"/>
              </w:rPr>
            </w:pPr>
            <w:r>
              <w:rPr>
                <w:rFonts w:hint="eastAsia" w:ascii="宋体" w:hAnsi="宋体"/>
                <w:color w:val="auto"/>
                <w:szCs w:val="21"/>
                <w:highlight w:val="none"/>
              </w:rPr>
              <w:t>资格证书名称、编号</w:t>
            </w:r>
          </w:p>
        </w:tc>
        <w:tc>
          <w:tcPr>
            <w:tcW w:w="3379" w:type="pct"/>
            <w:gridSpan w:val="1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3"/>
            <w:vAlign w:val="center"/>
          </w:tcPr>
          <w:p>
            <w:pPr>
              <w:jc w:val="center"/>
              <w:rPr>
                <w:rFonts w:ascii="宋体" w:hAnsi="宋体"/>
                <w:color w:val="auto"/>
                <w:szCs w:val="21"/>
                <w:highlight w:val="none"/>
              </w:rPr>
            </w:pPr>
            <w:r>
              <w:rPr>
                <w:rFonts w:hint="eastAsia" w:ascii="宋体" w:hAnsi="宋体"/>
                <w:color w:val="auto"/>
                <w:szCs w:val="21"/>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pct"/>
            <w:gridSpan w:val="2"/>
            <w:vAlign w:val="center"/>
          </w:tcPr>
          <w:p>
            <w:pPr>
              <w:jc w:val="center"/>
              <w:rPr>
                <w:rFonts w:ascii="宋体" w:hAnsi="宋体"/>
                <w:color w:val="auto"/>
                <w:szCs w:val="21"/>
                <w:highlight w:val="none"/>
              </w:rPr>
            </w:pPr>
            <w:r>
              <w:rPr>
                <w:rFonts w:hint="eastAsia" w:ascii="宋体" w:hAnsi="宋体"/>
                <w:color w:val="auto"/>
                <w:szCs w:val="21"/>
                <w:highlight w:val="none"/>
              </w:rPr>
              <w:t>采购人</w:t>
            </w:r>
          </w:p>
        </w:tc>
        <w:tc>
          <w:tcPr>
            <w:tcW w:w="962" w:type="pct"/>
            <w:gridSpan w:val="2"/>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903" w:type="pct"/>
            <w:gridSpan w:val="4"/>
            <w:vAlign w:val="center"/>
          </w:tcPr>
          <w:p>
            <w:pPr>
              <w:jc w:val="center"/>
              <w:rPr>
                <w:rFonts w:ascii="宋体" w:hAnsi="宋体"/>
                <w:color w:val="auto"/>
                <w:szCs w:val="21"/>
                <w:highlight w:val="none"/>
              </w:rPr>
            </w:pPr>
            <w:r>
              <w:rPr>
                <w:rFonts w:hint="eastAsia" w:ascii="宋体" w:hAnsi="宋体"/>
                <w:color w:val="auto"/>
                <w:szCs w:val="21"/>
                <w:highlight w:val="none"/>
              </w:rPr>
              <w:t>项目规模</w:t>
            </w:r>
          </w:p>
        </w:tc>
        <w:tc>
          <w:tcPr>
            <w:tcW w:w="892" w:type="pct"/>
            <w:gridSpan w:val="2"/>
            <w:vAlign w:val="center"/>
          </w:tcPr>
          <w:p>
            <w:pPr>
              <w:jc w:val="center"/>
              <w:rPr>
                <w:rFonts w:ascii="宋体" w:hAnsi="宋体"/>
                <w:color w:val="auto"/>
                <w:szCs w:val="21"/>
                <w:highlight w:val="none"/>
              </w:rPr>
            </w:pPr>
            <w:r>
              <w:rPr>
                <w:rFonts w:hint="eastAsia" w:ascii="宋体" w:hAnsi="宋体"/>
                <w:color w:val="auto"/>
                <w:szCs w:val="21"/>
                <w:highlight w:val="none"/>
              </w:rPr>
              <w:t>所任职务</w:t>
            </w:r>
          </w:p>
        </w:tc>
        <w:tc>
          <w:tcPr>
            <w:tcW w:w="1399" w:type="pct"/>
            <w:gridSpan w:val="3"/>
            <w:vAlign w:val="center"/>
          </w:tcPr>
          <w:p>
            <w:pPr>
              <w:jc w:val="center"/>
              <w:rPr>
                <w:rFonts w:ascii="宋体" w:hAnsi="宋体"/>
                <w:color w:val="auto"/>
                <w:szCs w:val="21"/>
                <w:highlight w:val="none"/>
              </w:rPr>
            </w:pPr>
            <w:r>
              <w:rPr>
                <w:rFonts w:hint="eastAsia" w:ascii="宋体" w:hAnsi="宋体"/>
                <w:color w:val="auto"/>
                <w:szCs w:val="21"/>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宋体" w:hAnsi="宋体"/>
                <w:color w:val="auto"/>
                <w:szCs w:val="21"/>
                <w:highlight w:val="none"/>
              </w:rPr>
            </w:pPr>
          </w:p>
        </w:tc>
        <w:tc>
          <w:tcPr>
            <w:tcW w:w="962" w:type="pct"/>
            <w:gridSpan w:val="2"/>
            <w:vAlign w:val="center"/>
          </w:tcPr>
          <w:p>
            <w:pPr>
              <w:jc w:val="center"/>
              <w:rPr>
                <w:rFonts w:ascii="宋体" w:hAnsi="宋体"/>
                <w:color w:val="auto"/>
                <w:szCs w:val="21"/>
                <w:highlight w:val="none"/>
              </w:rPr>
            </w:pPr>
          </w:p>
        </w:tc>
        <w:tc>
          <w:tcPr>
            <w:tcW w:w="903" w:type="pct"/>
            <w:gridSpan w:val="4"/>
            <w:vAlign w:val="center"/>
          </w:tcPr>
          <w:p>
            <w:pPr>
              <w:jc w:val="center"/>
              <w:rPr>
                <w:rFonts w:ascii="宋体" w:hAnsi="宋体"/>
                <w:color w:val="auto"/>
                <w:szCs w:val="21"/>
                <w:highlight w:val="none"/>
              </w:rPr>
            </w:pPr>
          </w:p>
        </w:tc>
        <w:tc>
          <w:tcPr>
            <w:tcW w:w="892" w:type="pct"/>
            <w:gridSpan w:val="2"/>
            <w:vAlign w:val="center"/>
          </w:tcPr>
          <w:p>
            <w:pPr>
              <w:jc w:val="center"/>
              <w:rPr>
                <w:rFonts w:ascii="宋体" w:hAnsi="宋体"/>
                <w:color w:val="auto"/>
                <w:szCs w:val="21"/>
                <w:highlight w:val="none"/>
              </w:rPr>
            </w:pPr>
          </w:p>
        </w:tc>
        <w:tc>
          <w:tcPr>
            <w:tcW w:w="1399" w:type="pct"/>
            <w:gridSpan w:val="3"/>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宋体" w:hAnsi="宋体"/>
                <w:color w:val="auto"/>
                <w:szCs w:val="21"/>
                <w:highlight w:val="none"/>
              </w:rPr>
            </w:pPr>
          </w:p>
        </w:tc>
        <w:tc>
          <w:tcPr>
            <w:tcW w:w="962" w:type="pct"/>
            <w:gridSpan w:val="2"/>
            <w:vAlign w:val="center"/>
          </w:tcPr>
          <w:p>
            <w:pPr>
              <w:jc w:val="center"/>
              <w:rPr>
                <w:rFonts w:ascii="宋体" w:hAnsi="宋体"/>
                <w:color w:val="auto"/>
                <w:szCs w:val="21"/>
                <w:highlight w:val="none"/>
              </w:rPr>
            </w:pPr>
          </w:p>
        </w:tc>
        <w:tc>
          <w:tcPr>
            <w:tcW w:w="903" w:type="pct"/>
            <w:gridSpan w:val="4"/>
            <w:vAlign w:val="center"/>
          </w:tcPr>
          <w:p>
            <w:pPr>
              <w:jc w:val="center"/>
              <w:rPr>
                <w:rFonts w:ascii="宋体" w:hAnsi="宋体"/>
                <w:color w:val="auto"/>
                <w:szCs w:val="21"/>
                <w:highlight w:val="none"/>
              </w:rPr>
            </w:pPr>
          </w:p>
        </w:tc>
        <w:tc>
          <w:tcPr>
            <w:tcW w:w="892" w:type="pct"/>
            <w:gridSpan w:val="2"/>
            <w:vAlign w:val="center"/>
          </w:tcPr>
          <w:p>
            <w:pPr>
              <w:jc w:val="center"/>
              <w:rPr>
                <w:rFonts w:ascii="宋体" w:hAnsi="宋体"/>
                <w:color w:val="auto"/>
                <w:szCs w:val="21"/>
                <w:highlight w:val="none"/>
              </w:rPr>
            </w:pPr>
          </w:p>
        </w:tc>
        <w:tc>
          <w:tcPr>
            <w:tcW w:w="1399" w:type="pct"/>
            <w:gridSpan w:val="3"/>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宋体" w:hAnsi="宋体"/>
                <w:color w:val="auto"/>
                <w:szCs w:val="21"/>
                <w:highlight w:val="none"/>
              </w:rPr>
            </w:pPr>
          </w:p>
        </w:tc>
        <w:tc>
          <w:tcPr>
            <w:tcW w:w="962" w:type="pct"/>
            <w:gridSpan w:val="2"/>
            <w:vAlign w:val="center"/>
          </w:tcPr>
          <w:p>
            <w:pPr>
              <w:jc w:val="center"/>
              <w:rPr>
                <w:rFonts w:ascii="宋体" w:hAnsi="宋体"/>
                <w:color w:val="auto"/>
                <w:szCs w:val="21"/>
                <w:highlight w:val="none"/>
              </w:rPr>
            </w:pPr>
          </w:p>
        </w:tc>
        <w:tc>
          <w:tcPr>
            <w:tcW w:w="903" w:type="pct"/>
            <w:gridSpan w:val="4"/>
            <w:vAlign w:val="center"/>
          </w:tcPr>
          <w:p>
            <w:pPr>
              <w:jc w:val="center"/>
              <w:rPr>
                <w:rFonts w:ascii="宋体" w:hAnsi="宋体"/>
                <w:color w:val="auto"/>
                <w:szCs w:val="21"/>
                <w:highlight w:val="none"/>
              </w:rPr>
            </w:pPr>
          </w:p>
        </w:tc>
        <w:tc>
          <w:tcPr>
            <w:tcW w:w="892" w:type="pct"/>
            <w:gridSpan w:val="2"/>
            <w:vAlign w:val="center"/>
          </w:tcPr>
          <w:p>
            <w:pPr>
              <w:jc w:val="center"/>
              <w:rPr>
                <w:rFonts w:ascii="宋体" w:hAnsi="宋体"/>
                <w:color w:val="auto"/>
                <w:szCs w:val="21"/>
                <w:highlight w:val="none"/>
              </w:rPr>
            </w:pPr>
          </w:p>
        </w:tc>
        <w:tc>
          <w:tcPr>
            <w:tcW w:w="1399" w:type="pct"/>
            <w:gridSpan w:val="3"/>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宋体" w:hAnsi="宋体"/>
                <w:color w:val="auto"/>
                <w:szCs w:val="21"/>
                <w:highlight w:val="none"/>
              </w:rPr>
            </w:pPr>
          </w:p>
        </w:tc>
        <w:tc>
          <w:tcPr>
            <w:tcW w:w="962" w:type="pct"/>
            <w:gridSpan w:val="2"/>
            <w:vAlign w:val="center"/>
          </w:tcPr>
          <w:p>
            <w:pPr>
              <w:jc w:val="center"/>
              <w:rPr>
                <w:rFonts w:ascii="宋体" w:hAnsi="宋体"/>
                <w:color w:val="auto"/>
                <w:szCs w:val="21"/>
                <w:highlight w:val="none"/>
              </w:rPr>
            </w:pPr>
          </w:p>
        </w:tc>
        <w:tc>
          <w:tcPr>
            <w:tcW w:w="903" w:type="pct"/>
            <w:gridSpan w:val="4"/>
            <w:vAlign w:val="center"/>
          </w:tcPr>
          <w:p>
            <w:pPr>
              <w:jc w:val="center"/>
              <w:rPr>
                <w:rFonts w:ascii="宋体" w:hAnsi="宋体"/>
                <w:color w:val="auto"/>
                <w:szCs w:val="21"/>
                <w:highlight w:val="none"/>
              </w:rPr>
            </w:pPr>
          </w:p>
        </w:tc>
        <w:tc>
          <w:tcPr>
            <w:tcW w:w="892" w:type="pct"/>
            <w:gridSpan w:val="2"/>
            <w:vAlign w:val="center"/>
          </w:tcPr>
          <w:p>
            <w:pPr>
              <w:jc w:val="center"/>
              <w:rPr>
                <w:rFonts w:ascii="宋体" w:hAnsi="宋体"/>
                <w:color w:val="auto"/>
                <w:szCs w:val="21"/>
                <w:highlight w:val="none"/>
              </w:rPr>
            </w:pPr>
          </w:p>
        </w:tc>
        <w:tc>
          <w:tcPr>
            <w:tcW w:w="1399" w:type="pct"/>
            <w:gridSpan w:val="3"/>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宋体" w:hAnsi="宋体"/>
                <w:color w:val="auto"/>
                <w:szCs w:val="21"/>
                <w:highlight w:val="none"/>
              </w:rPr>
            </w:pPr>
          </w:p>
        </w:tc>
        <w:tc>
          <w:tcPr>
            <w:tcW w:w="962" w:type="pct"/>
            <w:gridSpan w:val="2"/>
            <w:vAlign w:val="center"/>
          </w:tcPr>
          <w:p>
            <w:pPr>
              <w:jc w:val="center"/>
              <w:rPr>
                <w:rFonts w:ascii="宋体" w:hAnsi="宋体"/>
                <w:color w:val="auto"/>
                <w:szCs w:val="21"/>
                <w:highlight w:val="none"/>
              </w:rPr>
            </w:pPr>
          </w:p>
        </w:tc>
        <w:tc>
          <w:tcPr>
            <w:tcW w:w="903" w:type="pct"/>
            <w:gridSpan w:val="4"/>
            <w:vAlign w:val="center"/>
          </w:tcPr>
          <w:p>
            <w:pPr>
              <w:jc w:val="center"/>
              <w:rPr>
                <w:rFonts w:ascii="宋体" w:hAnsi="宋体"/>
                <w:color w:val="auto"/>
                <w:szCs w:val="21"/>
                <w:highlight w:val="none"/>
              </w:rPr>
            </w:pPr>
          </w:p>
        </w:tc>
        <w:tc>
          <w:tcPr>
            <w:tcW w:w="892" w:type="pct"/>
            <w:gridSpan w:val="2"/>
            <w:vAlign w:val="center"/>
          </w:tcPr>
          <w:p>
            <w:pPr>
              <w:jc w:val="center"/>
              <w:rPr>
                <w:rFonts w:ascii="宋体" w:hAnsi="宋体"/>
                <w:color w:val="auto"/>
                <w:szCs w:val="21"/>
                <w:highlight w:val="none"/>
              </w:rPr>
            </w:pPr>
          </w:p>
        </w:tc>
        <w:tc>
          <w:tcPr>
            <w:tcW w:w="1399" w:type="pct"/>
            <w:gridSpan w:val="3"/>
            <w:vAlign w:val="center"/>
          </w:tcPr>
          <w:p>
            <w:pPr>
              <w:jc w:val="center"/>
              <w:rPr>
                <w:rFonts w:ascii="宋体" w:hAnsi="宋体"/>
                <w:color w:val="auto"/>
                <w:szCs w:val="21"/>
                <w:highlight w:val="none"/>
              </w:rPr>
            </w:pPr>
          </w:p>
        </w:tc>
      </w:tr>
    </w:tbl>
    <w:p>
      <w:pPr>
        <w:widowControl/>
        <w:spacing w:before="624" w:beforeLines="200" w:line="30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供应商名称</w:t>
      </w:r>
      <w:r>
        <w:rPr>
          <w:rFonts w:hint="eastAsia" w:ascii="宋体" w:hAnsi="宋体"/>
          <w:color w:val="auto"/>
          <w:szCs w:val="21"/>
          <w:highlight w:val="none"/>
        </w:rPr>
        <w:t>（加盖公章）</w:t>
      </w:r>
      <w:r>
        <w:rPr>
          <w:rFonts w:ascii="宋体" w:hAnsi="宋体"/>
          <w:color w:val="auto"/>
          <w:kern w:val="0"/>
          <w:szCs w:val="21"/>
          <w:highlight w:val="none"/>
          <w:lang w:eastAsia="zh-Hans"/>
        </w:rPr>
        <w:t>：__________________</w:t>
      </w:r>
    </w:p>
    <w:p>
      <w:pPr>
        <w:widowControl/>
        <w:spacing w:line="30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 xml:space="preserve">日期：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年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月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日</w:t>
      </w:r>
    </w:p>
    <w:p>
      <w:pPr>
        <w:pageBreakBefore/>
        <w:rPr>
          <w:color w:val="auto"/>
          <w:kern w:val="0"/>
          <w:sz w:val="20"/>
          <w:szCs w:val="20"/>
          <w:highlight w:val="none"/>
        </w:rPr>
      </w:pPr>
      <w:bookmarkStart w:id="63" w:name="_Toc169799799"/>
      <w:r>
        <w:rPr>
          <w:rFonts w:ascii="宋体" w:hAnsi="宋体"/>
          <w:b/>
          <w:bCs/>
          <w:color w:val="auto"/>
          <w:sz w:val="24"/>
          <w:szCs w:val="28"/>
          <w:highlight w:val="none"/>
        </w:rPr>
        <w:t>格式十</w:t>
      </w:r>
      <w:r>
        <w:rPr>
          <w:rFonts w:hint="eastAsia" w:ascii="宋体" w:hAnsi="宋体"/>
          <w:b/>
          <w:bCs/>
          <w:color w:val="auto"/>
          <w:sz w:val="24"/>
          <w:szCs w:val="28"/>
          <w:highlight w:val="none"/>
        </w:rPr>
        <w:t>六</w:t>
      </w:r>
      <w:r>
        <w:rPr>
          <w:rFonts w:ascii="宋体" w:hAnsi="宋体"/>
          <w:b/>
          <w:bCs/>
          <w:color w:val="auto"/>
          <w:sz w:val="24"/>
          <w:szCs w:val="28"/>
          <w:highlight w:val="none"/>
        </w:rPr>
        <w:t>：</w:t>
      </w:r>
      <w:bookmarkEnd w:id="63"/>
    </w:p>
    <w:p>
      <w:pPr>
        <w:widowControl/>
        <w:spacing w:after="156" w:afterLines="50"/>
        <w:jc w:val="center"/>
        <w:outlineLvl w:val="3"/>
        <w:rPr>
          <w:color w:val="auto"/>
          <w:kern w:val="0"/>
          <w:sz w:val="20"/>
          <w:szCs w:val="20"/>
          <w:highlight w:val="none"/>
          <w:lang w:eastAsia="zh-Hans"/>
        </w:rPr>
      </w:pPr>
      <w:r>
        <w:rPr>
          <w:b/>
          <w:color w:val="auto"/>
          <w:kern w:val="0"/>
          <w:sz w:val="32"/>
          <w:highlight w:val="none"/>
          <w:lang w:eastAsia="zh-Hans"/>
        </w:rPr>
        <w:t>供应商业绩情况表</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1195"/>
        <w:gridCol w:w="1436"/>
        <w:gridCol w:w="1293"/>
        <w:gridCol w:w="1120"/>
        <w:gridCol w:w="1423"/>
        <w:gridCol w:w="21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vAlign w:val="center"/>
          </w:tcPr>
          <w:p>
            <w:pPr>
              <w:widowControl/>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序号</w:t>
            </w:r>
          </w:p>
        </w:tc>
        <w:tc>
          <w:tcPr>
            <w:tcW w:w="644" w:type="pct"/>
            <w:vAlign w:val="center"/>
          </w:tcPr>
          <w:p>
            <w:pPr>
              <w:widowControl/>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客户名称</w:t>
            </w:r>
          </w:p>
        </w:tc>
        <w:tc>
          <w:tcPr>
            <w:tcW w:w="773" w:type="pct"/>
            <w:vAlign w:val="center"/>
          </w:tcPr>
          <w:p>
            <w:pPr>
              <w:widowControl/>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项目名称</w:t>
            </w:r>
          </w:p>
        </w:tc>
        <w:tc>
          <w:tcPr>
            <w:tcW w:w="696" w:type="pct"/>
            <w:vAlign w:val="center"/>
          </w:tcPr>
          <w:p>
            <w:pPr>
              <w:widowControl/>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及合同金额（万元）</w:t>
            </w:r>
          </w:p>
        </w:tc>
        <w:tc>
          <w:tcPr>
            <w:tcW w:w="603" w:type="pct"/>
          </w:tcPr>
          <w:p>
            <w:pPr>
              <w:widowControl/>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签订合同时间</w:t>
            </w:r>
          </w:p>
        </w:tc>
        <w:tc>
          <w:tcPr>
            <w:tcW w:w="766" w:type="pct"/>
            <w:vAlign w:val="center"/>
          </w:tcPr>
          <w:p>
            <w:pPr>
              <w:widowControl/>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竣工验收报告时间</w:t>
            </w:r>
          </w:p>
        </w:tc>
        <w:tc>
          <w:tcPr>
            <w:tcW w:w="1165" w:type="pct"/>
            <w:vAlign w:val="center"/>
          </w:tcPr>
          <w:p>
            <w:pPr>
              <w:widowControl/>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1</w:t>
            </w:r>
          </w:p>
        </w:tc>
        <w:tc>
          <w:tcPr>
            <w:tcW w:w="644" w:type="pct"/>
          </w:tcPr>
          <w:p>
            <w:pPr>
              <w:rPr>
                <w:rFonts w:ascii="宋体" w:hAnsi="宋体"/>
                <w:color w:val="auto"/>
                <w:szCs w:val="21"/>
                <w:highlight w:val="none"/>
              </w:rPr>
            </w:pPr>
          </w:p>
        </w:tc>
        <w:tc>
          <w:tcPr>
            <w:tcW w:w="773" w:type="pct"/>
          </w:tcPr>
          <w:p>
            <w:pPr>
              <w:rPr>
                <w:rFonts w:ascii="宋体" w:hAnsi="宋体"/>
                <w:color w:val="auto"/>
                <w:szCs w:val="21"/>
                <w:highlight w:val="none"/>
              </w:rPr>
            </w:pPr>
          </w:p>
        </w:tc>
        <w:tc>
          <w:tcPr>
            <w:tcW w:w="696" w:type="pct"/>
          </w:tcPr>
          <w:p>
            <w:pPr>
              <w:rPr>
                <w:rFonts w:ascii="宋体" w:hAnsi="宋体"/>
                <w:color w:val="auto"/>
                <w:szCs w:val="21"/>
                <w:highlight w:val="none"/>
              </w:rPr>
            </w:pPr>
          </w:p>
        </w:tc>
        <w:tc>
          <w:tcPr>
            <w:tcW w:w="603" w:type="pct"/>
          </w:tcPr>
          <w:p>
            <w:pPr>
              <w:rPr>
                <w:rFonts w:ascii="宋体" w:hAnsi="宋体"/>
                <w:color w:val="auto"/>
                <w:szCs w:val="21"/>
                <w:highlight w:val="none"/>
              </w:rPr>
            </w:pPr>
          </w:p>
        </w:tc>
        <w:tc>
          <w:tcPr>
            <w:tcW w:w="766" w:type="pct"/>
          </w:tcPr>
          <w:p>
            <w:pPr>
              <w:rPr>
                <w:rFonts w:ascii="宋体" w:hAnsi="宋体"/>
                <w:color w:val="auto"/>
                <w:szCs w:val="21"/>
                <w:highlight w:val="none"/>
              </w:rPr>
            </w:pPr>
          </w:p>
        </w:tc>
        <w:tc>
          <w:tcPr>
            <w:tcW w:w="1165" w:type="pct"/>
          </w:tcPr>
          <w:p>
            <w:pP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2</w:t>
            </w:r>
          </w:p>
        </w:tc>
        <w:tc>
          <w:tcPr>
            <w:tcW w:w="644" w:type="pct"/>
          </w:tcPr>
          <w:p>
            <w:pPr>
              <w:rPr>
                <w:rFonts w:ascii="宋体" w:hAnsi="宋体"/>
                <w:color w:val="auto"/>
                <w:szCs w:val="21"/>
                <w:highlight w:val="none"/>
              </w:rPr>
            </w:pPr>
          </w:p>
        </w:tc>
        <w:tc>
          <w:tcPr>
            <w:tcW w:w="773" w:type="pct"/>
          </w:tcPr>
          <w:p>
            <w:pPr>
              <w:rPr>
                <w:rFonts w:ascii="宋体" w:hAnsi="宋体"/>
                <w:color w:val="auto"/>
                <w:szCs w:val="21"/>
                <w:highlight w:val="none"/>
              </w:rPr>
            </w:pPr>
          </w:p>
        </w:tc>
        <w:tc>
          <w:tcPr>
            <w:tcW w:w="696" w:type="pct"/>
          </w:tcPr>
          <w:p>
            <w:pPr>
              <w:rPr>
                <w:rFonts w:ascii="宋体" w:hAnsi="宋体"/>
                <w:color w:val="auto"/>
                <w:szCs w:val="21"/>
                <w:highlight w:val="none"/>
              </w:rPr>
            </w:pPr>
          </w:p>
        </w:tc>
        <w:tc>
          <w:tcPr>
            <w:tcW w:w="603" w:type="pct"/>
          </w:tcPr>
          <w:p>
            <w:pPr>
              <w:rPr>
                <w:rFonts w:ascii="宋体" w:hAnsi="宋体"/>
                <w:color w:val="auto"/>
                <w:szCs w:val="21"/>
                <w:highlight w:val="none"/>
              </w:rPr>
            </w:pPr>
          </w:p>
        </w:tc>
        <w:tc>
          <w:tcPr>
            <w:tcW w:w="766" w:type="pct"/>
          </w:tcPr>
          <w:p>
            <w:pPr>
              <w:rPr>
                <w:rFonts w:ascii="宋体" w:hAnsi="宋体"/>
                <w:color w:val="auto"/>
                <w:szCs w:val="21"/>
                <w:highlight w:val="none"/>
              </w:rPr>
            </w:pPr>
          </w:p>
        </w:tc>
        <w:tc>
          <w:tcPr>
            <w:tcW w:w="1165" w:type="pct"/>
          </w:tcPr>
          <w:p>
            <w:pP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3</w:t>
            </w:r>
          </w:p>
        </w:tc>
        <w:tc>
          <w:tcPr>
            <w:tcW w:w="644" w:type="pct"/>
          </w:tcPr>
          <w:p>
            <w:pPr>
              <w:rPr>
                <w:rFonts w:ascii="宋体" w:hAnsi="宋体"/>
                <w:color w:val="auto"/>
                <w:szCs w:val="21"/>
                <w:highlight w:val="none"/>
              </w:rPr>
            </w:pPr>
          </w:p>
        </w:tc>
        <w:tc>
          <w:tcPr>
            <w:tcW w:w="773" w:type="pct"/>
          </w:tcPr>
          <w:p>
            <w:pPr>
              <w:rPr>
                <w:rFonts w:ascii="宋体" w:hAnsi="宋体"/>
                <w:color w:val="auto"/>
                <w:szCs w:val="21"/>
                <w:highlight w:val="none"/>
              </w:rPr>
            </w:pPr>
          </w:p>
        </w:tc>
        <w:tc>
          <w:tcPr>
            <w:tcW w:w="696" w:type="pct"/>
          </w:tcPr>
          <w:p>
            <w:pPr>
              <w:rPr>
                <w:rFonts w:ascii="宋体" w:hAnsi="宋体"/>
                <w:color w:val="auto"/>
                <w:szCs w:val="21"/>
                <w:highlight w:val="none"/>
              </w:rPr>
            </w:pPr>
          </w:p>
        </w:tc>
        <w:tc>
          <w:tcPr>
            <w:tcW w:w="603" w:type="pct"/>
          </w:tcPr>
          <w:p>
            <w:pPr>
              <w:rPr>
                <w:rFonts w:ascii="宋体" w:hAnsi="宋体"/>
                <w:color w:val="auto"/>
                <w:szCs w:val="21"/>
                <w:highlight w:val="none"/>
              </w:rPr>
            </w:pPr>
          </w:p>
        </w:tc>
        <w:tc>
          <w:tcPr>
            <w:tcW w:w="766" w:type="pct"/>
          </w:tcPr>
          <w:p>
            <w:pPr>
              <w:rPr>
                <w:rFonts w:ascii="宋体" w:hAnsi="宋体"/>
                <w:color w:val="auto"/>
                <w:szCs w:val="21"/>
                <w:highlight w:val="none"/>
              </w:rPr>
            </w:pPr>
          </w:p>
        </w:tc>
        <w:tc>
          <w:tcPr>
            <w:tcW w:w="1165" w:type="pct"/>
          </w:tcPr>
          <w:p>
            <w:pP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4</w:t>
            </w:r>
          </w:p>
        </w:tc>
        <w:tc>
          <w:tcPr>
            <w:tcW w:w="644" w:type="pct"/>
          </w:tcPr>
          <w:p>
            <w:pPr>
              <w:rPr>
                <w:rFonts w:ascii="宋体" w:hAnsi="宋体"/>
                <w:color w:val="auto"/>
                <w:szCs w:val="21"/>
                <w:highlight w:val="none"/>
              </w:rPr>
            </w:pPr>
          </w:p>
        </w:tc>
        <w:tc>
          <w:tcPr>
            <w:tcW w:w="773" w:type="pct"/>
          </w:tcPr>
          <w:p>
            <w:pPr>
              <w:rPr>
                <w:rFonts w:ascii="宋体" w:hAnsi="宋体"/>
                <w:color w:val="auto"/>
                <w:szCs w:val="21"/>
                <w:highlight w:val="none"/>
              </w:rPr>
            </w:pPr>
          </w:p>
        </w:tc>
        <w:tc>
          <w:tcPr>
            <w:tcW w:w="696" w:type="pct"/>
          </w:tcPr>
          <w:p>
            <w:pPr>
              <w:rPr>
                <w:rFonts w:ascii="宋体" w:hAnsi="宋体"/>
                <w:color w:val="auto"/>
                <w:szCs w:val="21"/>
                <w:highlight w:val="none"/>
              </w:rPr>
            </w:pPr>
          </w:p>
        </w:tc>
        <w:tc>
          <w:tcPr>
            <w:tcW w:w="603" w:type="pct"/>
          </w:tcPr>
          <w:p>
            <w:pPr>
              <w:rPr>
                <w:rFonts w:ascii="宋体" w:hAnsi="宋体"/>
                <w:color w:val="auto"/>
                <w:szCs w:val="21"/>
                <w:highlight w:val="none"/>
              </w:rPr>
            </w:pPr>
          </w:p>
        </w:tc>
        <w:tc>
          <w:tcPr>
            <w:tcW w:w="766" w:type="pct"/>
          </w:tcPr>
          <w:p>
            <w:pPr>
              <w:rPr>
                <w:rFonts w:ascii="宋体" w:hAnsi="宋体"/>
                <w:color w:val="auto"/>
                <w:szCs w:val="21"/>
                <w:highlight w:val="none"/>
              </w:rPr>
            </w:pPr>
          </w:p>
        </w:tc>
        <w:tc>
          <w:tcPr>
            <w:tcW w:w="1165" w:type="pct"/>
          </w:tcPr>
          <w:p>
            <w:pP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3"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w:t>
            </w:r>
          </w:p>
        </w:tc>
        <w:tc>
          <w:tcPr>
            <w:tcW w:w="644" w:type="pct"/>
          </w:tcPr>
          <w:p>
            <w:pPr>
              <w:rPr>
                <w:rFonts w:ascii="宋体" w:hAnsi="宋体"/>
                <w:color w:val="auto"/>
                <w:szCs w:val="21"/>
                <w:highlight w:val="none"/>
              </w:rPr>
            </w:pPr>
          </w:p>
        </w:tc>
        <w:tc>
          <w:tcPr>
            <w:tcW w:w="773" w:type="pct"/>
          </w:tcPr>
          <w:p>
            <w:pPr>
              <w:rPr>
                <w:rFonts w:ascii="宋体" w:hAnsi="宋体"/>
                <w:color w:val="auto"/>
                <w:szCs w:val="21"/>
                <w:highlight w:val="none"/>
              </w:rPr>
            </w:pPr>
          </w:p>
        </w:tc>
        <w:tc>
          <w:tcPr>
            <w:tcW w:w="696" w:type="pct"/>
          </w:tcPr>
          <w:p>
            <w:pPr>
              <w:rPr>
                <w:rFonts w:ascii="宋体" w:hAnsi="宋体"/>
                <w:color w:val="auto"/>
                <w:szCs w:val="21"/>
                <w:highlight w:val="none"/>
              </w:rPr>
            </w:pPr>
          </w:p>
        </w:tc>
        <w:tc>
          <w:tcPr>
            <w:tcW w:w="603" w:type="pct"/>
          </w:tcPr>
          <w:p>
            <w:pPr>
              <w:rPr>
                <w:rFonts w:ascii="宋体" w:hAnsi="宋体"/>
                <w:color w:val="auto"/>
                <w:szCs w:val="21"/>
                <w:highlight w:val="none"/>
              </w:rPr>
            </w:pPr>
          </w:p>
        </w:tc>
        <w:tc>
          <w:tcPr>
            <w:tcW w:w="766" w:type="pct"/>
          </w:tcPr>
          <w:p>
            <w:pPr>
              <w:rPr>
                <w:rFonts w:ascii="宋体" w:hAnsi="宋体"/>
                <w:color w:val="auto"/>
                <w:szCs w:val="21"/>
                <w:highlight w:val="none"/>
              </w:rPr>
            </w:pPr>
          </w:p>
        </w:tc>
        <w:tc>
          <w:tcPr>
            <w:tcW w:w="1165" w:type="pct"/>
          </w:tcPr>
          <w:p>
            <w:pPr>
              <w:rPr>
                <w:rFonts w:ascii="宋体" w:hAnsi="宋体"/>
                <w:color w:val="auto"/>
                <w:szCs w:val="21"/>
                <w:highlight w:val="none"/>
              </w:rPr>
            </w:pPr>
          </w:p>
        </w:tc>
      </w:tr>
    </w:tbl>
    <w:p>
      <w:pPr>
        <w:widowControl/>
        <w:jc w:val="left"/>
        <w:rPr>
          <w:color w:val="auto"/>
          <w:kern w:val="0"/>
          <w:sz w:val="20"/>
          <w:szCs w:val="20"/>
          <w:highlight w:val="none"/>
          <w:lang w:eastAsia="zh-Hans"/>
        </w:rPr>
      </w:pPr>
      <w:r>
        <w:rPr>
          <w:color w:val="auto"/>
          <w:kern w:val="0"/>
          <w:sz w:val="20"/>
          <w:szCs w:val="20"/>
          <w:highlight w:val="none"/>
          <w:lang w:eastAsia="zh-Hans"/>
        </w:rPr>
        <w:t>根据上述业绩情况，按磋商文件要求附销售或服务合同复印件及评审标准要求的证明材料。</w:t>
      </w:r>
    </w:p>
    <w:p>
      <w:pPr>
        <w:widowControl/>
        <w:jc w:val="left"/>
        <w:rPr>
          <w:color w:val="auto"/>
          <w:kern w:val="0"/>
          <w:sz w:val="20"/>
          <w:szCs w:val="20"/>
          <w:highlight w:val="none"/>
          <w:lang w:eastAsia="zh-Hans"/>
        </w:rPr>
      </w:pPr>
    </w:p>
    <w:p>
      <w:pPr>
        <w:widowControl/>
        <w:jc w:val="left"/>
        <w:rPr>
          <w:color w:val="auto"/>
          <w:kern w:val="0"/>
          <w:sz w:val="20"/>
          <w:szCs w:val="20"/>
          <w:highlight w:val="none"/>
        </w:rPr>
      </w:pPr>
    </w:p>
    <w:p>
      <w:pPr>
        <w:widowControl/>
        <w:spacing w:before="624" w:beforeLines="200" w:line="30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供应商名称</w:t>
      </w:r>
      <w:r>
        <w:rPr>
          <w:rFonts w:hint="eastAsia" w:ascii="宋体" w:hAnsi="宋体"/>
          <w:color w:val="auto"/>
          <w:szCs w:val="21"/>
          <w:highlight w:val="none"/>
        </w:rPr>
        <w:t>（加盖公章）</w:t>
      </w:r>
      <w:r>
        <w:rPr>
          <w:rFonts w:ascii="宋体" w:hAnsi="宋体"/>
          <w:color w:val="auto"/>
          <w:kern w:val="0"/>
          <w:szCs w:val="21"/>
          <w:highlight w:val="none"/>
          <w:lang w:eastAsia="zh-Hans"/>
        </w:rPr>
        <w:t>：__________________</w:t>
      </w:r>
    </w:p>
    <w:p>
      <w:pPr>
        <w:widowControl/>
        <w:jc w:val="left"/>
        <w:rPr>
          <w:color w:val="auto"/>
          <w:kern w:val="0"/>
          <w:sz w:val="20"/>
          <w:szCs w:val="20"/>
          <w:highlight w:val="none"/>
        </w:rPr>
      </w:pPr>
      <w:r>
        <w:rPr>
          <w:rFonts w:ascii="宋体" w:hAnsi="宋体"/>
          <w:color w:val="auto"/>
          <w:kern w:val="0"/>
          <w:szCs w:val="21"/>
          <w:highlight w:val="none"/>
          <w:lang w:eastAsia="zh-Hans"/>
        </w:rPr>
        <w:t xml:space="preserve">日期：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年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月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日</w:t>
      </w:r>
    </w:p>
    <w:p>
      <w:pPr>
        <w:pageBreakBefore/>
        <w:rPr>
          <w:color w:val="auto"/>
          <w:kern w:val="0"/>
          <w:sz w:val="20"/>
          <w:szCs w:val="20"/>
          <w:highlight w:val="none"/>
          <w:lang w:eastAsia="zh-Hans"/>
        </w:rPr>
      </w:pPr>
      <w:bookmarkStart w:id="64" w:name="_Toc169799800"/>
      <w:r>
        <w:rPr>
          <w:rFonts w:ascii="宋体" w:hAnsi="宋体"/>
          <w:b/>
          <w:bCs/>
          <w:color w:val="auto"/>
          <w:sz w:val="24"/>
          <w:szCs w:val="28"/>
          <w:highlight w:val="none"/>
        </w:rPr>
        <w:t>格式十</w:t>
      </w:r>
      <w:r>
        <w:rPr>
          <w:rFonts w:hint="eastAsia" w:ascii="宋体" w:hAnsi="宋体"/>
          <w:b/>
          <w:bCs/>
          <w:color w:val="auto"/>
          <w:sz w:val="24"/>
          <w:szCs w:val="28"/>
          <w:highlight w:val="none"/>
        </w:rPr>
        <w:t>七</w:t>
      </w:r>
      <w:r>
        <w:rPr>
          <w:rFonts w:ascii="宋体" w:hAnsi="宋体"/>
          <w:b/>
          <w:bCs/>
          <w:color w:val="auto"/>
          <w:sz w:val="24"/>
          <w:szCs w:val="28"/>
          <w:highlight w:val="none"/>
        </w:rPr>
        <w:t>：</w:t>
      </w:r>
      <w:bookmarkEnd w:id="64"/>
    </w:p>
    <w:p>
      <w:pPr>
        <w:widowControl/>
        <w:spacing w:after="312" w:afterLines="100"/>
        <w:jc w:val="center"/>
        <w:outlineLvl w:val="3"/>
        <w:rPr>
          <w:color w:val="auto"/>
          <w:kern w:val="0"/>
          <w:sz w:val="20"/>
          <w:szCs w:val="20"/>
          <w:highlight w:val="none"/>
        </w:rPr>
      </w:pPr>
      <w:r>
        <w:rPr>
          <w:b/>
          <w:color w:val="auto"/>
          <w:kern w:val="0"/>
          <w:sz w:val="32"/>
          <w:highlight w:val="none"/>
          <w:lang w:eastAsia="zh-Hans"/>
        </w:rPr>
        <w:t>技术和服务要求响应表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782"/>
        <w:gridCol w:w="1564"/>
        <w:gridCol w:w="1250"/>
        <w:gridCol w:w="1250"/>
        <w:gridCol w:w="1406"/>
        <w:gridCol w:w="1252"/>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widowControl/>
              <w:jc w:val="center"/>
              <w:rPr>
                <w:b/>
                <w:bCs/>
                <w:color w:val="auto"/>
                <w:kern w:val="0"/>
                <w:szCs w:val="21"/>
                <w:highlight w:val="none"/>
                <w:lang w:eastAsia="zh-Hans"/>
              </w:rPr>
            </w:pPr>
            <w:r>
              <w:rPr>
                <w:b/>
                <w:bCs/>
                <w:color w:val="auto"/>
                <w:kern w:val="0"/>
                <w:szCs w:val="21"/>
                <w:highlight w:val="none"/>
                <w:lang w:eastAsia="zh-Hans"/>
              </w:rPr>
              <w:t>序号</w:t>
            </w:r>
          </w:p>
        </w:tc>
        <w:tc>
          <w:tcPr>
            <w:tcW w:w="421" w:type="pct"/>
            <w:vAlign w:val="center"/>
          </w:tcPr>
          <w:p>
            <w:pPr>
              <w:widowControl/>
              <w:jc w:val="center"/>
              <w:rPr>
                <w:b/>
                <w:bCs/>
                <w:color w:val="auto"/>
                <w:kern w:val="0"/>
                <w:szCs w:val="21"/>
                <w:highlight w:val="none"/>
                <w:lang w:eastAsia="zh-Hans"/>
              </w:rPr>
            </w:pPr>
            <w:r>
              <w:rPr>
                <w:b/>
                <w:bCs/>
                <w:color w:val="auto"/>
                <w:kern w:val="0"/>
                <w:szCs w:val="21"/>
                <w:highlight w:val="none"/>
                <w:lang w:eastAsia="zh-Hans"/>
              </w:rPr>
              <w:t>参数性质</w:t>
            </w:r>
          </w:p>
        </w:tc>
        <w:tc>
          <w:tcPr>
            <w:tcW w:w="842" w:type="pct"/>
            <w:vAlign w:val="center"/>
          </w:tcPr>
          <w:p>
            <w:pPr>
              <w:widowControl/>
              <w:jc w:val="center"/>
              <w:rPr>
                <w:b/>
                <w:bCs/>
                <w:color w:val="auto"/>
                <w:kern w:val="0"/>
                <w:szCs w:val="21"/>
                <w:highlight w:val="none"/>
                <w:lang w:eastAsia="zh-Hans"/>
              </w:rPr>
            </w:pPr>
            <w:r>
              <w:rPr>
                <w:rFonts w:hint="eastAsia"/>
                <w:b/>
                <w:bCs/>
                <w:color w:val="auto"/>
                <w:kern w:val="0"/>
                <w:szCs w:val="21"/>
                <w:highlight w:val="none"/>
                <w:lang w:eastAsia="zh-Hans"/>
              </w:rPr>
              <w:t>磋商文件</w:t>
            </w:r>
            <w:r>
              <w:rPr>
                <w:b/>
                <w:bCs/>
                <w:color w:val="auto"/>
                <w:kern w:val="0"/>
                <w:szCs w:val="21"/>
                <w:highlight w:val="none"/>
                <w:lang w:eastAsia="zh-Hans"/>
              </w:rPr>
              <w:t>规定的技术和服务要求</w:t>
            </w:r>
          </w:p>
        </w:tc>
        <w:tc>
          <w:tcPr>
            <w:tcW w:w="673" w:type="pct"/>
            <w:vAlign w:val="center"/>
          </w:tcPr>
          <w:p>
            <w:pPr>
              <w:widowControl/>
              <w:jc w:val="center"/>
              <w:rPr>
                <w:b/>
                <w:bCs/>
                <w:color w:val="auto"/>
                <w:kern w:val="0"/>
                <w:szCs w:val="21"/>
                <w:highlight w:val="none"/>
                <w:lang w:eastAsia="zh-Hans"/>
              </w:rPr>
            </w:pPr>
            <w:r>
              <w:rPr>
                <w:b/>
                <w:bCs/>
                <w:color w:val="auto"/>
                <w:kern w:val="0"/>
                <w:szCs w:val="21"/>
                <w:highlight w:val="none"/>
                <w:lang w:eastAsia="zh-Hans"/>
              </w:rPr>
              <w:t>响应文件响应的具体内容</w:t>
            </w:r>
          </w:p>
        </w:tc>
        <w:tc>
          <w:tcPr>
            <w:tcW w:w="673" w:type="pct"/>
            <w:vAlign w:val="center"/>
          </w:tcPr>
          <w:p>
            <w:pPr>
              <w:widowControl/>
              <w:jc w:val="center"/>
              <w:rPr>
                <w:b/>
                <w:bCs/>
                <w:color w:val="auto"/>
                <w:kern w:val="0"/>
                <w:szCs w:val="21"/>
                <w:highlight w:val="none"/>
                <w:lang w:eastAsia="zh-Hans"/>
              </w:rPr>
            </w:pPr>
            <w:r>
              <w:rPr>
                <w:b/>
                <w:bCs/>
                <w:color w:val="auto"/>
                <w:kern w:val="0"/>
                <w:szCs w:val="21"/>
                <w:highlight w:val="none"/>
                <w:lang w:eastAsia="zh-Hans"/>
              </w:rPr>
              <w:t>型号</w:t>
            </w:r>
          </w:p>
        </w:tc>
        <w:tc>
          <w:tcPr>
            <w:tcW w:w="757" w:type="pct"/>
            <w:vAlign w:val="center"/>
          </w:tcPr>
          <w:p>
            <w:pPr>
              <w:widowControl/>
              <w:jc w:val="center"/>
              <w:rPr>
                <w:b/>
                <w:bCs/>
                <w:color w:val="auto"/>
                <w:kern w:val="0"/>
                <w:szCs w:val="21"/>
                <w:highlight w:val="none"/>
                <w:lang w:eastAsia="zh-Hans"/>
              </w:rPr>
            </w:pPr>
            <w:r>
              <w:rPr>
                <w:b/>
                <w:bCs/>
                <w:color w:val="auto"/>
                <w:kern w:val="0"/>
                <w:szCs w:val="21"/>
                <w:highlight w:val="none"/>
                <w:lang w:eastAsia="zh-Hans"/>
              </w:rPr>
              <w:t>是否偏离</w:t>
            </w:r>
          </w:p>
        </w:tc>
        <w:tc>
          <w:tcPr>
            <w:tcW w:w="674" w:type="pct"/>
            <w:vAlign w:val="center"/>
          </w:tcPr>
          <w:p>
            <w:pPr>
              <w:widowControl/>
              <w:jc w:val="center"/>
              <w:rPr>
                <w:b/>
                <w:bCs/>
                <w:color w:val="auto"/>
                <w:kern w:val="0"/>
                <w:szCs w:val="21"/>
                <w:highlight w:val="none"/>
                <w:lang w:eastAsia="zh-Hans"/>
              </w:rPr>
            </w:pPr>
            <w:r>
              <w:rPr>
                <w:b/>
                <w:bCs/>
                <w:color w:val="auto"/>
                <w:kern w:val="0"/>
                <w:szCs w:val="21"/>
                <w:highlight w:val="none"/>
                <w:lang w:eastAsia="zh-Hans"/>
              </w:rPr>
              <w:t>证明文件所在位置</w:t>
            </w:r>
          </w:p>
        </w:tc>
        <w:tc>
          <w:tcPr>
            <w:tcW w:w="455" w:type="pct"/>
            <w:vAlign w:val="center"/>
          </w:tcPr>
          <w:p>
            <w:pPr>
              <w:widowControl/>
              <w:jc w:val="center"/>
              <w:rPr>
                <w:b/>
                <w:bCs/>
                <w:color w:val="auto"/>
                <w:kern w:val="0"/>
                <w:szCs w:val="21"/>
                <w:highlight w:val="none"/>
                <w:lang w:eastAsia="zh-Hans"/>
              </w:rPr>
            </w:pPr>
            <w:r>
              <w:rPr>
                <w:b/>
                <w:bCs/>
                <w:color w:val="auto"/>
                <w:kern w:val="0"/>
                <w:szCs w:val="21"/>
                <w:highlight w:val="none"/>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widowControl/>
              <w:jc w:val="center"/>
              <w:rPr>
                <w:color w:val="auto"/>
                <w:kern w:val="0"/>
                <w:sz w:val="20"/>
                <w:szCs w:val="20"/>
                <w:highlight w:val="none"/>
                <w:lang w:eastAsia="zh-Hans"/>
              </w:rPr>
            </w:pPr>
            <w:r>
              <w:rPr>
                <w:color w:val="auto"/>
                <w:kern w:val="0"/>
                <w:sz w:val="20"/>
                <w:szCs w:val="20"/>
                <w:highlight w:val="none"/>
                <w:lang w:eastAsia="zh-Hans"/>
              </w:rPr>
              <w:t>1</w:t>
            </w:r>
          </w:p>
        </w:tc>
        <w:tc>
          <w:tcPr>
            <w:tcW w:w="421" w:type="pct"/>
          </w:tcPr>
          <w:p>
            <w:pPr>
              <w:jc w:val="center"/>
              <w:rPr>
                <w:color w:val="auto"/>
                <w:szCs w:val="24"/>
                <w:highlight w:val="none"/>
              </w:rPr>
            </w:pPr>
          </w:p>
        </w:tc>
        <w:tc>
          <w:tcPr>
            <w:tcW w:w="842" w:type="pct"/>
          </w:tcPr>
          <w:p>
            <w:pPr>
              <w:jc w:val="center"/>
              <w:rPr>
                <w:color w:val="auto"/>
                <w:szCs w:val="24"/>
                <w:highlight w:val="none"/>
              </w:rPr>
            </w:pPr>
          </w:p>
        </w:tc>
        <w:tc>
          <w:tcPr>
            <w:tcW w:w="673" w:type="pct"/>
          </w:tcPr>
          <w:p>
            <w:pPr>
              <w:jc w:val="center"/>
              <w:rPr>
                <w:color w:val="auto"/>
                <w:szCs w:val="24"/>
                <w:highlight w:val="none"/>
              </w:rPr>
            </w:pPr>
          </w:p>
        </w:tc>
        <w:tc>
          <w:tcPr>
            <w:tcW w:w="673" w:type="pct"/>
          </w:tcPr>
          <w:p>
            <w:pPr>
              <w:jc w:val="center"/>
              <w:rPr>
                <w:color w:val="auto"/>
                <w:szCs w:val="24"/>
                <w:highlight w:val="none"/>
              </w:rPr>
            </w:pPr>
          </w:p>
        </w:tc>
        <w:tc>
          <w:tcPr>
            <w:tcW w:w="757" w:type="pct"/>
          </w:tcPr>
          <w:p>
            <w:pPr>
              <w:jc w:val="center"/>
              <w:rPr>
                <w:color w:val="auto"/>
                <w:szCs w:val="24"/>
                <w:highlight w:val="none"/>
              </w:rPr>
            </w:pPr>
          </w:p>
        </w:tc>
        <w:tc>
          <w:tcPr>
            <w:tcW w:w="674" w:type="pct"/>
          </w:tcPr>
          <w:p>
            <w:pPr>
              <w:jc w:val="center"/>
              <w:rPr>
                <w:color w:val="auto"/>
                <w:szCs w:val="24"/>
                <w:highlight w:val="none"/>
              </w:rPr>
            </w:pPr>
          </w:p>
        </w:tc>
        <w:tc>
          <w:tcPr>
            <w:tcW w:w="455" w:type="pct"/>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widowControl/>
              <w:jc w:val="center"/>
              <w:rPr>
                <w:color w:val="auto"/>
                <w:kern w:val="0"/>
                <w:sz w:val="20"/>
                <w:szCs w:val="20"/>
                <w:highlight w:val="none"/>
                <w:lang w:eastAsia="zh-Hans"/>
              </w:rPr>
            </w:pPr>
            <w:r>
              <w:rPr>
                <w:color w:val="auto"/>
                <w:kern w:val="0"/>
                <w:sz w:val="20"/>
                <w:szCs w:val="20"/>
                <w:highlight w:val="none"/>
                <w:lang w:eastAsia="zh-Hans"/>
              </w:rPr>
              <w:t>2</w:t>
            </w:r>
          </w:p>
        </w:tc>
        <w:tc>
          <w:tcPr>
            <w:tcW w:w="421" w:type="pct"/>
          </w:tcPr>
          <w:p>
            <w:pPr>
              <w:jc w:val="center"/>
              <w:rPr>
                <w:color w:val="auto"/>
                <w:szCs w:val="24"/>
                <w:highlight w:val="none"/>
              </w:rPr>
            </w:pPr>
          </w:p>
        </w:tc>
        <w:tc>
          <w:tcPr>
            <w:tcW w:w="842" w:type="pct"/>
          </w:tcPr>
          <w:p>
            <w:pPr>
              <w:jc w:val="center"/>
              <w:rPr>
                <w:color w:val="auto"/>
                <w:szCs w:val="24"/>
                <w:highlight w:val="none"/>
              </w:rPr>
            </w:pPr>
          </w:p>
        </w:tc>
        <w:tc>
          <w:tcPr>
            <w:tcW w:w="673" w:type="pct"/>
          </w:tcPr>
          <w:p>
            <w:pPr>
              <w:jc w:val="center"/>
              <w:rPr>
                <w:color w:val="auto"/>
                <w:szCs w:val="24"/>
                <w:highlight w:val="none"/>
              </w:rPr>
            </w:pPr>
          </w:p>
        </w:tc>
        <w:tc>
          <w:tcPr>
            <w:tcW w:w="673" w:type="pct"/>
          </w:tcPr>
          <w:p>
            <w:pPr>
              <w:jc w:val="center"/>
              <w:rPr>
                <w:color w:val="auto"/>
                <w:szCs w:val="24"/>
                <w:highlight w:val="none"/>
              </w:rPr>
            </w:pPr>
          </w:p>
        </w:tc>
        <w:tc>
          <w:tcPr>
            <w:tcW w:w="757" w:type="pct"/>
          </w:tcPr>
          <w:p>
            <w:pPr>
              <w:jc w:val="center"/>
              <w:rPr>
                <w:color w:val="auto"/>
                <w:szCs w:val="24"/>
                <w:highlight w:val="none"/>
              </w:rPr>
            </w:pPr>
          </w:p>
        </w:tc>
        <w:tc>
          <w:tcPr>
            <w:tcW w:w="674" w:type="pct"/>
          </w:tcPr>
          <w:p>
            <w:pPr>
              <w:jc w:val="center"/>
              <w:rPr>
                <w:color w:val="auto"/>
                <w:szCs w:val="24"/>
                <w:highlight w:val="none"/>
              </w:rPr>
            </w:pPr>
          </w:p>
        </w:tc>
        <w:tc>
          <w:tcPr>
            <w:tcW w:w="455" w:type="pct"/>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widowControl/>
              <w:jc w:val="center"/>
              <w:rPr>
                <w:color w:val="auto"/>
                <w:kern w:val="0"/>
                <w:sz w:val="20"/>
                <w:szCs w:val="20"/>
                <w:highlight w:val="none"/>
                <w:lang w:eastAsia="zh-Hans"/>
              </w:rPr>
            </w:pPr>
            <w:r>
              <w:rPr>
                <w:color w:val="auto"/>
                <w:kern w:val="0"/>
                <w:sz w:val="20"/>
                <w:szCs w:val="20"/>
                <w:highlight w:val="none"/>
                <w:lang w:eastAsia="zh-Hans"/>
              </w:rPr>
              <w:t>3</w:t>
            </w:r>
          </w:p>
        </w:tc>
        <w:tc>
          <w:tcPr>
            <w:tcW w:w="421" w:type="pct"/>
          </w:tcPr>
          <w:p>
            <w:pPr>
              <w:jc w:val="center"/>
              <w:rPr>
                <w:color w:val="auto"/>
                <w:szCs w:val="24"/>
                <w:highlight w:val="none"/>
              </w:rPr>
            </w:pPr>
          </w:p>
        </w:tc>
        <w:tc>
          <w:tcPr>
            <w:tcW w:w="842" w:type="pct"/>
          </w:tcPr>
          <w:p>
            <w:pPr>
              <w:jc w:val="center"/>
              <w:rPr>
                <w:color w:val="auto"/>
                <w:szCs w:val="24"/>
                <w:highlight w:val="none"/>
              </w:rPr>
            </w:pPr>
          </w:p>
        </w:tc>
        <w:tc>
          <w:tcPr>
            <w:tcW w:w="673" w:type="pct"/>
          </w:tcPr>
          <w:p>
            <w:pPr>
              <w:jc w:val="center"/>
              <w:rPr>
                <w:color w:val="auto"/>
                <w:szCs w:val="24"/>
                <w:highlight w:val="none"/>
              </w:rPr>
            </w:pPr>
          </w:p>
        </w:tc>
        <w:tc>
          <w:tcPr>
            <w:tcW w:w="673" w:type="pct"/>
          </w:tcPr>
          <w:p>
            <w:pPr>
              <w:jc w:val="center"/>
              <w:rPr>
                <w:color w:val="auto"/>
                <w:szCs w:val="24"/>
                <w:highlight w:val="none"/>
              </w:rPr>
            </w:pPr>
          </w:p>
        </w:tc>
        <w:tc>
          <w:tcPr>
            <w:tcW w:w="757" w:type="pct"/>
          </w:tcPr>
          <w:p>
            <w:pPr>
              <w:jc w:val="center"/>
              <w:rPr>
                <w:color w:val="auto"/>
                <w:szCs w:val="24"/>
                <w:highlight w:val="none"/>
              </w:rPr>
            </w:pPr>
          </w:p>
        </w:tc>
        <w:tc>
          <w:tcPr>
            <w:tcW w:w="674" w:type="pct"/>
          </w:tcPr>
          <w:p>
            <w:pPr>
              <w:jc w:val="center"/>
              <w:rPr>
                <w:color w:val="auto"/>
                <w:szCs w:val="24"/>
                <w:highlight w:val="none"/>
              </w:rPr>
            </w:pPr>
          </w:p>
        </w:tc>
        <w:tc>
          <w:tcPr>
            <w:tcW w:w="455" w:type="pct"/>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widowControl/>
              <w:jc w:val="center"/>
              <w:rPr>
                <w:color w:val="auto"/>
                <w:kern w:val="0"/>
                <w:sz w:val="20"/>
                <w:szCs w:val="20"/>
                <w:highlight w:val="none"/>
                <w:lang w:eastAsia="zh-Hans"/>
              </w:rPr>
            </w:pPr>
            <w:r>
              <w:rPr>
                <w:color w:val="auto"/>
                <w:kern w:val="0"/>
                <w:sz w:val="20"/>
                <w:szCs w:val="20"/>
                <w:highlight w:val="none"/>
                <w:lang w:eastAsia="zh-Hans"/>
              </w:rPr>
              <w:t>4</w:t>
            </w:r>
          </w:p>
        </w:tc>
        <w:tc>
          <w:tcPr>
            <w:tcW w:w="421" w:type="pct"/>
          </w:tcPr>
          <w:p>
            <w:pPr>
              <w:jc w:val="center"/>
              <w:rPr>
                <w:color w:val="auto"/>
                <w:szCs w:val="24"/>
                <w:highlight w:val="none"/>
              </w:rPr>
            </w:pPr>
          </w:p>
        </w:tc>
        <w:tc>
          <w:tcPr>
            <w:tcW w:w="842" w:type="pct"/>
          </w:tcPr>
          <w:p>
            <w:pPr>
              <w:jc w:val="center"/>
              <w:rPr>
                <w:color w:val="auto"/>
                <w:szCs w:val="24"/>
                <w:highlight w:val="none"/>
              </w:rPr>
            </w:pPr>
          </w:p>
        </w:tc>
        <w:tc>
          <w:tcPr>
            <w:tcW w:w="673" w:type="pct"/>
          </w:tcPr>
          <w:p>
            <w:pPr>
              <w:jc w:val="center"/>
              <w:rPr>
                <w:color w:val="auto"/>
                <w:szCs w:val="24"/>
                <w:highlight w:val="none"/>
              </w:rPr>
            </w:pPr>
          </w:p>
        </w:tc>
        <w:tc>
          <w:tcPr>
            <w:tcW w:w="673" w:type="pct"/>
          </w:tcPr>
          <w:p>
            <w:pPr>
              <w:jc w:val="center"/>
              <w:rPr>
                <w:color w:val="auto"/>
                <w:szCs w:val="24"/>
                <w:highlight w:val="none"/>
              </w:rPr>
            </w:pPr>
          </w:p>
        </w:tc>
        <w:tc>
          <w:tcPr>
            <w:tcW w:w="757" w:type="pct"/>
          </w:tcPr>
          <w:p>
            <w:pPr>
              <w:jc w:val="center"/>
              <w:rPr>
                <w:color w:val="auto"/>
                <w:szCs w:val="24"/>
                <w:highlight w:val="none"/>
              </w:rPr>
            </w:pPr>
          </w:p>
        </w:tc>
        <w:tc>
          <w:tcPr>
            <w:tcW w:w="674" w:type="pct"/>
          </w:tcPr>
          <w:p>
            <w:pPr>
              <w:jc w:val="center"/>
              <w:rPr>
                <w:color w:val="auto"/>
                <w:szCs w:val="24"/>
                <w:highlight w:val="none"/>
              </w:rPr>
            </w:pPr>
          </w:p>
        </w:tc>
        <w:tc>
          <w:tcPr>
            <w:tcW w:w="455" w:type="pct"/>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widowControl/>
              <w:jc w:val="center"/>
              <w:rPr>
                <w:color w:val="auto"/>
                <w:kern w:val="0"/>
                <w:sz w:val="20"/>
                <w:szCs w:val="20"/>
                <w:highlight w:val="none"/>
                <w:lang w:eastAsia="zh-Hans"/>
              </w:rPr>
            </w:pPr>
            <w:r>
              <w:rPr>
                <w:color w:val="auto"/>
                <w:kern w:val="0"/>
                <w:sz w:val="20"/>
                <w:szCs w:val="20"/>
                <w:highlight w:val="none"/>
                <w:lang w:eastAsia="zh-Hans"/>
              </w:rPr>
              <w:t>5</w:t>
            </w:r>
          </w:p>
        </w:tc>
        <w:tc>
          <w:tcPr>
            <w:tcW w:w="421" w:type="pct"/>
          </w:tcPr>
          <w:p>
            <w:pPr>
              <w:jc w:val="center"/>
              <w:rPr>
                <w:color w:val="auto"/>
                <w:szCs w:val="24"/>
                <w:highlight w:val="none"/>
              </w:rPr>
            </w:pPr>
          </w:p>
        </w:tc>
        <w:tc>
          <w:tcPr>
            <w:tcW w:w="842" w:type="pct"/>
          </w:tcPr>
          <w:p>
            <w:pPr>
              <w:jc w:val="center"/>
              <w:rPr>
                <w:color w:val="auto"/>
                <w:szCs w:val="24"/>
                <w:highlight w:val="none"/>
              </w:rPr>
            </w:pPr>
          </w:p>
        </w:tc>
        <w:tc>
          <w:tcPr>
            <w:tcW w:w="673" w:type="pct"/>
          </w:tcPr>
          <w:p>
            <w:pPr>
              <w:jc w:val="center"/>
              <w:rPr>
                <w:color w:val="auto"/>
                <w:szCs w:val="24"/>
                <w:highlight w:val="none"/>
              </w:rPr>
            </w:pPr>
          </w:p>
        </w:tc>
        <w:tc>
          <w:tcPr>
            <w:tcW w:w="673" w:type="pct"/>
          </w:tcPr>
          <w:p>
            <w:pPr>
              <w:jc w:val="center"/>
              <w:rPr>
                <w:color w:val="auto"/>
                <w:szCs w:val="24"/>
                <w:highlight w:val="none"/>
              </w:rPr>
            </w:pPr>
          </w:p>
        </w:tc>
        <w:tc>
          <w:tcPr>
            <w:tcW w:w="757" w:type="pct"/>
          </w:tcPr>
          <w:p>
            <w:pPr>
              <w:jc w:val="center"/>
              <w:rPr>
                <w:color w:val="auto"/>
                <w:szCs w:val="24"/>
                <w:highlight w:val="none"/>
              </w:rPr>
            </w:pPr>
          </w:p>
        </w:tc>
        <w:tc>
          <w:tcPr>
            <w:tcW w:w="674" w:type="pct"/>
          </w:tcPr>
          <w:p>
            <w:pPr>
              <w:jc w:val="center"/>
              <w:rPr>
                <w:color w:val="auto"/>
                <w:szCs w:val="24"/>
                <w:highlight w:val="none"/>
              </w:rPr>
            </w:pPr>
          </w:p>
        </w:tc>
        <w:tc>
          <w:tcPr>
            <w:tcW w:w="455" w:type="pct"/>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widowControl/>
              <w:jc w:val="center"/>
              <w:rPr>
                <w:color w:val="auto"/>
                <w:kern w:val="0"/>
                <w:sz w:val="20"/>
                <w:szCs w:val="20"/>
                <w:highlight w:val="none"/>
                <w:lang w:eastAsia="zh-Hans"/>
              </w:rPr>
            </w:pPr>
            <w:r>
              <w:rPr>
                <w:color w:val="auto"/>
                <w:kern w:val="0"/>
                <w:sz w:val="20"/>
                <w:szCs w:val="20"/>
                <w:highlight w:val="none"/>
                <w:lang w:eastAsia="zh-Hans"/>
              </w:rPr>
              <w:t>6</w:t>
            </w:r>
          </w:p>
        </w:tc>
        <w:tc>
          <w:tcPr>
            <w:tcW w:w="421" w:type="pct"/>
          </w:tcPr>
          <w:p>
            <w:pPr>
              <w:jc w:val="center"/>
              <w:rPr>
                <w:color w:val="auto"/>
                <w:szCs w:val="24"/>
                <w:highlight w:val="none"/>
              </w:rPr>
            </w:pPr>
          </w:p>
        </w:tc>
        <w:tc>
          <w:tcPr>
            <w:tcW w:w="842" w:type="pct"/>
          </w:tcPr>
          <w:p>
            <w:pPr>
              <w:jc w:val="center"/>
              <w:rPr>
                <w:color w:val="auto"/>
                <w:szCs w:val="24"/>
                <w:highlight w:val="none"/>
              </w:rPr>
            </w:pPr>
          </w:p>
        </w:tc>
        <w:tc>
          <w:tcPr>
            <w:tcW w:w="673" w:type="pct"/>
          </w:tcPr>
          <w:p>
            <w:pPr>
              <w:jc w:val="center"/>
              <w:rPr>
                <w:color w:val="auto"/>
                <w:szCs w:val="24"/>
                <w:highlight w:val="none"/>
              </w:rPr>
            </w:pPr>
          </w:p>
        </w:tc>
        <w:tc>
          <w:tcPr>
            <w:tcW w:w="673" w:type="pct"/>
          </w:tcPr>
          <w:p>
            <w:pPr>
              <w:jc w:val="center"/>
              <w:rPr>
                <w:color w:val="auto"/>
                <w:szCs w:val="24"/>
                <w:highlight w:val="none"/>
              </w:rPr>
            </w:pPr>
          </w:p>
        </w:tc>
        <w:tc>
          <w:tcPr>
            <w:tcW w:w="757" w:type="pct"/>
          </w:tcPr>
          <w:p>
            <w:pPr>
              <w:jc w:val="center"/>
              <w:rPr>
                <w:color w:val="auto"/>
                <w:szCs w:val="24"/>
                <w:highlight w:val="none"/>
              </w:rPr>
            </w:pPr>
          </w:p>
        </w:tc>
        <w:tc>
          <w:tcPr>
            <w:tcW w:w="674" w:type="pct"/>
          </w:tcPr>
          <w:p>
            <w:pPr>
              <w:jc w:val="center"/>
              <w:rPr>
                <w:color w:val="auto"/>
                <w:szCs w:val="24"/>
                <w:highlight w:val="none"/>
              </w:rPr>
            </w:pPr>
          </w:p>
        </w:tc>
        <w:tc>
          <w:tcPr>
            <w:tcW w:w="455" w:type="pct"/>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widowControl/>
              <w:jc w:val="center"/>
              <w:rPr>
                <w:color w:val="auto"/>
                <w:kern w:val="0"/>
                <w:sz w:val="20"/>
                <w:szCs w:val="20"/>
                <w:highlight w:val="none"/>
                <w:lang w:eastAsia="zh-Hans"/>
              </w:rPr>
            </w:pPr>
            <w:r>
              <w:rPr>
                <w:color w:val="auto"/>
                <w:kern w:val="0"/>
                <w:sz w:val="20"/>
                <w:szCs w:val="20"/>
                <w:highlight w:val="none"/>
                <w:lang w:eastAsia="zh-Hans"/>
              </w:rPr>
              <w:t>……</w:t>
            </w:r>
          </w:p>
        </w:tc>
        <w:tc>
          <w:tcPr>
            <w:tcW w:w="421" w:type="pct"/>
          </w:tcPr>
          <w:p>
            <w:pPr>
              <w:jc w:val="center"/>
              <w:rPr>
                <w:color w:val="auto"/>
                <w:szCs w:val="24"/>
                <w:highlight w:val="none"/>
              </w:rPr>
            </w:pPr>
          </w:p>
        </w:tc>
        <w:tc>
          <w:tcPr>
            <w:tcW w:w="842" w:type="pct"/>
          </w:tcPr>
          <w:p>
            <w:pPr>
              <w:jc w:val="center"/>
              <w:rPr>
                <w:color w:val="auto"/>
                <w:szCs w:val="24"/>
                <w:highlight w:val="none"/>
              </w:rPr>
            </w:pPr>
          </w:p>
        </w:tc>
        <w:tc>
          <w:tcPr>
            <w:tcW w:w="673" w:type="pct"/>
          </w:tcPr>
          <w:p>
            <w:pPr>
              <w:jc w:val="center"/>
              <w:rPr>
                <w:color w:val="auto"/>
                <w:szCs w:val="24"/>
                <w:highlight w:val="none"/>
              </w:rPr>
            </w:pPr>
          </w:p>
        </w:tc>
        <w:tc>
          <w:tcPr>
            <w:tcW w:w="673" w:type="pct"/>
          </w:tcPr>
          <w:p>
            <w:pPr>
              <w:jc w:val="center"/>
              <w:rPr>
                <w:color w:val="auto"/>
                <w:szCs w:val="24"/>
                <w:highlight w:val="none"/>
              </w:rPr>
            </w:pPr>
          </w:p>
        </w:tc>
        <w:tc>
          <w:tcPr>
            <w:tcW w:w="757" w:type="pct"/>
          </w:tcPr>
          <w:p>
            <w:pPr>
              <w:jc w:val="center"/>
              <w:rPr>
                <w:color w:val="auto"/>
                <w:szCs w:val="24"/>
                <w:highlight w:val="none"/>
              </w:rPr>
            </w:pPr>
          </w:p>
        </w:tc>
        <w:tc>
          <w:tcPr>
            <w:tcW w:w="674" w:type="pct"/>
          </w:tcPr>
          <w:p>
            <w:pPr>
              <w:jc w:val="center"/>
              <w:rPr>
                <w:color w:val="auto"/>
                <w:szCs w:val="24"/>
                <w:highlight w:val="none"/>
              </w:rPr>
            </w:pPr>
          </w:p>
        </w:tc>
        <w:tc>
          <w:tcPr>
            <w:tcW w:w="455" w:type="pct"/>
          </w:tcPr>
          <w:p>
            <w:pPr>
              <w:jc w:val="center"/>
              <w:rPr>
                <w:color w:val="auto"/>
                <w:szCs w:val="24"/>
                <w:highlight w:val="none"/>
              </w:rPr>
            </w:pPr>
          </w:p>
        </w:tc>
      </w:tr>
    </w:tbl>
    <w:p>
      <w:pPr>
        <w:widowControl/>
        <w:jc w:val="left"/>
        <w:rPr>
          <w:color w:val="auto"/>
          <w:kern w:val="0"/>
          <w:sz w:val="20"/>
          <w:szCs w:val="20"/>
          <w:highlight w:val="none"/>
          <w:lang w:eastAsia="zh-Hans"/>
        </w:rPr>
      </w:pPr>
      <w:r>
        <w:rPr>
          <w:color w:val="auto"/>
          <w:kern w:val="0"/>
          <w:sz w:val="20"/>
          <w:szCs w:val="20"/>
          <w:highlight w:val="none"/>
          <w:lang w:eastAsia="zh-Hans"/>
        </w:rPr>
        <w:t>说明：</w:t>
      </w:r>
    </w:p>
    <w:p>
      <w:pPr>
        <w:widowControl/>
        <w:jc w:val="left"/>
        <w:rPr>
          <w:rFonts w:ascii="宋体" w:hAnsi="宋体"/>
          <w:color w:val="auto"/>
          <w:kern w:val="0"/>
          <w:szCs w:val="21"/>
          <w:highlight w:val="none"/>
        </w:rPr>
      </w:pPr>
      <w:r>
        <w:rPr>
          <w:rFonts w:ascii="宋体" w:hAnsi="宋体"/>
          <w:color w:val="auto"/>
          <w:kern w:val="0"/>
          <w:szCs w:val="21"/>
          <w:highlight w:val="none"/>
          <w:lang w:eastAsia="zh-Hans"/>
        </w:rPr>
        <w:t>1.“</w:t>
      </w:r>
      <w:r>
        <w:rPr>
          <w:rFonts w:hint="eastAsia" w:ascii="宋体" w:hAnsi="宋体"/>
          <w:color w:val="auto"/>
          <w:kern w:val="0"/>
          <w:szCs w:val="21"/>
          <w:highlight w:val="none"/>
          <w:lang w:eastAsia="zh-Hans"/>
        </w:rPr>
        <w:t>磋商文件</w:t>
      </w:r>
      <w:r>
        <w:rPr>
          <w:rFonts w:ascii="宋体" w:hAnsi="宋体"/>
          <w:color w:val="auto"/>
          <w:kern w:val="0"/>
          <w:szCs w:val="21"/>
          <w:highlight w:val="none"/>
          <w:lang w:eastAsia="zh-Hans"/>
        </w:rPr>
        <w:t>规定的技术和服务要求”项下填写的内容应与磋商文件中采购需求的“技术要求”的内容保持一致。供应商应当如实填写上表“响应文件响应的具体内容”处内容，对采购文件提出的要求和条件作出明确响应，并列明具体响应数值或内容，只注明符合、满足等无具体内容表述的，将视为未实质性满足磋商文件要求。供应商需要说明的内容若需特殊表达，应先在本表中进行相应说明，再另页应答。</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2.参数性质栏目按磋商文件有标注的“</w:t>
      </w:r>
      <w:r>
        <w:rPr>
          <w:rFonts w:ascii="宋体" w:hAnsi="宋体" w:cs="Segoe UI Symbol"/>
          <w:color w:val="auto"/>
          <w:kern w:val="0"/>
          <w:szCs w:val="21"/>
          <w:highlight w:val="none"/>
          <w:lang w:eastAsia="zh-Hans"/>
        </w:rPr>
        <w:t>★</w:t>
      </w:r>
      <w:r>
        <w:rPr>
          <w:rFonts w:ascii="宋体" w:hAnsi="宋体" w:cs="Calibri"/>
          <w:color w:val="auto"/>
          <w:kern w:val="0"/>
          <w:szCs w:val="21"/>
          <w:highlight w:val="none"/>
          <w:lang w:eastAsia="zh-Hans"/>
        </w:rPr>
        <w:t>”</w:t>
      </w:r>
      <w:r>
        <w:rPr>
          <w:rFonts w:ascii="宋体" w:hAnsi="宋体"/>
          <w:color w:val="auto"/>
          <w:kern w:val="0"/>
          <w:szCs w:val="21"/>
          <w:highlight w:val="none"/>
          <w:lang w:eastAsia="zh-Hans"/>
        </w:rPr>
        <w:t>、“▲</w:t>
      </w:r>
      <w:r>
        <w:rPr>
          <w:rFonts w:ascii="宋体" w:hAnsi="宋体" w:cs="Calibri"/>
          <w:color w:val="auto"/>
          <w:kern w:val="0"/>
          <w:szCs w:val="21"/>
          <w:highlight w:val="none"/>
          <w:lang w:eastAsia="zh-Hans"/>
        </w:rPr>
        <w:t>”</w:t>
      </w:r>
      <w:r>
        <w:rPr>
          <w:rFonts w:ascii="宋体" w:hAnsi="宋体"/>
          <w:color w:val="auto"/>
          <w:kern w:val="0"/>
          <w:szCs w:val="21"/>
          <w:highlight w:val="none"/>
          <w:lang w:eastAsia="zh-Hans"/>
        </w:rPr>
        <w:t>号条款进行填写，打“</w:t>
      </w:r>
      <w:r>
        <w:rPr>
          <w:rFonts w:ascii="宋体" w:hAnsi="宋体" w:cs="Segoe UI Symbol"/>
          <w:color w:val="auto"/>
          <w:kern w:val="0"/>
          <w:szCs w:val="21"/>
          <w:highlight w:val="none"/>
          <w:lang w:eastAsia="zh-Hans"/>
        </w:rPr>
        <w:t>★</w:t>
      </w:r>
      <w:r>
        <w:rPr>
          <w:rFonts w:ascii="宋体" w:hAnsi="宋体" w:cs="Calibri"/>
          <w:color w:val="auto"/>
          <w:kern w:val="0"/>
          <w:szCs w:val="21"/>
          <w:highlight w:val="none"/>
          <w:lang w:eastAsia="zh-Hans"/>
        </w:rPr>
        <w:t>”</w:t>
      </w:r>
      <w:r>
        <w:rPr>
          <w:rFonts w:ascii="宋体" w:hAnsi="宋体"/>
          <w:color w:val="auto"/>
          <w:kern w:val="0"/>
          <w:szCs w:val="21"/>
          <w:highlight w:val="none"/>
          <w:lang w:eastAsia="zh-Hans"/>
        </w:rPr>
        <w:t>号条款为实质性条款，若有任何一条负偏离或不满足则导致</w:t>
      </w: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无效。打“▲</w:t>
      </w:r>
      <w:r>
        <w:rPr>
          <w:rFonts w:ascii="宋体" w:hAnsi="宋体" w:cs="Calibri"/>
          <w:color w:val="auto"/>
          <w:kern w:val="0"/>
          <w:szCs w:val="21"/>
          <w:highlight w:val="none"/>
          <w:lang w:eastAsia="zh-Hans"/>
        </w:rPr>
        <w:t>”</w:t>
      </w:r>
      <w:r>
        <w:rPr>
          <w:rFonts w:ascii="宋体" w:hAnsi="宋体"/>
          <w:color w:val="auto"/>
          <w:kern w:val="0"/>
          <w:szCs w:val="21"/>
          <w:highlight w:val="none"/>
          <w:lang w:eastAsia="zh-Hans"/>
        </w:rPr>
        <w:t>号条款为重要技术参数（如有），若有部分“▲</w:t>
      </w:r>
      <w:r>
        <w:rPr>
          <w:rFonts w:ascii="宋体" w:hAnsi="宋体" w:cs="Calibri"/>
          <w:color w:val="auto"/>
          <w:kern w:val="0"/>
          <w:szCs w:val="21"/>
          <w:highlight w:val="none"/>
          <w:lang w:eastAsia="zh-Hans"/>
        </w:rPr>
        <w:t>”</w:t>
      </w:r>
      <w:r>
        <w:rPr>
          <w:rFonts w:ascii="宋体" w:hAnsi="宋体"/>
          <w:color w:val="auto"/>
          <w:kern w:val="0"/>
          <w:szCs w:val="21"/>
          <w:highlight w:val="none"/>
          <w:lang w:eastAsia="zh-Hans"/>
        </w:rPr>
        <w:t>条款未响应或不满足，将根据评审要求影响其得分，但不作为无效</w:t>
      </w: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条款。</w:t>
      </w:r>
    </w:p>
    <w:p>
      <w:pPr>
        <w:widowControl/>
        <w:jc w:val="left"/>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lang w:eastAsia="zh-Hans"/>
        </w:rPr>
        <w:t>“型号</w:t>
      </w:r>
      <w:r>
        <w:rPr>
          <w:rFonts w:ascii="宋体" w:hAnsi="宋体" w:cs="Calibri"/>
          <w:color w:val="auto"/>
          <w:kern w:val="0"/>
          <w:szCs w:val="21"/>
          <w:highlight w:val="none"/>
          <w:lang w:eastAsia="zh-Hans"/>
        </w:rPr>
        <w:t>”</w:t>
      </w:r>
      <w:r>
        <w:rPr>
          <w:rFonts w:hint="eastAsia" w:ascii="宋体" w:hAnsi="宋体" w:cs="Calibri"/>
          <w:color w:val="auto"/>
          <w:kern w:val="0"/>
          <w:szCs w:val="21"/>
          <w:highlight w:val="none"/>
          <w:lang w:eastAsia="zh-Hans"/>
        </w:rPr>
        <w:t>项，若无，填写：</w:t>
      </w:r>
      <w:r>
        <w:rPr>
          <w:rFonts w:ascii="宋体" w:hAnsi="宋体"/>
          <w:color w:val="auto"/>
          <w:kern w:val="0"/>
          <w:szCs w:val="21"/>
          <w:highlight w:val="none"/>
          <w:lang w:eastAsia="zh-Hans"/>
        </w:rPr>
        <w:t>“</w:t>
      </w:r>
      <w:r>
        <w:rPr>
          <w:rFonts w:hint="eastAsia" w:ascii="宋体" w:hAnsi="宋体"/>
          <w:color w:val="auto"/>
          <w:kern w:val="0"/>
          <w:szCs w:val="21"/>
          <w:highlight w:val="none"/>
        </w:rPr>
        <w:t xml:space="preserve"> </w:t>
      </w:r>
      <w:r>
        <w:rPr>
          <w:rStyle w:val="27"/>
          <w:rFonts w:ascii="宋体" w:hAnsi="宋体" w:cs="Arial"/>
          <w:color w:val="auto"/>
          <w:highlight w:val="none"/>
          <w:shd w:val="clear" w:color="auto" w:fill="FFFFFF"/>
        </w:rPr>
        <w:t>/</w:t>
      </w:r>
      <w:r>
        <w:rPr>
          <w:rStyle w:val="27"/>
          <w:rFonts w:hint="eastAsia" w:ascii="宋体" w:hAnsi="宋体" w:cs="Arial"/>
          <w:color w:val="auto"/>
          <w:highlight w:val="none"/>
          <w:shd w:val="clear" w:color="auto" w:fill="FFFFFF"/>
        </w:rPr>
        <w:t xml:space="preserve"> </w:t>
      </w:r>
      <w:r>
        <w:rPr>
          <w:rFonts w:ascii="宋体" w:hAnsi="宋体" w:cs="Calibri"/>
          <w:color w:val="auto"/>
          <w:kern w:val="0"/>
          <w:szCs w:val="21"/>
          <w:highlight w:val="none"/>
          <w:lang w:eastAsia="zh-Hans"/>
        </w:rPr>
        <w:t>”</w:t>
      </w:r>
      <w:r>
        <w:rPr>
          <w:rStyle w:val="27"/>
          <w:rFonts w:ascii="宋体" w:hAnsi="宋体" w:cs="Arial"/>
          <w:color w:val="auto"/>
          <w:highlight w:val="none"/>
          <w:shd w:val="clear" w:color="auto" w:fill="FFFFFF"/>
        </w:rPr>
        <w:t>。</w:t>
      </w:r>
    </w:p>
    <w:p>
      <w:pPr>
        <w:widowControl/>
        <w:jc w:val="left"/>
        <w:rPr>
          <w:rFonts w:ascii="宋体" w:hAnsi="宋体"/>
          <w:color w:val="auto"/>
          <w:kern w:val="0"/>
          <w:szCs w:val="21"/>
          <w:highlight w:val="none"/>
          <w:lang w:eastAsia="zh-Hans"/>
        </w:rPr>
      </w:pPr>
      <w:r>
        <w:rPr>
          <w:rFonts w:hint="eastAsia" w:ascii="宋体" w:hAnsi="宋体"/>
          <w:color w:val="auto"/>
          <w:kern w:val="0"/>
          <w:szCs w:val="21"/>
          <w:highlight w:val="none"/>
        </w:rPr>
        <w:t>4</w:t>
      </w:r>
      <w:r>
        <w:rPr>
          <w:rFonts w:ascii="宋体" w:hAnsi="宋体"/>
          <w:color w:val="auto"/>
          <w:kern w:val="0"/>
          <w:szCs w:val="21"/>
          <w:highlight w:val="none"/>
          <w:lang w:eastAsia="zh-Hans"/>
        </w:rPr>
        <w:t>.“是否偏离”项下应按下列规定填写：优于的，填写“正偏离”；符合的，填写“无偏离”；低于的，填写“负偏离”。</w:t>
      </w:r>
    </w:p>
    <w:p>
      <w:pPr>
        <w:widowControl/>
        <w:jc w:val="left"/>
        <w:rPr>
          <w:color w:val="auto"/>
          <w:kern w:val="0"/>
          <w:sz w:val="20"/>
          <w:szCs w:val="20"/>
          <w:highlight w:val="none"/>
          <w:lang w:eastAsia="zh-Hans"/>
        </w:rPr>
      </w:pPr>
      <w:r>
        <w:rPr>
          <w:rFonts w:hint="eastAsia" w:ascii="宋体" w:hAnsi="宋体"/>
          <w:color w:val="auto"/>
          <w:kern w:val="0"/>
          <w:szCs w:val="21"/>
          <w:highlight w:val="none"/>
        </w:rPr>
        <w:t>5</w:t>
      </w:r>
      <w:r>
        <w:rPr>
          <w:rFonts w:ascii="宋体" w:hAnsi="宋体"/>
          <w:color w:val="auto"/>
          <w:kern w:val="0"/>
          <w:szCs w:val="21"/>
          <w:highlight w:val="none"/>
          <w:lang w:eastAsia="zh-Hans"/>
        </w:rPr>
        <w:t>.</w:t>
      </w:r>
      <w:bookmarkStart w:id="65" w:name="_Hlk169717981"/>
      <w:r>
        <w:rPr>
          <w:rFonts w:ascii="宋体" w:hAnsi="宋体"/>
          <w:color w:val="auto"/>
          <w:kern w:val="0"/>
          <w:szCs w:val="21"/>
          <w:highlight w:val="none"/>
          <w:lang w:eastAsia="zh-Hans"/>
        </w:rPr>
        <w:t>“备注”</w:t>
      </w:r>
      <w:bookmarkEnd w:id="65"/>
      <w:r>
        <w:rPr>
          <w:rFonts w:ascii="宋体" w:hAnsi="宋体"/>
          <w:color w:val="auto"/>
          <w:kern w:val="0"/>
          <w:szCs w:val="21"/>
          <w:highlight w:val="none"/>
          <w:lang w:eastAsia="zh-Hans"/>
        </w:rPr>
        <w:t>处可填写偏离情况的说明。</w:t>
      </w:r>
    </w:p>
    <w:p>
      <w:pPr>
        <w:widowControl/>
        <w:spacing w:before="624" w:beforeLines="200" w:line="30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供应商名称</w:t>
      </w:r>
      <w:r>
        <w:rPr>
          <w:rFonts w:hint="eastAsia" w:ascii="宋体" w:hAnsi="宋体"/>
          <w:color w:val="auto"/>
          <w:szCs w:val="21"/>
          <w:highlight w:val="none"/>
        </w:rPr>
        <w:t>（加盖公章）</w:t>
      </w:r>
      <w:r>
        <w:rPr>
          <w:rFonts w:ascii="宋体" w:hAnsi="宋体"/>
          <w:color w:val="auto"/>
          <w:kern w:val="0"/>
          <w:szCs w:val="21"/>
          <w:highlight w:val="none"/>
          <w:lang w:eastAsia="zh-Hans"/>
        </w:rPr>
        <w:t>：__________________</w:t>
      </w:r>
    </w:p>
    <w:p>
      <w:pPr>
        <w:widowControl/>
        <w:jc w:val="left"/>
        <w:rPr>
          <w:color w:val="auto"/>
          <w:kern w:val="0"/>
          <w:sz w:val="20"/>
          <w:szCs w:val="20"/>
          <w:highlight w:val="none"/>
          <w:lang w:eastAsia="zh-Hans"/>
        </w:rPr>
      </w:pPr>
      <w:r>
        <w:rPr>
          <w:rFonts w:ascii="宋体" w:hAnsi="宋体"/>
          <w:color w:val="auto"/>
          <w:kern w:val="0"/>
          <w:szCs w:val="21"/>
          <w:highlight w:val="none"/>
          <w:lang w:eastAsia="zh-Hans"/>
        </w:rPr>
        <w:t xml:space="preserve">日期：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年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月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日</w:t>
      </w:r>
    </w:p>
    <w:p>
      <w:pPr>
        <w:pageBreakBefore/>
        <w:rPr>
          <w:color w:val="auto"/>
          <w:kern w:val="0"/>
          <w:sz w:val="20"/>
          <w:szCs w:val="20"/>
          <w:highlight w:val="none"/>
          <w:lang w:eastAsia="zh-Hans"/>
        </w:rPr>
      </w:pPr>
      <w:bookmarkStart w:id="66" w:name="_Toc169799801"/>
      <w:r>
        <w:rPr>
          <w:rFonts w:ascii="宋体" w:hAnsi="宋体"/>
          <w:b/>
          <w:bCs/>
          <w:color w:val="auto"/>
          <w:sz w:val="24"/>
          <w:szCs w:val="28"/>
          <w:highlight w:val="none"/>
        </w:rPr>
        <w:t>格式十</w:t>
      </w:r>
      <w:r>
        <w:rPr>
          <w:rFonts w:hint="eastAsia" w:ascii="宋体" w:hAnsi="宋体"/>
          <w:b/>
          <w:bCs/>
          <w:color w:val="auto"/>
          <w:sz w:val="24"/>
          <w:szCs w:val="28"/>
          <w:highlight w:val="none"/>
        </w:rPr>
        <w:t>八</w:t>
      </w:r>
      <w:r>
        <w:rPr>
          <w:rFonts w:ascii="宋体" w:hAnsi="宋体"/>
          <w:b/>
          <w:bCs/>
          <w:color w:val="auto"/>
          <w:sz w:val="24"/>
          <w:szCs w:val="28"/>
          <w:highlight w:val="none"/>
        </w:rPr>
        <w:t>：</w:t>
      </w:r>
      <w:bookmarkEnd w:id="66"/>
    </w:p>
    <w:p>
      <w:pPr>
        <w:widowControl/>
        <w:spacing w:after="312" w:afterLines="100"/>
        <w:jc w:val="center"/>
        <w:outlineLvl w:val="3"/>
        <w:rPr>
          <w:color w:val="auto"/>
          <w:kern w:val="0"/>
          <w:sz w:val="20"/>
          <w:szCs w:val="20"/>
          <w:highlight w:val="none"/>
        </w:rPr>
      </w:pPr>
      <w:r>
        <w:rPr>
          <w:b/>
          <w:color w:val="auto"/>
          <w:kern w:val="0"/>
          <w:sz w:val="32"/>
          <w:highlight w:val="none"/>
          <w:lang w:eastAsia="zh-Hans"/>
        </w:rPr>
        <w:t>商务条件响应表</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1255"/>
        <w:gridCol w:w="1579"/>
        <w:gridCol w:w="1664"/>
        <w:gridCol w:w="1322"/>
        <w:gridCol w:w="1322"/>
        <w:gridCol w:w="13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vAlign w:val="center"/>
          </w:tcPr>
          <w:p>
            <w:pPr>
              <w:widowControl/>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序号</w:t>
            </w:r>
          </w:p>
        </w:tc>
        <w:tc>
          <w:tcPr>
            <w:tcW w:w="676" w:type="pct"/>
            <w:vAlign w:val="center"/>
          </w:tcPr>
          <w:p>
            <w:pPr>
              <w:widowControl/>
              <w:jc w:val="center"/>
              <w:rPr>
                <w:rFonts w:ascii="宋体" w:hAnsi="宋体"/>
                <w:b/>
                <w:bCs/>
                <w:color w:val="auto"/>
                <w:kern w:val="0"/>
                <w:szCs w:val="21"/>
                <w:highlight w:val="none"/>
              </w:rPr>
            </w:pPr>
            <w:r>
              <w:rPr>
                <w:rFonts w:ascii="宋体" w:hAnsi="宋体"/>
                <w:b/>
                <w:bCs/>
                <w:color w:val="auto"/>
                <w:kern w:val="0"/>
                <w:szCs w:val="21"/>
                <w:highlight w:val="none"/>
                <w:lang w:eastAsia="zh-Hans"/>
              </w:rPr>
              <w:t>参数性质</w:t>
            </w:r>
          </w:p>
        </w:tc>
        <w:tc>
          <w:tcPr>
            <w:tcW w:w="850" w:type="pct"/>
            <w:vAlign w:val="center"/>
          </w:tcPr>
          <w:p>
            <w:pPr>
              <w:widowControl/>
              <w:jc w:val="center"/>
              <w:rPr>
                <w:rFonts w:ascii="宋体" w:hAnsi="宋体"/>
                <w:b/>
                <w:bCs/>
                <w:color w:val="auto"/>
                <w:kern w:val="0"/>
                <w:szCs w:val="21"/>
                <w:highlight w:val="none"/>
                <w:lang w:eastAsia="zh-Hans"/>
              </w:rPr>
            </w:pPr>
            <w:r>
              <w:rPr>
                <w:rFonts w:hint="eastAsia" w:ascii="宋体" w:hAnsi="宋体"/>
                <w:b/>
                <w:bCs/>
                <w:color w:val="auto"/>
                <w:kern w:val="0"/>
                <w:szCs w:val="21"/>
                <w:highlight w:val="none"/>
                <w:lang w:eastAsia="zh-Hans"/>
              </w:rPr>
              <w:t>磋商文件</w:t>
            </w:r>
            <w:r>
              <w:rPr>
                <w:rFonts w:ascii="宋体" w:hAnsi="宋体"/>
                <w:b/>
                <w:bCs/>
                <w:color w:val="auto"/>
                <w:kern w:val="0"/>
                <w:szCs w:val="21"/>
                <w:highlight w:val="none"/>
                <w:lang w:eastAsia="zh-Hans"/>
              </w:rPr>
              <w:t>规定的商务条件</w:t>
            </w:r>
          </w:p>
        </w:tc>
        <w:tc>
          <w:tcPr>
            <w:tcW w:w="896" w:type="pct"/>
            <w:vAlign w:val="center"/>
          </w:tcPr>
          <w:p>
            <w:pPr>
              <w:widowControl/>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响应文件响应的具体内容</w:t>
            </w:r>
          </w:p>
        </w:tc>
        <w:tc>
          <w:tcPr>
            <w:tcW w:w="712" w:type="pct"/>
            <w:vAlign w:val="center"/>
          </w:tcPr>
          <w:p>
            <w:pPr>
              <w:widowControl/>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是否偏离</w:t>
            </w:r>
          </w:p>
        </w:tc>
        <w:tc>
          <w:tcPr>
            <w:tcW w:w="712" w:type="pct"/>
            <w:vAlign w:val="center"/>
          </w:tcPr>
          <w:p>
            <w:pPr>
              <w:widowControl/>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证明文件所在位置</w:t>
            </w:r>
          </w:p>
        </w:tc>
        <w:tc>
          <w:tcPr>
            <w:tcW w:w="712" w:type="pct"/>
            <w:vAlign w:val="center"/>
          </w:tcPr>
          <w:p>
            <w:pPr>
              <w:widowControl/>
              <w:jc w:val="center"/>
              <w:rPr>
                <w:rFonts w:ascii="宋体" w:hAnsi="宋体"/>
                <w:b/>
                <w:bCs/>
                <w:color w:val="auto"/>
                <w:kern w:val="0"/>
                <w:szCs w:val="21"/>
                <w:highlight w:val="none"/>
                <w:lang w:eastAsia="zh-Hans"/>
              </w:rPr>
            </w:pPr>
            <w:r>
              <w:rPr>
                <w:rFonts w:ascii="宋体" w:hAnsi="宋体"/>
                <w:b/>
                <w:bCs/>
                <w:color w:val="auto"/>
                <w:kern w:val="0"/>
                <w:szCs w:val="21"/>
                <w:highlight w:val="none"/>
                <w:lang w:eastAsia="zh-Hans"/>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1</w:t>
            </w:r>
          </w:p>
        </w:tc>
        <w:tc>
          <w:tcPr>
            <w:tcW w:w="676" w:type="pct"/>
          </w:tcPr>
          <w:p>
            <w:pPr>
              <w:rPr>
                <w:rFonts w:ascii="宋体" w:hAnsi="宋体"/>
                <w:color w:val="auto"/>
                <w:szCs w:val="21"/>
                <w:highlight w:val="none"/>
              </w:rPr>
            </w:pPr>
          </w:p>
        </w:tc>
        <w:tc>
          <w:tcPr>
            <w:tcW w:w="850" w:type="pct"/>
          </w:tcPr>
          <w:p>
            <w:pPr>
              <w:rPr>
                <w:rFonts w:ascii="宋体" w:hAnsi="宋体"/>
                <w:color w:val="auto"/>
                <w:szCs w:val="21"/>
                <w:highlight w:val="none"/>
              </w:rPr>
            </w:pPr>
          </w:p>
        </w:tc>
        <w:tc>
          <w:tcPr>
            <w:tcW w:w="896"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2</w:t>
            </w:r>
          </w:p>
        </w:tc>
        <w:tc>
          <w:tcPr>
            <w:tcW w:w="676" w:type="pct"/>
          </w:tcPr>
          <w:p>
            <w:pPr>
              <w:rPr>
                <w:rFonts w:ascii="宋体" w:hAnsi="宋体"/>
                <w:color w:val="auto"/>
                <w:szCs w:val="21"/>
                <w:highlight w:val="none"/>
              </w:rPr>
            </w:pPr>
          </w:p>
        </w:tc>
        <w:tc>
          <w:tcPr>
            <w:tcW w:w="850" w:type="pct"/>
          </w:tcPr>
          <w:p>
            <w:pPr>
              <w:rPr>
                <w:rFonts w:ascii="宋体" w:hAnsi="宋体"/>
                <w:color w:val="auto"/>
                <w:szCs w:val="21"/>
                <w:highlight w:val="none"/>
              </w:rPr>
            </w:pPr>
          </w:p>
        </w:tc>
        <w:tc>
          <w:tcPr>
            <w:tcW w:w="896"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3</w:t>
            </w:r>
          </w:p>
        </w:tc>
        <w:tc>
          <w:tcPr>
            <w:tcW w:w="676" w:type="pct"/>
          </w:tcPr>
          <w:p>
            <w:pPr>
              <w:rPr>
                <w:rFonts w:ascii="宋体" w:hAnsi="宋体"/>
                <w:color w:val="auto"/>
                <w:szCs w:val="21"/>
                <w:highlight w:val="none"/>
              </w:rPr>
            </w:pPr>
          </w:p>
        </w:tc>
        <w:tc>
          <w:tcPr>
            <w:tcW w:w="850" w:type="pct"/>
          </w:tcPr>
          <w:p>
            <w:pPr>
              <w:rPr>
                <w:rFonts w:ascii="宋体" w:hAnsi="宋体"/>
                <w:color w:val="auto"/>
                <w:szCs w:val="21"/>
                <w:highlight w:val="none"/>
              </w:rPr>
            </w:pPr>
          </w:p>
        </w:tc>
        <w:tc>
          <w:tcPr>
            <w:tcW w:w="896"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4</w:t>
            </w:r>
          </w:p>
        </w:tc>
        <w:tc>
          <w:tcPr>
            <w:tcW w:w="676" w:type="pct"/>
          </w:tcPr>
          <w:p>
            <w:pPr>
              <w:rPr>
                <w:rFonts w:ascii="宋体" w:hAnsi="宋体"/>
                <w:color w:val="auto"/>
                <w:szCs w:val="21"/>
                <w:highlight w:val="none"/>
              </w:rPr>
            </w:pPr>
          </w:p>
        </w:tc>
        <w:tc>
          <w:tcPr>
            <w:tcW w:w="850" w:type="pct"/>
          </w:tcPr>
          <w:p>
            <w:pPr>
              <w:rPr>
                <w:rFonts w:ascii="宋体" w:hAnsi="宋体"/>
                <w:color w:val="auto"/>
                <w:szCs w:val="21"/>
                <w:highlight w:val="none"/>
              </w:rPr>
            </w:pPr>
          </w:p>
        </w:tc>
        <w:tc>
          <w:tcPr>
            <w:tcW w:w="896"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5</w:t>
            </w:r>
          </w:p>
        </w:tc>
        <w:tc>
          <w:tcPr>
            <w:tcW w:w="676" w:type="pct"/>
          </w:tcPr>
          <w:p>
            <w:pPr>
              <w:rPr>
                <w:rFonts w:ascii="宋体" w:hAnsi="宋体"/>
                <w:color w:val="auto"/>
                <w:szCs w:val="21"/>
                <w:highlight w:val="none"/>
              </w:rPr>
            </w:pPr>
          </w:p>
        </w:tc>
        <w:tc>
          <w:tcPr>
            <w:tcW w:w="850" w:type="pct"/>
          </w:tcPr>
          <w:p>
            <w:pPr>
              <w:rPr>
                <w:rFonts w:ascii="宋体" w:hAnsi="宋体"/>
                <w:color w:val="auto"/>
                <w:szCs w:val="21"/>
                <w:highlight w:val="none"/>
              </w:rPr>
            </w:pPr>
          </w:p>
        </w:tc>
        <w:tc>
          <w:tcPr>
            <w:tcW w:w="896"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6</w:t>
            </w:r>
          </w:p>
        </w:tc>
        <w:tc>
          <w:tcPr>
            <w:tcW w:w="676" w:type="pct"/>
          </w:tcPr>
          <w:p>
            <w:pPr>
              <w:rPr>
                <w:rFonts w:ascii="宋体" w:hAnsi="宋体"/>
                <w:color w:val="auto"/>
                <w:szCs w:val="21"/>
                <w:highlight w:val="none"/>
              </w:rPr>
            </w:pPr>
          </w:p>
        </w:tc>
        <w:tc>
          <w:tcPr>
            <w:tcW w:w="850" w:type="pct"/>
          </w:tcPr>
          <w:p>
            <w:pPr>
              <w:rPr>
                <w:rFonts w:ascii="宋体" w:hAnsi="宋体"/>
                <w:color w:val="auto"/>
                <w:szCs w:val="21"/>
                <w:highlight w:val="none"/>
              </w:rPr>
            </w:pPr>
          </w:p>
        </w:tc>
        <w:tc>
          <w:tcPr>
            <w:tcW w:w="896"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7</w:t>
            </w:r>
          </w:p>
        </w:tc>
        <w:tc>
          <w:tcPr>
            <w:tcW w:w="676" w:type="pct"/>
          </w:tcPr>
          <w:p>
            <w:pPr>
              <w:rPr>
                <w:rFonts w:ascii="宋体" w:hAnsi="宋体"/>
                <w:color w:val="auto"/>
                <w:szCs w:val="21"/>
                <w:highlight w:val="none"/>
              </w:rPr>
            </w:pPr>
          </w:p>
        </w:tc>
        <w:tc>
          <w:tcPr>
            <w:tcW w:w="850" w:type="pct"/>
          </w:tcPr>
          <w:p>
            <w:pPr>
              <w:rPr>
                <w:rFonts w:ascii="宋体" w:hAnsi="宋体"/>
                <w:color w:val="auto"/>
                <w:szCs w:val="21"/>
                <w:highlight w:val="none"/>
              </w:rPr>
            </w:pPr>
          </w:p>
        </w:tc>
        <w:tc>
          <w:tcPr>
            <w:tcW w:w="896"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8</w:t>
            </w:r>
          </w:p>
        </w:tc>
        <w:tc>
          <w:tcPr>
            <w:tcW w:w="676" w:type="pct"/>
          </w:tcPr>
          <w:p>
            <w:pPr>
              <w:rPr>
                <w:rFonts w:ascii="宋体" w:hAnsi="宋体"/>
                <w:color w:val="auto"/>
                <w:szCs w:val="21"/>
                <w:highlight w:val="none"/>
              </w:rPr>
            </w:pPr>
          </w:p>
        </w:tc>
        <w:tc>
          <w:tcPr>
            <w:tcW w:w="850" w:type="pct"/>
          </w:tcPr>
          <w:p>
            <w:pPr>
              <w:rPr>
                <w:rFonts w:ascii="宋体" w:hAnsi="宋体"/>
                <w:color w:val="auto"/>
                <w:szCs w:val="21"/>
                <w:highlight w:val="none"/>
              </w:rPr>
            </w:pPr>
          </w:p>
        </w:tc>
        <w:tc>
          <w:tcPr>
            <w:tcW w:w="896"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9</w:t>
            </w:r>
          </w:p>
        </w:tc>
        <w:tc>
          <w:tcPr>
            <w:tcW w:w="676" w:type="pct"/>
          </w:tcPr>
          <w:p>
            <w:pPr>
              <w:rPr>
                <w:rFonts w:ascii="宋体" w:hAnsi="宋体"/>
                <w:color w:val="auto"/>
                <w:szCs w:val="21"/>
                <w:highlight w:val="none"/>
              </w:rPr>
            </w:pPr>
          </w:p>
        </w:tc>
        <w:tc>
          <w:tcPr>
            <w:tcW w:w="850" w:type="pct"/>
          </w:tcPr>
          <w:p>
            <w:pPr>
              <w:rPr>
                <w:rFonts w:ascii="宋体" w:hAnsi="宋体"/>
                <w:color w:val="auto"/>
                <w:szCs w:val="21"/>
                <w:highlight w:val="none"/>
              </w:rPr>
            </w:pPr>
          </w:p>
        </w:tc>
        <w:tc>
          <w:tcPr>
            <w:tcW w:w="896"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Pr>
          <w:p>
            <w:pPr>
              <w:widowControl/>
              <w:jc w:val="center"/>
              <w:rPr>
                <w:rFonts w:ascii="宋体" w:hAnsi="宋体"/>
                <w:color w:val="auto"/>
                <w:kern w:val="0"/>
                <w:szCs w:val="21"/>
                <w:highlight w:val="none"/>
                <w:lang w:eastAsia="zh-Hans"/>
              </w:rPr>
            </w:pPr>
            <w:r>
              <w:rPr>
                <w:rFonts w:ascii="宋体" w:hAnsi="宋体"/>
                <w:color w:val="auto"/>
                <w:kern w:val="0"/>
                <w:szCs w:val="21"/>
                <w:highlight w:val="none"/>
                <w:lang w:eastAsia="zh-Hans"/>
              </w:rPr>
              <w:t>……</w:t>
            </w:r>
          </w:p>
        </w:tc>
        <w:tc>
          <w:tcPr>
            <w:tcW w:w="676" w:type="pct"/>
          </w:tcPr>
          <w:p>
            <w:pPr>
              <w:rPr>
                <w:rFonts w:ascii="宋体" w:hAnsi="宋体"/>
                <w:color w:val="auto"/>
                <w:szCs w:val="21"/>
                <w:highlight w:val="none"/>
              </w:rPr>
            </w:pPr>
          </w:p>
        </w:tc>
        <w:tc>
          <w:tcPr>
            <w:tcW w:w="850" w:type="pct"/>
          </w:tcPr>
          <w:p>
            <w:pPr>
              <w:rPr>
                <w:rFonts w:ascii="宋体" w:hAnsi="宋体"/>
                <w:color w:val="auto"/>
                <w:szCs w:val="21"/>
                <w:highlight w:val="none"/>
              </w:rPr>
            </w:pPr>
          </w:p>
        </w:tc>
        <w:tc>
          <w:tcPr>
            <w:tcW w:w="896"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c>
          <w:tcPr>
            <w:tcW w:w="712" w:type="pct"/>
          </w:tcPr>
          <w:p>
            <w:pPr>
              <w:rPr>
                <w:rFonts w:ascii="宋体" w:hAnsi="宋体"/>
                <w:color w:val="auto"/>
                <w:szCs w:val="21"/>
                <w:highlight w:val="none"/>
              </w:rPr>
            </w:pPr>
          </w:p>
        </w:tc>
      </w:tr>
    </w:tbl>
    <w:p>
      <w:pPr>
        <w:widowControl/>
        <w:jc w:val="left"/>
        <w:rPr>
          <w:color w:val="auto"/>
          <w:kern w:val="0"/>
          <w:sz w:val="20"/>
          <w:szCs w:val="20"/>
          <w:highlight w:val="none"/>
          <w:lang w:eastAsia="zh-Hans"/>
        </w:rPr>
      </w:pPr>
      <w:r>
        <w:rPr>
          <w:color w:val="auto"/>
          <w:kern w:val="0"/>
          <w:sz w:val="20"/>
          <w:szCs w:val="20"/>
          <w:highlight w:val="none"/>
          <w:lang w:eastAsia="zh-Hans"/>
        </w:rPr>
        <w:t>说明：</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1.“</w:t>
      </w:r>
      <w:r>
        <w:rPr>
          <w:rFonts w:hint="eastAsia" w:ascii="宋体" w:hAnsi="宋体"/>
          <w:color w:val="auto"/>
          <w:kern w:val="0"/>
          <w:szCs w:val="21"/>
          <w:highlight w:val="none"/>
          <w:lang w:eastAsia="zh-Hans"/>
        </w:rPr>
        <w:t>磋商文件</w:t>
      </w:r>
      <w:r>
        <w:rPr>
          <w:rFonts w:ascii="宋体" w:hAnsi="宋体"/>
          <w:color w:val="auto"/>
          <w:kern w:val="0"/>
          <w:szCs w:val="21"/>
          <w:highlight w:val="none"/>
          <w:lang w:eastAsia="zh-Hans"/>
        </w:rPr>
        <w:t>规定的商务条件”项下填写的内容应与磋商文件中采购需求的“商务要求”的内容保持一致。</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2.供应商应当如实填写上表“响应文件响应的具体内容”处内容，对采购文件规定的商务条件作出明确响应，并列明具体响应数值或内容，只注明符合、满足等无具体内容表述的，将视为未实质性满足磋商文件要求。供应商需要说明的内容若需特殊表达，应先在本表中进行相应说明，再另页应答。</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3.参数性质栏目按磋商文件有标注的“</w:t>
      </w:r>
      <w:r>
        <w:rPr>
          <w:rFonts w:ascii="宋体" w:hAnsi="宋体" w:cs="Segoe UI Symbol"/>
          <w:color w:val="auto"/>
          <w:kern w:val="0"/>
          <w:szCs w:val="21"/>
          <w:highlight w:val="none"/>
          <w:lang w:eastAsia="zh-Hans"/>
        </w:rPr>
        <w:t>★</w:t>
      </w:r>
      <w:r>
        <w:rPr>
          <w:rFonts w:ascii="宋体" w:hAnsi="宋体" w:cs="Calibri"/>
          <w:color w:val="auto"/>
          <w:kern w:val="0"/>
          <w:szCs w:val="21"/>
          <w:highlight w:val="none"/>
          <w:lang w:eastAsia="zh-Hans"/>
        </w:rPr>
        <w:t>”</w:t>
      </w:r>
      <w:r>
        <w:rPr>
          <w:rFonts w:ascii="宋体" w:hAnsi="宋体"/>
          <w:color w:val="auto"/>
          <w:kern w:val="0"/>
          <w:szCs w:val="21"/>
          <w:highlight w:val="none"/>
          <w:lang w:eastAsia="zh-Hans"/>
        </w:rPr>
        <w:t>、“▲</w:t>
      </w:r>
      <w:r>
        <w:rPr>
          <w:rFonts w:ascii="宋体" w:hAnsi="宋体" w:cs="Calibri"/>
          <w:color w:val="auto"/>
          <w:kern w:val="0"/>
          <w:szCs w:val="21"/>
          <w:highlight w:val="none"/>
          <w:lang w:eastAsia="zh-Hans"/>
        </w:rPr>
        <w:t>”</w:t>
      </w:r>
      <w:r>
        <w:rPr>
          <w:rFonts w:ascii="宋体" w:hAnsi="宋体"/>
          <w:color w:val="auto"/>
          <w:kern w:val="0"/>
          <w:szCs w:val="21"/>
          <w:highlight w:val="none"/>
          <w:lang w:eastAsia="zh-Hans"/>
        </w:rPr>
        <w:t>号条款进行填写，打“</w:t>
      </w:r>
      <w:r>
        <w:rPr>
          <w:rFonts w:ascii="宋体" w:hAnsi="宋体" w:cs="Segoe UI Symbol"/>
          <w:color w:val="auto"/>
          <w:kern w:val="0"/>
          <w:szCs w:val="21"/>
          <w:highlight w:val="none"/>
          <w:lang w:eastAsia="zh-Hans"/>
        </w:rPr>
        <w:t>★</w:t>
      </w:r>
      <w:r>
        <w:rPr>
          <w:rFonts w:ascii="宋体" w:hAnsi="宋体" w:cs="Calibri"/>
          <w:color w:val="auto"/>
          <w:kern w:val="0"/>
          <w:szCs w:val="21"/>
          <w:highlight w:val="none"/>
          <w:lang w:eastAsia="zh-Hans"/>
        </w:rPr>
        <w:t>”</w:t>
      </w:r>
      <w:r>
        <w:rPr>
          <w:rFonts w:ascii="宋体" w:hAnsi="宋体"/>
          <w:color w:val="auto"/>
          <w:kern w:val="0"/>
          <w:szCs w:val="21"/>
          <w:highlight w:val="none"/>
          <w:lang w:eastAsia="zh-Hans"/>
        </w:rPr>
        <w:t>号条款为实质性条款，若有任何一条负偏离或不满足则导致</w:t>
      </w: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无效。打“▲</w:t>
      </w:r>
      <w:r>
        <w:rPr>
          <w:rFonts w:ascii="宋体" w:hAnsi="宋体" w:cs="Calibri"/>
          <w:color w:val="auto"/>
          <w:kern w:val="0"/>
          <w:szCs w:val="21"/>
          <w:highlight w:val="none"/>
          <w:lang w:eastAsia="zh-Hans"/>
        </w:rPr>
        <w:t>”</w:t>
      </w:r>
      <w:r>
        <w:rPr>
          <w:rFonts w:ascii="宋体" w:hAnsi="宋体"/>
          <w:color w:val="auto"/>
          <w:kern w:val="0"/>
          <w:szCs w:val="21"/>
          <w:highlight w:val="none"/>
          <w:lang w:eastAsia="zh-Hans"/>
        </w:rPr>
        <w:t>号条款为重要技术参数（如有），若有部分“▲</w:t>
      </w:r>
      <w:r>
        <w:rPr>
          <w:rFonts w:ascii="宋体" w:hAnsi="宋体" w:cs="Calibri"/>
          <w:color w:val="auto"/>
          <w:kern w:val="0"/>
          <w:szCs w:val="21"/>
          <w:highlight w:val="none"/>
          <w:lang w:eastAsia="zh-Hans"/>
        </w:rPr>
        <w:t>”</w:t>
      </w:r>
      <w:r>
        <w:rPr>
          <w:rFonts w:ascii="宋体" w:hAnsi="宋体"/>
          <w:color w:val="auto"/>
          <w:kern w:val="0"/>
          <w:szCs w:val="21"/>
          <w:highlight w:val="none"/>
          <w:lang w:eastAsia="zh-Hans"/>
        </w:rPr>
        <w:t>条款未响应或不满足，将根据评审要求影响其得分，但不作为无效</w:t>
      </w:r>
      <w:r>
        <w:rPr>
          <w:rFonts w:hint="eastAsia" w:ascii="宋体" w:hAnsi="宋体"/>
          <w:color w:val="auto"/>
          <w:kern w:val="0"/>
          <w:szCs w:val="21"/>
          <w:highlight w:val="none"/>
          <w:lang w:eastAsia="zh-Hans"/>
        </w:rPr>
        <w:t>响应</w:t>
      </w:r>
      <w:r>
        <w:rPr>
          <w:rFonts w:ascii="宋体" w:hAnsi="宋体"/>
          <w:color w:val="auto"/>
          <w:kern w:val="0"/>
          <w:szCs w:val="21"/>
          <w:highlight w:val="none"/>
          <w:lang w:eastAsia="zh-Hans"/>
        </w:rPr>
        <w:t>条款。</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4.“是否偏离”项下应按下列规定填写：优于的，填写“正偏离”；符合的，填写“无偏离”；低于的，填写“负偏离”。</w:t>
      </w:r>
    </w:p>
    <w:p>
      <w:pPr>
        <w:widowControl/>
        <w:jc w:val="left"/>
        <w:rPr>
          <w:color w:val="auto"/>
          <w:kern w:val="0"/>
          <w:sz w:val="20"/>
          <w:szCs w:val="20"/>
          <w:highlight w:val="none"/>
          <w:lang w:eastAsia="zh-Hans"/>
        </w:rPr>
      </w:pPr>
      <w:r>
        <w:rPr>
          <w:rFonts w:ascii="宋体" w:hAnsi="宋体"/>
          <w:color w:val="auto"/>
          <w:kern w:val="0"/>
          <w:szCs w:val="21"/>
          <w:highlight w:val="none"/>
          <w:lang w:eastAsia="zh-Hans"/>
        </w:rPr>
        <w:t>5.“备注”处可填写偏离情况的说明。</w:t>
      </w:r>
    </w:p>
    <w:p>
      <w:pPr>
        <w:widowControl/>
        <w:spacing w:before="624" w:beforeLines="200" w:line="300" w:lineRule="auto"/>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供应商名称</w:t>
      </w:r>
      <w:r>
        <w:rPr>
          <w:rFonts w:hint="eastAsia" w:ascii="宋体" w:hAnsi="宋体"/>
          <w:color w:val="auto"/>
          <w:szCs w:val="21"/>
          <w:highlight w:val="none"/>
        </w:rPr>
        <w:t>（加盖公章）</w:t>
      </w:r>
      <w:r>
        <w:rPr>
          <w:rFonts w:ascii="宋体" w:hAnsi="宋体"/>
          <w:color w:val="auto"/>
          <w:kern w:val="0"/>
          <w:szCs w:val="21"/>
          <w:highlight w:val="none"/>
          <w:lang w:eastAsia="zh-Hans"/>
        </w:rPr>
        <w:t>：__________________</w:t>
      </w:r>
    </w:p>
    <w:p>
      <w:pPr>
        <w:widowControl/>
        <w:jc w:val="left"/>
        <w:rPr>
          <w:color w:val="auto"/>
          <w:kern w:val="0"/>
          <w:sz w:val="20"/>
          <w:szCs w:val="20"/>
          <w:highlight w:val="none"/>
          <w:lang w:eastAsia="zh-Hans"/>
        </w:rPr>
      </w:pPr>
      <w:r>
        <w:rPr>
          <w:rFonts w:ascii="宋体" w:hAnsi="宋体"/>
          <w:color w:val="auto"/>
          <w:kern w:val="0"/>
          <w:szCs w:val="21"/>
          <w:highlight w:val="none"/>
          <w:lang w:eastAsia="zh-Hans"/>
        </w:rPr>
        <w:t xml:space="preserve">日期：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年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 xml:space="preserve">月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日</w:t>
      </w:r>
    </w:p>
    <w:p>
      <w:pPr>
        <w:pageBreakBefore/>
        <w:rPr>
          <w:color w:val="auto"/>
          <w:kern w:val="0"/>
          <w:sz w:val="20"/>
          <w:szCs w:val="20"/>
          <w:highlight w:val="none"/>
          <w:lang w:eastAsia="zh-Hans"/>
        </w:rPr>
      </w:pPr>
      <w:bookmarkStart w:id="67" w:name="_Toc169799802"/>
      <w:r>
        <w:rPr>
          <w:rFonts w:ascii="宋体" w:hAnsi="宋体"/>
          <w:b/>
          <w:bCs/>
          <w:color w:val="auto"/>
          <w:sz w:val="24"/>
          <w:szCs w:val="28"/>
          <w:highlight w:val="none"/>
        </w:rPr>
        <w:t>格式</w:t>
      </w:r>
      <w:r>
        <w:rPr>
          <w:rFonts w:hint="eastAsia" w:ascii="宋体" w:hAnsi="宋体"/>
          <w:b/>
          <w:bCs/>
          <w:color w:val="auto"/>
          <w:sz w:val="24"/>
          <w:szCs w:val="28"/>
          <w:highlight w:val="none"/>
        </w:rPr>
        <w:t>十九</w:t>
      </w:r>
      <w:r>
        <w:rPr>
          <w:rFonts w:ascii="宋体" w:hAnsi="宋体"/>
          <w:b/>
          <w:bCs/>
          <w:color w:val="auto"/>
          <w:sz w:val="24"/>
          <w:szCs w:val="28"/>
          <w:highlight w:val="none"/>
        </w:rPr>
        <w:t>：</w:t>
      </w:r>
      <w:bookmarkEnd w:id="67"/>
    </w:p>
    <w:p>
      <w:pPr>
        <w:widowControl/>
        <w:jc w:val="left"/>
        <w:rPr>
          <w:color w:val="auto"/>
          <w:kern w:val="0"/>
          <w:szCs w:val="21"/>
          <w:highlight w:val="none"/>
          <w:lang w:eastAsia="zh-Hans"/>
        </w:rPr>
      </w:pPr>
      <w:r>
        <w:rPr>
          <w:color w:val="auto"/>
          <w:kern w:val="0"/>
          <w:szCs w:val="21"/>
          <w:highlight w:val="none"/>
          <w:lang w:eastAsia="zh-Hans"/>
        </w:rPr>
        <w:t>（以下格式文件由供应商根据需要选用）</w:t>
      </w:r>
    </w:p>
    <w:p>
      <w:pPr>
        <w:widowControl/>
        <w:spacing w:before="156" w:beforeLines="50" w:after="312" w:afterLines="100"/>
        <w:jc w:val="center"/>
        <w:outlineLvl w:val="3"/>
        <w:rPr>
          <w:color w:val="auto"/>
          <w:kern w:val="0"/>
          <w:sz w:val="20"/>
          <w:szCs w:val="20"/>
          <w:highlight w:val="none"/>
          <w:lang w:eastAsia="zh-Hans"/>
        </w:rPr>
      </w:pPr>
      <w:r>
        <w:rPr>
          <w:b/>
          <w:color w:val="auto"/>
          <w:kern w:val="0"/>
          <w:sz w:val="32"/>
          <w:highlight w:val="none"/>
          <w:lang w:eastAsia="zh-Hans"/>
        </w:rPr>
        <w:t>各类证明材料</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1.磋商文件要求提供的其他资料。</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2.供应商认为需提供的其他资料。</w:t>
      </w:r>
    </w:p>
    <w:p>
      <w:pPr>
        <w:widowControl/>
        <w:jc w:val="left"/>
        <w:rPr>
          <w:color w:val="auto"/>
          <w:kern w:val="0"/>
          <w:sz w:val="20"/>
          <w:szCs w:val="20"/>
          <w:highlight w:val="none"/>
          <w:lang w:eastAsia="zh-Hans"/>
        </w:rPr>
      </w:pPr>
    </w:p>
    <w:p>
      <w:pPr>
        <w:pageBreakBefore/>
        <w:rPr>
          <w:color w:val="auto"/>
          <w:kern w:val="0"/>
          <w:sz w:val="20"/>
          <w:szCs w:val="20"/>
          <w:highlight w:val="none"/>
          <w:lang w:eastAsia="zh-Hans"/>
        </w:rPr>
      </w:pPr>
      <w:bookmarkStart w:id="68" w:name="_Toc169799803"/>
      <w:r>
        <w:rPr>
          <w:rFonts w:ascii="宋体" w:hAnsi="宋体"/>
          <w:b/>
          <w:bCs/>
          <w:color w:val="auto"/>
          <w:sz w:val="24"/>
          <w:szCs w:val="28"/>
          <w:highlight w:val="none"/>
        </w:rPr>
        <w:t>格式二十：</w:t>
      </w:r>
      <w:bookmarkEnd w:id="68"/>
    </w:p>
    <w:p>
      <w:pPr>
        <w:widowControl/>
        <w:jc w:val="center"/>
        <w:outlineLvl w:val="3"/>
        <w:rPr>
          <w:color w:val="auto"/>
          <w:kern w:val="0"/>
          <w:sz w:val="20"/>
          <w:szCs w:val="20"/>
          <w:highlight w:val="none"/>
          <w:lang w:eastAsia="zh-Hans"/>
        </w:rPr>
      </w:pPr>
      <w:r>
        <w:rPr>
          <w:b/>
          <w:color w:val="auto"/>
          <w:kern w:val="0"/>
          <w:sz w:val="32"/>
          <w:highlight w:val="none"/>
          <w:lang w:eastAsia="zh-Hans"/>
        </w:rPr>
        <w:t>采购代理服务费支付承诺书</w:t>
      </w:r>
    </w:p>
    <w:p>
      <w:pPr>
        <w:widowControl/>
        <w:spacing w:before="156" w:beforeLines="50" w:after="156" w:afterLines="50"/>
        <w:jc w:val="left"/>
        <w:rPr>
          <w:rFonts w:ascii="宋体" w:hAnsi="宋体"/>
          <w:b/>
          <w:bCs/>
          <w:color w:val="auto"/>
          <w:kern w:val="0"/>
          <w:szCs w:val="21"/>
          <w:highlight w:val="none"/>
        </w:rPr>
      </w:pPr>
      <w:r>
        <w:rPr>
          <w:rFonts w:ascii="宋体" w:hAnsi="宋体"/>
          <w:b/>
          <w:bCs/>
          <w:color w:val="auto"/>
          <w:kern w:val="0"/>
          <w:szCs w:val="21"/>
          <w:highlight w:val="none"/>
          <w:lang w:eastAsia="zh-Hans"/>
        </w:rPr>
        <w:t>广东智汇城市招标采购有限公司</w:t>
      </w:r>
      <w:r>
        <w:rPr>
          <w:rFonts w:hint="eastAsia" w:ascii="宋体" w:hAnsi="宋体"/>
          <w:b/>
          <w:bCs/>
          <w:color w:val="auto"/>
          <w:kern w:val="0"/>
          <w:szCs w:val="21"/>
          <w:highlight w:val="none"/>
          <w:lang w:eastAsia="zh-Hans"/>
        </w:rPr>
        <w:t>：</w:t>
      </w:r>
    </w:p>
    <w:p>
      <w:pPr>
        <w:widowControl/>
        <w:snapToGrid w:val="0"/>
        <w:spacing w:before="312" w:beforeLines="100"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如果我方在贵采购代理机构组织的</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Hans"/>
        </w:rPr>
        <w:t>（采购项目名称）</w:t>
      </w:r>
      <w:r>
        <w:rPr>
          <w:rFonts w:hint="eastAsia" w:ascii="宋体" w:hAnsi="宋体"/>
          <w:color w:val="auto"/>
          <w:kern w:val="0"/>
          <w:szCs w:val="21"/>
          <w:highlight w:val="none"/>
          <w:u w:val="single"/>
        </w:rPr>
        <w:t>、（项目编号：   ）</w:t>
      </w:r>
      <w:r>
        <w:rPr>
          <w:rFonts w:ascii="宋体" w:hAnsi="宋体"/>
          <w:color w:val="auto"/>
          <w:kern w:val="0"/>
          <w:szCs w:val="21"/>
          <w:highlight w:val="none"/>
          <w:lang w:eastAsia="zh-Hans"/>
        </w:rPr>
        <w:t>磋商中获成交，我方保证在收取《成交通知书》时，按磋商文件对代理服务费支付方式的约定，承担本项目代理服务费。</w:t>
      </w:r>
    </w:p>
    <w:p>
      <w:pPr>
        <w:widowControl/>
        <w:snapToGrid w:val="0"/>
        <w:spacing w:line="360" w:lineRule="auto"/>
        <w:contextualSpacing/>
        <w:jc w:val="left"/>
        <w:rPr>
          <w:rFonts w:ascii="宋体" w:hAnsi="宋体"/>
          <w:color w:val="auto"/>
          <w:kern w:val="0"/>
          <w:szCs w:val="21"/>
          <w:highlight w:val="none"/>
        </w:rPr>
      </w:pPr>
    </w:p>
    <w:p>
      <w:pPr>
        <w:widowControl/>
        <w:snapToGrid w:val="0"/>
        <w:spacing w:line="360" w:lineRule="auto"/>
        <w:ind w:firstLine="420" w:firstLineChars="200"/>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特此承诺</w:t>
      </w:r>
      <w:r>
        <w:rPr>
          <w:rFonts w:hint="eastAsia" w:ascii="宋体" w:hAnsi="宋体"/>
          <w:color w:val="auto"/>
          <w:kern w:val="0"/>
          <w:szCs w:val="21"/>
          <w:highlight w:val="none"/>
          <w:lang w:eastAsia="zh-Hans"/>
        </w:rPr>
        <w:t>。</w:t>
      </w:r>
    </w:p>
    <w:p>
      <w:pPr>
        <w:widowControl/>
        <w:snapToGrid w:val="0"/>
        <w:spacing w:before="468" w:beforeLines="150" w:line="360" w:lineRule="auto"/>
        <w:ind w:firstLine="3542" w:firstLineChars="1687"/>
        <w:contextualSpacing/>
        <w:jc w:val="left"/>
        <w:rPr>
          <w:rFonts w:ascii="宋体" w:hAnsi="宋体"/>
          <w:color w:val="auto"/>
          <w:kern w:val="0"/>
          <w:szCs w:val="21"/>
          <w:highlight w:val="none"/>
        </w:rPr>
      </w:pPr>
    </w:p>
    <w:p>
      <w:pPr>
        <w:widowControl/>
        <w:snapToGrid w:val="0"/>
        <w:spacing w:before="468" w:beforeLines="150" w:line="360" w:lineRule="auto"/>
        <w:ind w:firstLine="3542" w:firstLineChars="1687"/>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供应商名称（公章）</w:t>
      </w:r>
      <w:r>
        <w:rPr>
          <w:rFonts w:hint="eastAsia" w:ascii="宋体" w:hAnsi="宋体"/>
          <w:color w:val="auto"/>
          <w:kern w:val="0"/>
          <w:szCs w:val="21"/>
          <w:highlight w:val="none"/>
          <w:lang w:eastAsia="zh-Hans"/>
        </w:rPr>
        <w:t>：</w:t>
      </w:r>
    </w:p>
    <w:p>
      <w:pPr>
        <w:widowControl/>
        <w:snapToGrid w:val="0"/>
        <w:spacing w:line="360" w:lineRule="auto"/>
        <w:ind w:firstLine="3542" w:firstLineChars="1687"/>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供应商地址：</w:t>
      </w:r>
    </w:p>
    <w:p>
      <w:pPr>
        <w:widowControl/>
        <w:snapToGrid w:val="0"/>
        <w:spacing w:line="360" w:lineRule="auto"/>
        <w:ind w:firstLine="3542" w:firstLineChars="1687"/>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供应商授权代表（签字或盖</w:t>
      </w:r>
      <w:r>
        <w:rPr>
          <w:rFonts w:hint="eastAsia" w:ascii="宋体" w:hAnsi="宋体"/>
          <w:color w:val="auto"/>
          <w:kern w:val="0"/>
          <w:szCs w:val="21"/>
          <w:highlight w:val="none"/>
          <w:lang w:eastAsia="zh-Hans"/>
        </w:rPr>
        <w:t>私</w:t>
      </w:r>
      <w:r>
        <w:rPr>
          <w:rFonts w:ascii="宋体" w:hAnsi="宋体"/>
          <w:color w:val="auto"/>
          <w:kern w:val="0"/>
          <w:szCs w:val="21"/>
          <w:highlight w:val="none"/>
          <w:lang w:eastAsia="zh-Hans"/>
        </w:rPr>
        <w:t>章）：</w:t>
      </w:r>
    </w:p>
    <w:p>
      <w:pPr>
        <w:widowControl/>
        <w:snapToGrid w:val="0"/>
        <w:spacing w:line="360" w:lineRule="auto"/>
        <w:ind w:firstLine="3542" w:firstLineChars="1687"/>
        <w:contextualSpacing/>
        <w:jc w:val="left"/>
        <w:rPr>
          <w:rFonts w:ascii="宋体" w:hAnsi="宋体"/>
          <w:color w:val="auto"/>
          <w:kern w:val="0"/>
          <w:szCs w:val="21"/>
          <w:highlight w:val="none"/>
        </w:rPr>
      </w:pPr>
      <w:r>
        <w:rPr>
          <w:rFonts w:ascii="宋体" w:hAnsi="宋体"/>
          <w:color w:val="auto"/>
          <w:kern w:val="0"/>
          <w:szCs w:val="21"/>
          <w:highlight w:val="none"/>
          <w:lang w:eastAsia="zh-Hans"/>
        </w:rPr>
        <w:t>电 话：</w:t>
      </w:r>
    </w:p>
    <w:p>
      <w:pPr>
        <w:widowControl/>
        <w:snapToGrid w:val="0"/>
        <w:spacing w:line="360" w:lineRule="auto"/>
        <w:ind w:firstLine="3542" w:firstLineChars="1687"/>
        <w:contextualSpacing/>
        <w:jc w:val="left"/>
        <w:rPr>
          <w:color w:val="auto"/>
          <w:kern w:val="0"/>
          <w:sz w:val="20"/>
          <w:szCs w:val="20"/>
          <w:highlight w:val="none"/>
        </w:rPr>
      </w:pPr>
      <w:r>
        <w:rPr>
          <w:rFonts w:ascii="宋体" w:hAnsi="宋体"/>
          <w:color w:val="auto"/>
          <w:kern w:val="0"/>
          <w:szCs w:val="21"/>
          <w:highlight w:val="none"/>
          <w:lang w:eastAsia="zh-Hans"/>
        </w:rPr>
        <w:t>承诺日期：</w:t>
      </w:r>
    </w:p>
    <w:p>
      <w:pPr>
        <w:widowControl/>
        <w:snapToGrid w:val="0"/>
        <w:spacing w:line="360" w:lineRule="auto"/>
        <w:contextualSpacing/>
        <w:jc w:val="left"/>
        <w:rPr>
          <w:color w:val="auto"/>
          <w:kern w:val="0"/>
          <w:sz w:val="20"/>
          <w:szCs w:val="20"/>
          <w:highlight w:val="none"/>
          <w:lang w:eastAsia="zh-Hans"/>
        </w:rPr>
      </w:pPr>
      <w:r>
        <w:rPr>
          <w:color w:val="auto"/>
          <w:kern w:val="0"/>
          <w:sz w:val="20"/>
          <w:szCs w:val="20"/>
          <w:highlight w:val="none"/>
          <w:lang w:eastAsia="zh-Hans"/>
        </w:rPr>
        <w:t xml:space="preserve"> </w:t>
      </w:r>
    </w:p>
    <w:p>
      <w:pPr>
        <w:pageBreakBefore/>
        <w:rPr>
          <w:color w:val="auto"/>
          <w:kern w:val="0"/>
          <w:sz w:val="20"/>
          <w:szCs w:val="20"/>
          <w:highlight w:val="none"/>
          <w:lang w:eastAsia="zh-Hans"/>
        </w:rPr>
      </w:pPr>
      <w:bookmarkStart w:id="69" w:name="_Toc169799804"/>
      <w:r>
        <w:rPr>
          <w:rFonts w:ascii="宋体" w:hAnsi="宋体"/>
          <w:b/>
          <w:bCs/>
          <w:color w:val="auto"/>
          <w:sz w:val="24"/>
          <w:szCs w:val="28"/>
          <w:highlight w:val="none"/>
        </w:rPr>
        <w:t>格式二十</w:t>
      </w:r>
      <w:r>
        <w:rPr>
          <w:rFonts w:hint="eastAsia" w:ascii="宋体" w:hAnsi="宋体"/>
          <w:b/>
          <w:bCs/>
          <w:color w:val="auto"/>
          <w:sz w:val="24"/>
          <w:szCs w:val="28"/>
          <w:highlight w:val="none"/>
        </w:rPr>
        <w:t>一</w:t>
      </w:r>
      <w:r>
        <w:rPr>
          <w:rFonts w:ascii="宋体" w:hAnsi="宋体"/>
          <w:b/>
          <w:bCs/>
          <w:color w:val="auto"/>
          <w:sz w:val="24"/>
          <w:szCs w:val="28"/>
          <w:highlight w:val="none"/>
        </w:rPr>
        <w:t>：</w:t>
      </w:r>
      <w:bookmarkEnd w:id="69"/>
    </w:p>
    <w:p>
      <w:pPr>
        <w:widowControl/>
        <w:jc w:val="left"/>
        <w:rPr>
          <w:color w:val="auto"/>
          <w:kern w:val="0"/>
          <w:sz w:val="20"/>
          <w:szCs w:val="20"/>
          <w:highlight w:val="none"/>
          <w:lang w:eastAsia="zh-Hans"/>
        </w:rPr>
      </w:pPr>
      <w:r>
        <w:rPr>
          <w:color w:val="auto"/>
          <w:kern w:val="0"/>
          <w:sz w:val="20"/>
          <w:szCs w:val="20"/>
          <w:highlight w:val="none"/>
          <w:lang w:eastAsia="zh-Hans"/>
        </w:rPr>
        <w:t>（以下格式文件由供应商根据需要选用）</w:t>
      </w:r>
    </w:p>
    <w:p>
      <w:pPr>
        <w:widowControl/>
        <w:spacing w:before="312" w:beforeLines="100" w:after="156" w:afterLines="50"/>
        <w:jc w:val="center"/>
        <w:outlineLvl w:val="3"/>
        <w:rPr>
          <w:color w:val="auto"/>
          <w:kern w:val="0"/>
          <w:sz w:val="20"/>
          <w:szCs w:val="20"/>
          <w:highlight w:val="none"/>
          <w:lang w:eastAsia="zh-Hans"/>
        </w:rPr>
      </w:pPr>
      <w:r>
        <w:rPr>
          <w:b/>
          <w:color w:val="auto"/>
          <w:kern w:val="0"/>
          <w:sz w:val="32"/>
          <w:highlight w:val="none"/>
          <w:lang w:eastAsia="zh-Hans"/>
        </w:rPr>
        <w:t>询问函、质疑函、投诉书格式</w:t>
      </w:r>
    </w:p>
    <w:p>
      <w:pPr>
        <w:widowControl/>
        <w:jc w:val="left"/>
        <w:rPr>
          <w:color w:val="auto"/>
          <w:kern w:val="0"/>
          <w:sz w:val="20"/>
          <w:szCs w:val="20"/>
          <w:highlight w:val="none"/>
          <w:lang w:eastAsia="zh-Hans"/>
        </w:rPr>
      </w:pPr>
      <w:r>
        <w:rPr>
          <w:color w:val="auto"/>
          <w:kern w:val="0"/>
          <w:sz w:val="20"/>
          <w:szCs w:val="20"/>
          <w:highlight w:val="none"/>
          <w:lang w:eastAsia="zh-Hans"/>
        </w:rPr>
        <w:t>说明：本部分格式为供应商提交询问函、质疑函、投诉函时使用，不属于响应文件格式的组成部分。</w:t>
      </w:r>
    </w:p>
    <w:p>
      <w:pPr>
        <w:spacing w:before="312" w:beforeLines="100" w:after="312" w:afterLines="100" w:line="360" w:lineRule="auto"/>
        <w:jc w:val="center"/>
        <w:rPr>
          <w:color w:val="auto"/>
          <w:kern w:val="0"/>
          <w:sz w:val="20"/>
          <w:szCs w:val="20"/>
          <w:highlight w:val="none"/>
          <w:lang w:eastAsia="zh-Hans"/>
        </w:rPr>
      </w:pPr>
      <w:r>
        <w:rPr>
          <w:b/>
          <w:color w:val="auto"/>
          <w:kern w:val="0"/>
          <w:sz w:val="32"/>
          <w:highlight w:val="none"/>
          <w:lang w:eastAsia="zh-Hans"/>
        </w:rPr>
        <w:t>询问函</w:t>
      </w:r>
    </w:p>
    <w:p>
      <w:pPr>
        <w:widowControl/>
        <w:spacing w:after="156" w:afterLines="50"/>
        <w:jc w:val="left"/>
        <w:rPr>
          <w:b/>
          <w:bCs/>
          <w:color w:val="auto"/>
          <w:kern w:val="0"/>
          <w:szCs w:val="21"/>
          <w:highlight w:val="none"/>
          <w:lang w:eastAsia="zh-Hans"/>
        </w:rPr>
      </w:pPr>
      <w:r>
        <w:rPr>
          <w:b/>
          <w:bCs/>
          <w:color w:val="auto"/>
          <w:kern w:val="0"/>
          <w:szCs w:val="21"/>
          <w:highlight w:val="none"/>
          <w:lang w:eastAsia="zh-Hans"/>
        </w:rPr>
        <w:t>广东智汇城市招标采购有限公司</w:t>
      </w:r>
      <w:r>
        <w:rPr>
          <w:rFonts w:hint="eastAsia"/>
          <w:b/>
          <w:bCs/>
          <w:color w:val="auto"/>
          <w:kern w:val="0"/>
          <w:szCs w:val="21"/>
          <w:highlight w:val="none"/>
          <w:lang w:eastAsia="zh-Hans"/>
        </w:rPr>
        <w:t>：</w:t>
      </w:r>
    </w:p>
    <w:p>
      <w:pPr>
        <w:widowControl/>
        <w:tabs>
          <w:tab w:val="left" w:pos="6300"/>
        </w:tabs>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我单位已获取磋商文件并准备参与</w:t>
      </w:r>
      <w:r>
        <w:rPr>
          <w:rFonts w:ascii="宋体" w:hAnsi="宋体"/>
          <w:i/>
          <w:color w:val="auto"/>
          <w:szCs w:val="21"/>
          <w:highlight w:val="none"/>
          <w:u w:val="single"/>
        </w:rPr>
        <w:t xml:space="preserve">           </w:t>
      </w:r>
      <w:r>
        <w:rPr>
          <w:rFonts w:hint="eastAsia" w:ascii="宋体" w:hAnsi="宋体"/>
          <w:color w:val="auto"/>
          <w:szCs w:val="21"/>
          <w:highlight w:val="none"/>
        </w:rPr>
        <w:t>项目（项目编号</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u w:val="single"/>
        </w:rPr>
        <w:t xml:space="preserve">                        </w:t>
      </w:r>
      <w:r>
        <w:rPr>
          <w:rFonts w:ascii="宋体" w:hAnsi="宋体"/>
          <w:color w:val="auto"/>
          <w:szCs w:val="21"/>
          <w:highlight w:val="none"/>
        </w:rPr>
        <w:t>（事项一）</w:t>
      </w:r>
      <w:r>
        <w:rPr>
          <w:rFonts w:ascii="宋体" w:hAnsi="宋体"/>
          <w:color w:val="auto"/>
          <w:szCs w:val="21"/>
          <w:highlight w:val="none"/>
        </w:rPr>
        <w:tab/>
      </w:r>
    </w:p>
    <w:p>
      <w:pPr>
        <w:widowControl/>
        <w:tabs>
          <w:tab w:val="left" w:pos="6300"/>
        </w:tabs>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ascii="宋体" w:hAnsi="宋体"/>
          <w:color w:val="auto"/>
          <w:szCs w:val="21"/>
          <w:highlight w:val="none"/>
          <w:u w:val="single"/>
        </w:rPr>
        <w:t xml:space="preserve">                       </w:t>
      </w:r>
      <w:r>
        <w:rPr>
          <w:rFonts w:ascii="宋体" w:hAnsi="宋体"/>
          <w:color w:val="auto"/>
          <w:szCs w:val="21"/>
          <w:highlight w:val="none"/>
        </w:rPr>
        <w:t>（问题或条款内容）</w:t>
      </w:r>
    </w:p>
    <w:p>
      <w:pPr>
        <w:widowControl/>
        <w:tabs>
          <w:tab w:val="left" w:pos="6300"/>
        </w:tabs>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ascii="宋体" w:hAnsi="宋体"/>
          <w:color w:val="auto"/>
          <w:szCs w:val="21"/>
          <w:highlight w:val="none"/>
          <w:u w:val="single"/>
        </w:rPr>
        <w:t xml:space="preserve">                       </w:t>
      </w:r>
      <w:r>
        <w:rPr>
          <w:rFonts w:ascii="宋体" w:hAnsi="宋体"/>
          <w:color w:val="auto"/>
          <w:szCs w:val="21"/>
          <w:highlight w:val="none"/>
        </w:rPr>
        <w:t>（说明疑问或无法理解原因）</w:t>
      </w:r>
    </w:p>
    <w:p>
      <w:pPr>
        <w:widowControl/>
        <w:tabs>
          <w:tab w:val="left" w:pos="6300"/>
        </w:tabs>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ascii="宋体" w:hAnsi="宋体"/>
          <w:color w:val="auto"/>
          <w:szCs w:val="21"/>
          <w:highlight w:val="none"/>
          <w:u w:val="single"/>
        </w:rPr>
        <w:t xml:space="preserve">                       </w:t>
      </w:r>
      <w:r>
        <w:rPr>
          <w:rFonts w:ascii="宋体" w:hAnsi="宋体"/>
          <w:color w:val="auto"/>
          <w:szCs w:val="21"/>
          <w:highlight w:val="none"/>
        </w:rPr>
        <w:t>（建议）</w:t>
      </w:r>
    </w:p>
    <w:p>
      <w:pPr>
        <w:widowControl/>
        <w:tabs>
          <w:tab w:val="left" w:pos="6300"/>
        </w:tabs>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u w:val="single"/>
        </w:rPr>
        <w:t xml:space="preserve">                       </w:t>
      </w:r>
      <w:r>
        <w:rPr>
          <w:rFonts w:ascii="宋体" w:hAnsi="宋体"/>
          <w:color w:val="auto"/>
          <w:szCs w:val="21"/>
          <w:highlight w:val="none"/>
        </w:rPr>
        <w:t xml:space="preserve"> （事项二）</w:t>
      </w:r>
    </w:p>
    <w:p>
      <w:pPr>
        <w:widowControl/>
        <w:tabs>
          <w:tab w:val="left" w:pos="6300"/>
        </w:tabs>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p>
    <w:p>
      <w:pPr>
        <w:widowControl/>
        <w:tabs>
          <w:tab w:val="left" w:pos="6300"/>
        </w:tabs>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adjustRightInd w:val="0"/>
        <w:spacing w:line="360" w:lineRule="auto"/>
        <w:ind w:firstLine="1260" w:firstLineChars="600"/>
        <w:rPr>
          <w:rFonts w:ascii="宋体" w:hAnsi="宋体"/>
          <w:color w:val="auto"/>
          <w:szCs w:val="21"/>
          <w:highlight w:val="none"/>
        </w:rPr>
      </w:pPr>
      <w:r>
        <w:rPr>
          <w:rFonts w:hint="eastAsia" w:ascii="宋体" w:hAnsi="宋体"/>
          <w:color w:val="auto"/>
          <w:szCs w:val="21"/>
          <w:highlight w:val="none"/>
        </w:rPr>
        <w:t>询问人：（公章）</w:t>
      </w:r>
    </w:p>
    <w:p>
      <w:pPr>
        <w:widowControl/>
        <w:tabs>
          <w:tab w:val="left" w:pos="6300"/>
        </w:tabs>
        <w:adjustRightInd w:val="0"/>
        <w:spacing w:line="360" w:lineRule="auto"/>
        <w:ind w:firstLine="1260" w:firstLineChars="600"/>
        <w:rPr>
          <w:rFonts w:ascii="宋体" w:hAnsi="宋体"/>
          <w:color w:val="auto"/>
          <w:szCs w:val="21"/>
          <w:highlight w:val="none"/>
        </w:rPr>
      </w:pPr>
      <w:r>
        <w:rPr>
          <w:rFonts w:hint="eastAsia" w:ascii="宋体" w:hAnsi="宋体"/>
          <w:color w:val="auto"/>
          <w:szCs w:val="21"/>
          <w:highlight w:val="none"/>
        </w:rPr>
        <w:t>法定代表人（授权代表）：</w:t>
      </w:r>
    </w:p>
    <w:p>
      <w:pPr>
        <w:tabs>
          <w:tab w:val="left" w:pos="6300"/>
        </w:tabs>
        <w:adjustRightInd w:val="0"/>
        <w:spacing w:line="360" w:lineRule="auto"/>
        <w:ind w:firstLine="1260" w:firstLineChars="600"/>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/邮编：</w:t>
      </w:r>
    </w:p>
    <w:p>
      <w:pPr>
        <w:tabs>
          <w:tab w:val="left" w:pos="6300"/>
        </w:tabs>
        <w:adjustRightInd w:val="0"/>
        <w:spacing w:line="360" w:lineRule="auto"/>
        <w:ind w:firstLine="1260" w:firstLineChars="600"/>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rPr>
        <w:t>/传真：</w:t>
      </w:r>
    </w:p>
    <w:p>
      <w:pPr>
        <w:adjustRightInd w:val="0"/>
        <w:spacing w:before="312" w:beforeLines="100" w:line="360" w:lineRule="auto"/>
        <w:jc w:val="right"/>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before="312" w:beforeLines="100" w:after="312" w:afterLines="100" w:line="360" w:lineRule="auto"/>
        <w:jc w:val="center"/>
        <w:rPr>
          <w:b/>
          <w:color w:val="auto"/>
          <w:kern w:val="0"/>
          <w:sz w:val="32"/>
          <w:highlight w:val="none"/>
          <w:lang w:eastAsia="zh-Hans"/>
        </w:rPr>
      </w:pPr>
    </w:p>
    <w:p>
      <w:pPr>
        <w:spacing w:before="312" w:beforeLines="100" w:after="312" w:afterLines="100" w:line="360" w:lineRule="auto"/>
        <w:jc w:val="center"/>
        <w:rPr>
          <w:b/>
          <w:color w:val="auto"/>
          <w:kern w:val="0"/>
          <w:sz w:val="32"/>
          <w:highlight w:val="none"/>
          <w:lang w:eastAsia="zh-Hans"/>
        </w:rPr>
      </w:pPr>
    </w:p>
    <w:p>
      <w:pPr>
        <w:spacing w:before="312" w:beforeLines="100" w:after="312" w:afterLines="100" w:line="360" w:lineRule="auto"/>
        <w:jc w:val="center"/>
        <w:rPr>
          <w:b/>
          <w:color w:val="auto"/>
          <w:kern w:val="0"/>
          <w:sz w:val="32"/>
          <w:highlight w:val="none"/>
          <w:lang w:eastAsia="zh-Hans"/>
        </w:rPr>
      </w:pPr>
    </w:p>
    <w:p>
      <w:pPr>
        <w:spacing w:before="312" w:beforeLines="100" w:after="312" w:afterLines="100" w:line="360" w:lineRule="auto"/>
        <w:jc w:val="center"/>
        <w:rPr>
          <w:color w:val="auto"/>
          <w:kern w:val="0"/>
          <w:sz w:val="20"/>
          <w:szCs w:val="20"/>
          <w:highlight w:val="none"/>
          <w:lang w:eastAsia="zh-Hans"/>
        </w:rPr>
      </w:pPr>
      <w:r>
        <w:rPr>
          <w:b/>
          <w:color w:val="auto"/>
          <w:kern w:val="0"/>
          <w:sz w:val="32"/>
          <w:highlight w:val="none"/>
          <w:lang w:eastAsia="zh-Hans"/>
        </w:rPr>
        <w:t>质疑函</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一、质疑供应商基本信息</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质疑供应商：</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地址：</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邮编：</w:t>
      </w:r>
      <w:r>
        <w:rPr>
          <w:rFonts w:hint="eastAsia" w:ascii="宋体" w:hAnsi="宋体"/>
          <w:color w:val="auto"/>
          <w:kern w:val="0"/>
          <w:szCs w:val="21"/>
          <w:highlight w:val="none"/>
          <w:u w:val="single"/>
        </w:rPr>
        <w:t xml:space="preserve">                                </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联系：</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联系电话：</w:t>
      </w:r>
      <w:r>
        <w:rPr>
          <w:rFonts w:hint="eastAsia" w:ascii="宋体" w:hAnsi="宋体"/>
          <w:color w:val="auto"/>
          <w:kern w:val="0"/>
          <w:szCs w:val="21"/>
          <w:highlight w:val="none"/>
          <w:u w:val="single"/>
        </w:rPr>
        <w:t xml:space="preserve">                            </w:t>
      </w:r>
    </w:p>
    <w:p>
      <w:pPr>
        <w:widowControl/>
        <w:jc w:val="left"/>
        <w:rPr>
          <w:rFonts w:ascii="宋体" w:hAnsi="宋体"/>
          <w:color w:val="auto"/>
          <w:kern w:val="0"/>
          <w:szCs w:val="21"/>
          <w:highlight w:val="none"/>
          <w:u w:val="single"/>
        </w:rPr>
      </w:pPr>
      <w:r>
        <w:rPr>
          <w:rFonts w:ascii="宋体" w:hAnsi="宋体"/>
          <w:color w:val="auto"/>
          <w:kern w:val="0"/>
          <w:szCs w:val="21"/>
          <w:highlight w:val="none"/>
          <w:lang w:eastAsia="zh-Hans"/>
        </w:rPr>
        <w:t>授权代表：</w:t>
      </w:r>
      <w:r>
        <w:rPr>
          <w:rFonts w:hint="eastAsia" w:ascii="宋体" w:hAnsi="宋体"/>
          <w:color w:val="auto"/>
          <w:kern w:val="0"/>
          <w:szCs w:val="21"/>
          <w:highlight w:val="none"/>
          <w:u w:val="single"/>
        </w:rPr>
        <w:t xml:space="preserve">                           </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联系电话：</w:t>
      </w:r>
      <w:r>
        <w:rPr>
          <w:rFonts w:hint="eastAsia" w:ascii="宋体" w:hAnsi="宋体"/>
          <w:color w:val="auto"/>
          <w:kern w:val="0"/>
          <w:szCs w:val="21"/>
          <w:highlight w:val="none"/>
          <w:u w:val="single"/>
        </w:rPr>
        <w:t xml:space="preserve">                           </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地址：</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eastAsia="zh-Hans"/>
        </w:rPr>
        <w:t>邮编：</w:t>
      </w:r>
      <w:r>
        <w:rPr>
          <w:rFonts w:hint="eastAsia" w:ascii="宋体" w:hAnsi="宋体"/>
          <w:color w:val="auto"/>
          <w:kern w:val="0"/>
          <w:szCs w:val="21"/>
          <w:highlight w:val="none"/>
          <w:u w:val="single"/>
        </w:rPr>
        <w:t xml:space="preserve">                            </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二、质疑项目基本情况</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质疑项目的名称：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质疑项目的编号：</w:t>
      </w:r>
      <w:r>
        <w:rPr>
          <w:rFonts w:hint="eastAsia" w:ascii="宋体" w:hAnsi="宋体"/>
          <w:color w:val="auto"/>
          <w:kern w:val="0"/>
          <w:szCs w:val="21"/>
          <w:highlight w:val="none"/>
          <w:u w:val="single"/>
        </w:rPr>
        <w:t xml:space="preserve">                           </w:t>
      </w:r>
      <w:r>
        <w:rPr>
          <w:rFonts w:ascii="宋体" w:hAnsi="宋体"/>
          <w:color w:val="auto"/>
          <w:kern w:val="0"/>
          <w:szCs w:val="21"/>
          <w:highlight w:val="none"/>
          <w:lang w:eastAsia="zh-Hans"/>
        </w:rPr>
        <w:t>包号：</w:t>
      </w:r>
      <w:r>
        <w:rPr>
          <w:rFonts w:hint="eastAsia" w:ascii="宋体" w:hAnsi="宋体"/>
          <w:color w:val="auto"/>
          <w:kern w:val="0"/>
          <w:szCs w:val="21"/>
          <w:highlight w:val="none"/>
          <w:u w:val="single"/>
        </w:rPr>
        <w:t xml:space="preserve">                       </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采购人名称：</w:t>
      </w:r>
      <w:r>
        <w:rPr>
          <w:rFonts w:hint="eastAsia" w:ascii="宋体" w:hAnsi="宋体"/>
          <w:color w:val="auto"/>
          <w:kern w:val="0"/>
          <w:szCs w:val="21"/>
          <w:highlight w:val="none"/>
          <w:u w:val="single"/>
        </w:rPr>
        <w:t xml:space="preserve">                                                            </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采购文件获取日期：</w:t>
      </w:r>
      <w:r>
        <w:rPr>
          <w:rFonts w:hint="eastAsia" w:ascii="宋体" w:hAnsi="宋体"/>
          <w:color w:val="auto"/>
          <w:kern w:val="0"/>
          <w:szCs w:val="21"/>
          <w:highlight w:val="none"/>
          <w:u w:val="single"/>
        </w:rPr>
        <w:t xml:space="preserve">                                                      </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三、质疑事项具体内容</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质疑事项1：</w:t>
      </w:r>
      <w:r>
        <w:rPr>
          <w:rFonts w:hint="eastAsia" w:ascii="宋体" w:hAnsi="宋体"/>
          <w:color w:val="auto"/>
          <w:kern w:val="0"/>
          <w:szCs w:val="21"/>
          <w:highlight w:val="none"/>
          <w:u w:val="single"/>
        </w:rPr>
        <w:t xml:space="preserve">                                                             </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事实依据：</w:t>
      </w:r>
      <w:r>
        <w:rPr>
          <w:rFonts w:hint="eastAsia" w:ascii="宋体" w:hAnsi="宋体"/>
          <w:color w:val="auto"/>
          <w:kern w:val="0"/>
          <w:szCs w:val="21"/>
          <w:highlight w:val="none"/>
          <w:u w:val="single"/>
        </w:rPr>
        <w:t xml:space="preserve">                                                              </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法律依据：</w:t>
      </w:r>
      <w:r>
        <w:rPr>
          <w:rFonts w:hint="eastAsia" w:ascii="宋体" w:hAnsi="宋体"/>
          <w:color w:val="auto"/>
          <w:kern w:val="0"/>
          <w:szCs w:val="21"/>
          <w:highlight w:val="none"/>
          <w:u w:val="single"/>
        </w:rPr>
        <w:t xml:space="preserve">                                                              </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质疑事项2：</w:t>
      </w:r>
      <w:r>
        <w:rPr>
          <w:rFonts w:hint="eastAsia" w:ascii="宋体" w:hAnsi="宋体"/>
          <w:color w:val="auto"/>
          <w:kern w:val="0"/>
          <w:szCs w:val="21"/>
          <w:highlight w:val="none"/>
          <w:u w:val="single"/>
        </w:rPr>
        <w:t xml:space="preserve">                                                             </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四、与质疑事项相关的质疑请求</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请求：</w:t>
      </w:r>
      <w:r>
        <w:rPr>
          <w:rFonts w:hint="eastAsia" w:ascii="宋体" w:hAnsi="宋体"/>
          <w:color w:val="auto"/>
          <w:kern w:val="0"/>
          <w:szCs w:val="21"/>
          <w:highlight w:val="none"/>
          <w:u w:val="single"/>
        </w:rPr>
        <w:t xml:space="preserve">                                                                   </w:t>
      </w:r>
    </w:p>
    <w:p>
      <w:pPr>
        <w:widowControl/>
        <w:jc w:val="left"/>
        <w:rPr>
          <w:color w:val="auto"/>
          <w:kern w:val="0"/>
          <w:sz w:val="20"/>
          <w:szCs w:val="20"/>
          <w:highlight w:val="none"/>
          <w:lang w:eastAsia="zh-Hans"/>
        </w:rPr>
      </w:pPr>
      <w:r>
        <w:rPr>
          <w:rFonts w:ascii="宋体" w:hAnsi="宋体"/>
          <w:color w:val="auto"/>
          <w:kern w:val="0"/>
          <w:szCs w:val="21"/>
          <w:highlight w:val="none"/>
          <w:lang w:eastAsia="zh-Hans"/>
        </w:rPr>
        <w:t>签字(签章)：</w:t>
      </w:r>
      <w:r>
        <w:rPr>
          <w:rFonts w:hint="eastAsia" w:ascii="宋体" w:hAnsi="宋体"/>
          <w:color w:val="auto"/>
          <w:kern w:val="0"/>
          <w:szCs w:val="21"/>
          <w:highlight w:val="none"/>
          <w:u w:val="single"/>
        </w:rPr>
        <w:t xml:space="preserve">                           </w:t>
      </w:r>
      <w:r>
        <w:rPr>
          <w:rFonts w:ascii="宋体" w:hAnsi="宋体"/>
          <w:color w:val="auto"/>
          <w:kern w:val="0"/>
          <w:szCs w:val="21"/>
          <w:highlight w:val="none"/>
          <w:lang w:eastAsia="zh-Hans"/>
        </w:rPr>
        <w:t xml:space="preserve"> 公章：</w:t>
      </w:r>
      <w:r>
        <w:rPr>
          <w:rFonts w:hint="eastAsia" w:ascii="宋体" w:hAnsi="宋体"/>
          <w:color w:val="auto"/>
          <w:kern w:val="0"/>
          <w:szCs w:val="21"/>
          <w:highlight w:val="none"/>
          <w:u w:val="single"/>
        </w:rPr>
        <w:t xml:space="preserve">                           </w:t>
      </w:r>
    </w:p>
    <w:p>
      <w:pPr>
        <w:widowControl/>
        <w:spacing w:before="156" w:beforeLines="50"/>
        <w:jc w:val="left"/>
        <w:rPr>
          <w:color w:val="auto"/>
          <w:kern w:val="0"/>
          <w:sz w:val="20"/>
          <w:szCs w:val="20"/>
          <w:highlight w:val="none"/>
          <w:lang w:eastAsia="zh-Hans"/>
        </w:rPr>
      </w:pPr>
      <w:r>
        <w:rPr>
          <w:color w:val="auto"/>
          <w:kern w:val="0"/>
          <w:szCs w:val="21"/>
          <w:highlight w:val="none"/>
          <w:lang w:eastAsia="zh-Hans"/>
        </w:rPr>
        <w:t>日期： 年 月 日</w:t>
      </w:r>
    </w:p>
    <w:p>
      <w:pPr>
        <w:widowControl/>
        <w:spacing w:before="156" w:beforeLines="50"/>
        <w:jc w:val="left"/>
        <w:rPr>
          <w:rFonts w:ascii="宋体" w:hAnsi="宋体"/>
          <w:color w:val="auto"/>
          <w:kern w:val="0"/>
          <w:szCs w:val="21"/>
          <w:highlight w:val="none"/>
          <w:lang w:eastAsia="zh-Hans"/>
        </w:rPr>
      </w:pPr>
      <w:r>
        <w:rPr>
          <w:rFonts w:ascii="宋体" w:hAnsi="宋体"/>
          <w:color w:val="auto"/>
          <w:kern w:val="0"/>
          <w:szCs w:val="21"/>
          <w:highlight w:val="none"/>
          <w:lang w:eastAsia="zh-Hans"/>
        </w:rPr>
        <w:t>质疑函制作说明：</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1.供应商提出质疑时，应提交质疑函和必要的证明材料。</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3.质疑供应商若对项目的某一分包进行质疑，质疑函中应列明具体采购包号。</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4.质疑函的质疑事项应具体、明确，并有必要的事实依据和法律依据。</w:t>
      </w:r>
    </w:p>
    <w:p>
      <w:pPr>
        <w:widowControl/>
        <w:jc w:val="left"/>
        <w:rPr>
          <w:rFonts w:ascii="宋体" w:hAnsi="宋体"/>
          <w:color w:val="auto"/>
          <w:kern w:val="0"/>
          <w:szCs w:val="21"/>
          <w:highlight w:val="none"/>
          <w:lang w:eastAsia="zh-Hans"/>
        </w:rPr>
      </w:pPr>
      <w:r>
        <w:rPr>
          <w:rFonts w:ascii="宋体" w:hAnsi="宋体"/>
          <w:color w:val="auto"/>
          <w:kern w:val="0"/>
          <w:szCs w:val="21"/>
          <w:highlight w:val="none"/>
          <w:lang w:eastAsia="zh-Hans"/>
        </w:rPr>
        <w:t>5.质疑函的质疑请求应与质疑事项相关。</w:t>
      </w:r>
    </w:p>
    <w:p>
      <w:pPr>
        <w:widowControl/>
        <w:jc w:val="left"/>
        <w:rPr>
          <w:color w:val="auto"/>
          <w:kern w:val="0"/>
          <w:sz w:val="20"/>
          <w:szCs w:val="20"/>
          <w:highlight w:val="none"/>
          <w:lang w:eastAsia="zh-Hans"/>
        </w:rPr>
      </w:pPr>
      <w:r>
        <w:rPr>
          <w:rFonts w:ascii="宋体" w:hAnsi="宋体"/>
          <w:color w:val="auto"/>
          <w:kern w:val="0"/>
          <w:szCs w:val="21"/>
          <w:highlight w:val="none"/>
          <w:lang w:eastAsia="zh-Hans"/>
        </w:rPr>
        <w:t>6.质疑供应商为自然人的，质疑函应由本人签字；质疑供应商为法人或者其他组织的，质疑函应由法定代表人、主要负责人，或者其授权代表签字或者盖章，并加盖公章。</w:t>
      </w:r>
    </w:p>
    <w:p>
      <w:pPr>
        <w:spacing w:before="312" w:beforeLines="100" w:after="312" w:afterLines="100" w:line="360" w:lineRule="auto"/>
        <w:jc w:val="center"/>
        <w:rPr>
          <w:b/>
          <w:color w:val="auto"/>
          <w:kern w:val="0"/>
          <w:sz w:val="32"/>
          <w:highlight w:val="none"/>
          <w:lang w:eastAsia="zh-Hans"/>
        </w:rPr>
      </w:pPr>
    </w:p>
    <w:p>
      <w:pPr>
        <w:spacing w:before="312" w:beforeLines="100" w:after="312" w:afterLines="100" w:line="360" w:lineRule="auto"/>
        <w:jc w:val="center"/>
        <w:rPr>
          <w:b/>
          <w:color w:val="auto"/>
          <w:kern w:val="0"/>
          <w:sz w:val="32"/>
          <w:highlight w:val="none"/>
          <w:lang w:eastAsia="zh-Hans"/>
        </w:rPr>
      </w:pPr>
    </w:p>
    <w:p>
      <w:pPr>
        <w:spacing w:before="312" w:beforeLines="100" w:after="312" w:afterLines="100" w:line="360" w:lineRule="auto"/>
        <w:jc w:val="center"/>
        <w:rPr>
          <w:b/>
          <w:color w:val="auto"/>
          <w:kern w:val="0"/>
          <w:sz w:val="32"/>
          <w:highlight w:val="none"/>
          <w:lang w:eastAsia="zh-Hans"/>
        </w:rPr>
      </w:pPr>
    </w:p>
    <w:p>
      <w:pPr>
        <w:spacing w:before="312" w:beforeLines="100" w:after="312" w:afterLines="100" w:line="360" w:lineRule="auto"/>
        <w:jc w:val="center"/>
        <w:rPr>
          <w:color w:val="auto"/>
          <w:kern w:val="0"/>
          <w:szCs w:val="21"/>
          <w:highlight w:val="none"/>
          <w:lang w:eastAsia="zh-Hans"/>
        </w:rPr>
      </w:pPr>
      <w:r>
        <w:rPr>
          <w:b/>
          <w:color w:val="auto"/>
          <w:kern w:val="0"/>
          <w:sz w:val="32"/>
          <w:highlight w:val="none"/>
          <w:lang w:eastAsia="zh-Hans"/>
        </w:rPr>
        <w:t>投诉书</w:t>
      </w:r>
    </w:p>
    <w:p>
      <w:pPr>
        <w:widowControl/>
        <w:snapToGrid w:val="0"/>
        <w:spacing w:line="360" w:lineRule="auto"/>
        <w:contextualSpacing/>
        <w:jc w:val="left"/>
        <w:rPr>
          <w:rFonts w:ascii="宋体" w:hAnsi="宋体"/>
          <w:color w:val="auto"/>
          <w:kern w:val="0"/>
          <w:szCs w:val="21"/>
          <w:highlight w:val="none"/>
          <w:lang w:eastAsia="zh-Hans"/>
        </w:rPr>
      </w:pPr>
      <w:bookmarkStart w:id="70" w:name="_Toc169799805"/>
      <w:r>
        <w:rPr>
          <w:rFonts w:ascii="宋体" w:hAnsi="宋体"/>
          <w:color w:val="auto"/>
          <w:kern w:val="0"/>
          <w:szCs w:val="21"/>
          <w:highlight w:val="none"/>
          <w:lang w:eastAsia="zh-Hans"/>
        </w:rPr>
        <w:t>一、投诉相关主体基本情况</w:t>
      </w:r>
    </w:p>
    <w:p>
      <w:pPr>
        <w:widowControl/>
        <w:snapToGri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lang w:eastAsia="zh-Hans"/>
        </w:rPr>
        <w:t>投诉人：</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lang w:eastAsia="zh-Hans"/>
        </w:rPr>
        <w:t>地 址：</w:t>
      </w:r>
      <w:r>
        <w:rPr>
          <w:rFonts w:hint="eastAsia" w:ascii="宋体" w:hAnsi="宋体"/>
          <w:color w:val="auto"/>
          <w:kern w:val="0"/>
          <w:szCs w:val="21"/>
          <w:highlight w:val="none"/>
          <w:u w:val="single"/>
        </w:rPr>
        <w:t xml:space="preserve">                                       </w:t>
      </w:r>
      <w:r>
        <w:rPr>
          <w:rFonts w:ascii="宋体" w:hAnsi="宋体"/>
          <w:color w:val="auto"/>
          <w:kern w:val="0"/>
          <w:szCs w:val="21"/>
          <w:highlight w:val="none"/>
          <w:lang w:eastAsia="zh-Hans"/>
        </w:rPr>
        <w:t>邮编：</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法定代表人/主要负责人：</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联系电话：</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u w:val="single"/>
        </w:rPr>
      </w:pPr>
      <w:r>
        <w:rPr>
          <w:rFonts w:ascii="宋体" w:hAnsi="宋体"/>
          <w:color w:val="auto"/>
          <w:kern w:val="0"/>
          <w:szCs w:val="21"/>
          <w:highlight w:val="none"/>
          <w:lang w:eastAsia="zh-Hans"/>
        </w:rPr>
        <w:t>授权代表：</w:t>
      </w:r>
      <w:r>
        <w:rPr>
          <w:rFonts w:hint="eastAsia" w:ascii="宋体" w:hAnsi="宋体"/>
          <w:color w:val="auto"/>
          <w:kern w:val="0"/>
          <w:szCs w:val="21"/>
          <w:highlight w:val="none"/>
          <w:u w:val="single"/>
        </w:rPr>
        <w:t xml:space="preserve">                               </w:t>
      </w:r>
      <w:r>
        <w:rPr>
          <w:rFonts w:ascii="宋体" w:hAnsi="宋体"/>
          <w:color w:val="auto"/>
          <w:kern w:val="0"/>
          <w:szCs w:val="21"/>
          <w:highlight w:val="none"/>
          <w:lang w:eastAsia="zh-Hans"/>
        </w:rPr>
        <w:t>联系电话：</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地 址：</w:t>
      </w:r>
      <w:r>
        <w:rPr>
          <w:rFonts w:hint="eastAsia" w:ascii="宋体" w:hAnsi="宋体"/>
          <w:color w:val="auto"/>
          <w:kern w:val="0"/>
          <w:szCs w:val="21"/>
          <w:highlight w:val="none"/>
          <w:u w:val="single"/>
        </w:rPr>
        <w:t xml:space="preserve">                                  </w:t>
      </w:r>
      <w:r>
        <w:rPr>
          <w:rFonts w:ascii="宋体" w:hAnsi="宋体"/>
          <w:color w:val="auto"/>
          <w:kern w:val="0"/>
          <w:szCs w:val="21"/>
          <w:highlight w:val="none"/>
          <w:lang w:eastAsia="zh-Hans"/>
        </w:rPr>
        <w:t>邮编：</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被投诉人1：</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lang w:eastAsia="zh-Hans"/>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地址：</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lang w:eastAsia="zh-Hans"/>
        </w:rPr>
        <w:t>_</w:t>
      </w:r>
      <w:r>
        <w:rPr>
          <w:rFonts w:ascii="宋体" w:hAnsi="宋体"/>
          <w:color w:val="auto"/>
          <w:kern w:val="0"/>
          <w:szCs w:val="21"/>
          <w:highlight w:val="none"/>
          <w:lang w:eastAsia="zh-Hans"/>
        </w:rPr>
        <w:t>邮编：</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联系人：</w:t>
      </w:r>
      <w:r>
        <w:rPr>
          <w:rFonts w:hint="eastAsia" w:ascii="宋体" w:hAnsi="宋体"/>
          <w:color w:val="auto"/>
          <w:kern w:val="0"/>
          <w:szCs w:val="21"/>
          <w:highlight w:val="none"/>
          <w:u w:val="single"/>
        </w:rPr>
        <w:t xml:space="preserve">                                 </w:t>
      </w:r>
      <w:r>
        <w:rPr>
          <w:rFonts w:ascii="宋体" w:hAnsi="宋体"/>
          <w:color w:val="auto"/>
          <w:kern w:val="0"/>
          <w:szCs w:val="21"/>
          <w:highlight w:val="none"/>
          <w:lang w:eastAsia="zh-Hans"/>
        </w:rPr>
        <w:t>联系电话：</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被投诉人2：</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相关供应商：</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地址：</w:t>
      </w:r>
      <w:r>
        <w:rPr>
          <w:rFonts w:hint="eastAsia" w:ascii="宋体" w:hAnsi="宋体"/>
          <w:color w:val="auto"/>
          <w:kern w:val="0"/>
          <w:szCs w:val="21"/>
          <w:highlight w:val="none"/>
          <w:u w:val="single"/>
        </w:rPr>
        <w:t xml:space="preserve">                                   </w:t>
      </w:r>
      <w:r>
        <w:rPr>
          <w:rFonts w:ascii="宋体" w:hAnsi="宋体"/>
          <w:color w:val="auto"/>
          <w:kern w:val="0"/>
          <w:szCs w:val="21"/>
          <w:highlight w:val="none"/>
          <w:lang w:eastAsia="zh-Hans"/>
        </w:rPr>
        <w:t>邮编：</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联系人：</w:t>
      </w:r>
      <w:r>
        <w:rPr>
          <w:rFonts w:hint="eastAsia" w:ascii="宋体" w:hAnsi="宋体"/>
          <w:color w:val="auto"/>
          <w:kern w:val="0"/>
          <w:szCs w:val="21"/>
          <w:highlight w:val="none"/>
          <w:u w:val="single"/>
        </w:rPr>
        <w:t xml:space="preserve">                                 </w:t>
      </w:r>
      <w:r>
        <w:rPr>
          <w:rFonts w:ascii="宋体" w:hAnsi="宋体"/>
          <w:color w:val="auto"/>
          <w:kern w:val="0"/>
          <w:szCs w:val="21"/>
          <w:highlight w:val="none"/>
          <w:lang w:eastAsia="zh-Hans"/>
        </w:rPr>
        <w:t>联系电话：</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二、投诉项目基本情况</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采购项目名称：</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采购项目编号：</w:t>
      </w:r>
      <w:r>
        <w:rPr>
          <w:rFonts w:hint="eastAsia" w:ascii="宋体" w:hAnsi="宋体"/>
          <w:color w:val="auto"/>
          <w:kern w:val="0"/>
          <w:szCs w:val="21"/>
          <w:highlight w:val="none"/>
          <w:u w:val="single"/>
        </w:rPr>
        <w:t xml:space="preserve">                                 </w:t>
      </w:r>
      <w:r>
        <w:rPr>
          <w:rFonts w:ascii="宋体" w:hAnsi="宋体"/>
          <w:color w:val="auto"/>
          <w:kern w:val="0"/>
          <w:szCs w:val="21"/>
          <w:highlight w:val="none"/>
          <w:lang w:eastAsia="zh-Hans"/>
        </w:rPr>
        <w:t>包号：</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采购人名称：</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u w:val="single"/>
        </w:rPr>
      </w:pPr>
      <w:r>
        <w:rPr>
          <w:rFonts w:ascii="宋体" w:hAnsi="宋体"/>
          <w:color w:val="auto"/>
          <w:kern w:val="0"/>
          <w:szCs w:val="21"/>
          <w:highlight w:val="none"/>
          <w:lang w:eastAsia="zh-Hans"/>
        </w:rPr>
        <w:t>代理机构名称：</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采购文件公告:</w:t>
      </w:r>
      <w:r>
        <w:rPr>
          <w:rFonts w:ascii="宋体" w:hAnsi="宋体"/>
          <w:color w:val="auto"/>
          <w:kern w:val="0"/>
          <w:szCs w:val="21"/>
          <w:highlight w:val="none"/>
          <w:u w:val="single"/>
          <w:lang w:eastAsia="zh-Hans"/>
        </w:rPr>
        <w:t>是/否</w:t>
      </w:r>
      <w:r>
        <w:rPr>
          <w:rFonts w:ascii="宋体" w:hAnsi="宋体"/>
          <w:color w:val="auto"/>
          <w:kern w:val="0"/>
          <w:szCs w:val="21"/>
          <w:highlight w:val="none"/>
          <w:lang w:eastAsia="zh-Hans"/>
        </w:rPr>
        <w:t xml:space="preserve"> 公告期限：</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u w:val="single"/>
        </w:rPr>
      </w:pPr>
      <w:r>
        <w:rPr>
          <w:rFonts w:ascii="宋体" w:hAnsi="宋体"/>
          <w:color w:val="auto"/>
          <w:kern w:val="0"/>
          <w:szCs w:val="21"/>
          <w:highlight w:val="none"/>
          <w:lang w:eastAsia="zh-Hans"/>
        </w:rPr>
        <w:t>采购结果公告:</w:t>
      </w:r>
      <w:r>
        <w:rPr>
          <w:rFonts w:ascii="宋体" w:hAnsi="宋体"/>
          <w:color w:val="auto"/>
          <w:kern w:val="0"/>
          <w:szCs w:val="21"/>
          <w:highlight w:val="none"/>
          <w:u w:val="single"/>
          <w:lang w:eastAsia="zh-Hans"/>
        </w:rPr>
        <w:t>是/否</w:t>
      </w:r>
      <w:r>
        <w:rPr>
          <w:rFonts w:ascii="宋体" w:hAnsi="宋体"/>
          <w:color w:val="auto"/>
          <w:kern w:val="0"/>
          <w:szCs w:val="21"/>
          <w:highlight w:val="none"/>
          <w:lang w:eastAsia="zh-Hans"/>
        </w:rPr>
        <w:t xml:space="preserve"> 公告期限：</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三、质疑基本情况</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投诉人于 ____年____月____日,向提出质疑，质疑事项为：</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u w:val="single"/>
          <w:lang w:eastAsia="zh-Hans"/>
        </w:rPr>
        <w:t>采购人/代理机构</w:t>
      </w:r>
      <w:r>
        <w:rPr>
          <w:rFonts w:ascii="宋体" w:hAnsi="宋体"/>
          <w:color w:val="auto"/>
          <w:kern w:val="0"/>
          <w:szCs w:val="21"/>
          <w:highlight w:val="none"/>
          <w:lang w:eastAsia="zh-Hans"/>
        </w:rPr>
        <w:t>于____年____月____日,就质疑事项作出了答复/没有在法定期限内作出答复。</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四、投诉事项具体内容</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投诉事项1：</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事实依据：</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法律依据：</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投诉事项2：</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五、与投诉事项相关的投诉请求</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请求：</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 xml:space="preserve">签字(签章)： </w:t>
      </w:r>
      <w:r>
        <w:rPr>
          <w:rFonts w:hint="eastAsia" w:ascii="宋体" w:hAnsi="宋体"/>
          <w:color w:val="auto"/>
          <w:kern w:val="0"/>
          <w:szCs w:val="21"/>
          <w:highlight w:val="none"/>
          <w:u w:val="single"/>
        </w:rPr>
        <w:t xml:space="preserve">                         </w:t>
      </w:r>
      <w:r>
        <w:rPr>
          <w:rFonts w:ascii="宋体" w:hAnsi="宋体"/>
          <w:color w:val="auto"/>
          <w:kern w:val="0"/>
          <w:szCs w:val="21"/>
          <w:highlight w:val="none"/>
          <w:lang w:eastAsia="zh-Hans"/>
        </w:rPr>
        <w:t>公章</w:t>
      </w:r>
      <w:r>
        <w:rPr>
          <w:rFonts w:hint="eastAsia" w:ascii="宋体" w:hAnsi="宋体"/>
          <w:color w:val="auto"/>
          <w:kern w:val="0"/>
          <w:szCs w:val="21"/>
          <w:highlight w:val="none"/>
          <w:u w:val="single"/>
        </w:rPr>
        <w:t xml:space="preserve">                                      </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日期：____年____月____日</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投诉书制作说明：</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1.投诉人提起投诉时，应当提交投诉书和必要的证明材料，并按照被投诉人和与投诉事项有关的供应商数量提供投诉书副本。</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3.投诉人若对项目的某一分包进行投诉，投诉书应列明具体分包号。</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4.投诉书应简要列明质疑事项，质疑函、质疑答复等作为附件材料提供。</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5.投诉书的投诉事项应具体、明确，并有必要的事实依据和法律依据。</w:t>
      </w:r>
    </w:p>
    <w:p>
      <w:pPr>
        <w:widowControl/>
        <w:snapToGrid w:val="0"/>
        <w:spacing w:line="360" w:lineRule="auto"/>
        <w:contextualSpacing/>
        <w:jc w:val="left"/>
        <w:rPr>
          <w:rFonts w:ascii="宋体" w:hAnsi="宋体"/>
          <w:color w:val="auto"/>
          <w:kern w:val="0"/>
          <w:szCs w:val="21"/>
          <w:highlight w:val="none"/>
          <w:lang w:eastAsia="zh-Hans"/>
        </w:rPr>
      </w:pPr>
      <w:r>
        <w:rPr>
          <w:rFonts w:ascii="宋体" w:hAnsi="宋体"/>
          <w:color w:val="auto"/>
          <w:kern w:val="0"/>
          <w:szCs w:val="21"/>
          <w:highlight w:val="none"/>
          <w:lang w:eastAsia="zh-Hans"/>
        </w:rPr>
        <w:t>6.投诉书的投诉请求应与投诉事项相关。</w:t>
      </w:r>
    </w:p>
    <w:p>
      <w:pPr>
        <w:widowControl/>
        <w:snapToGrid w:val="0"/>
        <w:spacing w:line="360" w:lineRule="auto"/>
        <w:contextualSpacing/>
        <w:jc w:val="left"/>
        <w:rPr>
          <w:color w:val="auto"/>
          <w:kern w:val="0"/>
          <w:sz w:val="20"/>
          <w:szCs w:val="20"/>
          <w:highlight w:val="none"/>
          <w:lang w:eastAsia="zh-Hans"/>
        </w:rPr>
      </w:pPr>
      <w:r>
        <w:rPr>
          <w:rFonts w:ascii="宋体" w:hAnsi="宋体"/>
          <w:color w:val="auto"/>
          <w:kern w:val="0"/>
          <w:szCs w:val="21"/>
          <w:highlight w:val="none"/>
          <w:lang w:eastAsia="zh-Hans"/>
        </w:rPr>
        <w:t>7.投诉人为自然人的，投诉书应当由本人签字；投诉人为法人或者其他组织的，投诉书应当由法定代表人、主要负责人，或者其授权代表签字或者盖章，并加盖公章。</w:t>
      </w:r>
    </w:p>
    <w:bookmarkEnd w:id="70"/>
    <w:p>
      <w:pPr>
        <w:pageBreakBefore/>
        <w:rPr>
          <w:color w:val="auto"/>
          <w:kern w:val="0"/>
          <w:sz w:val="20"/>
          <w:szCs w:val="20"/>
          <w:highlight w:val="none"/>
          <w:lang w:eastAsia="zh-Hans"/>
        </w:rPr>
      </w:pPr>
      <w:bookmarkStart w:id="71" w:name="_Toc169799806"/>
      <w:r>
        <w:rPr>
          <w:rFonts w:ascii="宋体" w:hAnsi="宋体"/>
          <w:b/>
          <w:bCs/>
          <w:color w:val="auto"/>
          <w:sz w:val="24"/>
          <w:szCs w:val="28"/>
          <w:highlight w:val="none"/>
        </w:rPr>
        <w:t>格式二十</w:t>
      </w:r>
      <w:r>
        <w:rPr>
          <w:rFonts w:hint="eastAsia" w:ascii="宋体" w:hAnsi="宋体"/>
          <w:b/>
          <w:bCs/>
          <w:color w:val="auto"/>
          <w:sz w:val="24"/>
          <w:szCs w:val="28"/>
          <w:highlight w:val="none"/>
        </w:rPr>
        <w:t>四</w:t>
      </w:r>
      <w:r>
        <w:rPr>
          <w:rFonts w:ascii="宋体" w:hAnsi="宋体"/>
          <w:b/>
          <w:bCs/>
          <w:color w:val="auto"/>
          <w:sz w:val="24"/>
          <w:szCs w:val="28"/>
          <w:highlight w:val="none"/>
        </w:rPr>
        <w:t>：</w:t>
      </w:r>
      <w:bookmarkEnd w:id="71"/>
    </w:p>
    <w:p>
      <w:pPr>
        <w:widowControl/>
        <w:jc w:val="left"/>
        <w:rPr>
          <w:color w:val="auto"/>
          <w:kern w:val="0"/>
          <w:sz w:val="20"/>
          <w:szCs w:val="20"/>
          <w:highlight w:val="none"/>
          <w:lang w:eastAsia="zh-Hans"/>
        </w:rPr>
      </w:pPr>
      <w:r>
        <w:rPr>
          <w:color w:val="auto"/>
          <w:kern w:val="0"/>
          <w:sz w:val="20"/>
          <w:szCs w:val="20"/>
          <w:highlight w:val="none"/>
          <w:lang w:eastAsia="zh-Hans"/>
        </w:rPr>
        <w:t>（以下格式文件由供应商根据需要选用）</w:t>
      </w:r>
    </w:p>
    <w:p>
      <w:pPr>
        <w:spacing w:line="360" w:lineRule="auto"/>
        <w:rPr>
          <w:rFonts w:asciiTheme="minorEastAsia" w:hAnsiTheme="minorEastAsia" w:eastAsiaTheme="minorEastAsia"/>
          <w:color w:val="auto"/>
          <w:highlight w:val="none"/>
        </w:rPr>
      </w:pPr>
      <w:r>
        <w:rPr>
          <w:rFonts w:hint="eastAsia"/>
          <w:color w:val="auto"/>
          <w:sz w:val="20"/>
          <w:szCs w:val="20"/>
          <w:highlight w:val="none"/>
          <w:lang w:val="en-US" w:eastAsia="zh-CN"/>
        </w:rPr>
        <w:t>项</w:t>
      </w:r>
      <w:r>
        <w:rPr>
          <w:rFonts w:hint="eastAsia"/>
          <w:color w:val="auto"/>
          <w:sz w:val="20"/>
          <w:szCs w:val="20"/>
          <w:highlight w:val="none"/>
          <w:lang w:eastAsia="zh-Hans"/>
        </w:rPr>
        <w:t>目实施方案、质量保证及售后服务承诺等内容和格式自拟。</w:t>
      </w:r>
    </w:p>
    <w:sectPr>
      <w:footerReference r:id="rId3" w:type="default"/>
      <w:pgSz w:w="11906" w:h="16838"/>
      <w:pgMar w:top="1418" w:right="1418" w:bottom="1418" w:left="1418" w:header="851" w:footer="595"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Arial Unicode MS">
    <w:panose1 w:val="020B0604020202020204"/>
    <w:charset w:val="86"/>
    <w:family w:val="swiss"/>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32278"/>
      <w:docPartObj>
        <w:docPartGallery w:val="autotext"/>
      </w:docPartObj>
    </w:sdtPr>
    <w:sdtContent>
      <w:p>
        <w:pPr>
          <w:pStyle w:val="13"/>
          <w:jc w:val="center"/>
        </w:pPr>
        <w:r>
          <w:fldChar w:fldCharType="begin"/>
        </w:r>
        <w:r>
          <w:instrText xml:space="preserve">PAGE   \* MERGEFORMAT</w:instrText>
        </w:r>
        <w:r>
          <w:fldChar w:fldCharType="separate"/>
        </w:r>
        <w:r>
          <w:rPr>
            <w:lang w:val="zh-CN"/>
          </w:rPr>
          <w:t>29</w:t>
        </w:r>
        <w:r>
          <w:fldChar w:fldCharType="end"/>
        </w:r>
      </w:p>
    </w:sdtContent>
  </w:sdt>
  <w:p>
    <w:pPr>
      <w:pStyle w:val="1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CBB34"/>
    <w:multiLevelType w:val="multilevel"/>
    <w:tmpl w:val="C79CBB3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3F54AB"/>
    <w:multiLevelType w:val="multilevel"/>
    <w:tmpl w:val="023F54AB"/>
    <w:lvl w:ilvl="0" w:tentative="0">
      <w:start w:val="1"/>
      <w:numFmt w:val="decimal"/>
      <w:lvlText w:val="2.%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012296"/>
    <w:multiLevelType w:val="multilevel"/>
    <w:tmpl w:val="05012296"/>
    <w:lvl w:ilvl="0" w:tentative="0">
      <w:start w:val="1"/>
      <w:numFmt w:val="decimal"/>
      <w:lvlText w:val="7.%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5400E39"/>
    <w:multiLevelType w:val="multilevel"/>
    <w:tmpl w:val="05400E3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4D07E2"/>
    <w:multiLevelType w:val="multilevel"/>
    <w:tmpl w:val="054D07E2"/>
    <w:lvl w:ilvl="0" w:tentative="0">
      <w:start w:val="1"/>
      <w:numFmt w:val="decimal"/>
      <w:lvlText w:val="2.%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55D72BC"/>
    <w:multiLevelType w:val="multilevel"/>
    <w:tmpl w:val="055D72BC"/>
    <w:lvl w:ilvl="0" w:tentative="0">
      <w:start w:val="1"/>
      <w:numFmt w:val="decimal"/>
      <w:lvlText w:val="10.%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5A41600"/>
    <w:multiLevelType w:val="multilevel"/>
    <w:tmpl w:val="05A4160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F82605"/>
    <w:multiLevelType w:val="multilevel"/>
    <w:tmpl w:val="05F82605"/>
    <w:lvl w:ilvl="0" w:tentative="0">
      <w:start w:val="1"/>
      <w:numFmt w:val="decimal"/>
      <w:lvlText w:val="%1."/>
      <w:lvlJc w:val="left"/>
      <w:pPr>
        <w:ind w:left="440" w:hanging="440"/>
      </w:pPr>
      <w:rPr>
        <w:rFonts w:ascii="宋体" w:hAnsi="宋体" w:eastAsia="宋体"/>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rPr>
        <w:b/>
        <w:bCs/>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07B54EDE"/>
    <w:multiLevelType w:val="multilevel"/>
    <w:tmpl w:val="07B54EDE"/>
    <w:lvl w:ilvl="0" w:tentative="0">
      <w:start w:val="1"/>
      <w:numFmt w:val="decimal"/>
      <w:lvlText w:val="6.%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096D4BE4"/>
    <w:multiLevelType w:val="multilevel"/>
    <w:tmpl w:val="096D4BE4"/>
    <w:lvl w:ilvl="0" w:tentative="0">
      <w:start w:val="1"/>
      <w:numFmt w:val="decimal"/>
      <w:lvlText w:val="5.%1"/>
      <w:lvlJc w:val="left"/>
      <w:pPr>
        <w:ind w:left="440" w:hanging="440"/>
      </w:pPr>
      <w:rPr>
        <w:rFonts w:hint="eastAsia" w:ascii="宋体" w:hAnsi="宋体" w:eastAsia="宋体"/>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09F82356"/>
    <w:multiLevelType w:val="multilevel"/>
    <w:tmpl w:val="09F82356"/>
    <w:lvl w:ilvl="0" w:tentative="0">
      <w:start w:val="1"/>
      <w:numFmt w:val="decimal"/>
      <w:lvlText w:val="%1."/>
      <w:lvlJc w:val="left"/>
      <w:pPr>
        <w:ind w:left="440" w:hanging="440"/>
      </w:pPr>
      <w:rPr>
        <w:rFonts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0C1B2909"/>
    <w:multiLevelType w:val="multilevel"/>
    <w:tmpl w:val="0C1B2909"/>
    <w:lvl w:ilvl="0" w:tentative="0">
      <w:start w:val="1"/>
      <w:numFmt w:val="decimal"/>
      <w:lvlText w:val="1.%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0C5C6350"/>
    <w:multiLevelType w:val="multilevel"/>
    <w:tmpl w:val="0C5C6350"/>
    <w:lvl w:ilvl="0" w:tentative="0">
      <w:start w:val="1"/>
      <w:numFmt w:val="decimal"/>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DDD1320"/>
    <w:multiLevelType w:val="multilevel"/>
    <w:tmpl w:val="0DDD1320"/>
    <w:lvl w:ilvl="0" w:tentative="0">
      <w:start w:val="1"/>
      <w:numFmt w:val="chineseCounting"/>
      <w:lvlText w:val="%1、"/>
      <w:lvlJc w:val="left"/>
      <w:pPr>
        <w:ind w:left="440" w:hanging="440"/>
      </w:pPr>
      <w:rPr>
        <w:rFonts w:hint="eastAsia"/>
        <w:b/>
        <w:i w:val="0"/>
        <w:color w:val="auto"/>
        <w:sz w:val="21"/>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1022279C"/>
    <w:multiLevelType w:val="multilevel"/>
    <w:tmpl w:val="1022279C"/>
    <w:lvl w:ilvl="0" w:tentative="0">
      <w:start w:val="1"/>
      <w:numFmt w:val="decimal"/>
      <w:lvlText w:val="%1."/>
      <w:lvlJc w:val="left"/>
      <w:pPr>
        <w:ind w:left="440" w:hanging="440"/>
      </w:pPr>
      <w:rPr>
        <w:rFonts w:hint="default" w:ascii="宋体" w:hAnsi="宋体" w:eastAsia="宋体"/>
        <w:b/>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12C2429D"/>
    <w:multiLevelType w:val="multilevel"/>
    <w:tmpl w:val="12C2429D"/>
    <w:lvl w:ilvl="0" w:tentative="0">
      <w:start w:val="1"/>
      <w:numFmt w:val="decimal"/>
      <w:lvlText w:val="8.%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13304F73"/>
    <w:multiLevelType w:val="multilevel"/>
    <w:tmpl w:val="13304F73"/>
    <w:lvl w:ilvl="0" w:tentative="0">
      <w:start w:val="1"/>
      <w:numFmt w:val="decimal"/>
      <w:lvlText w:val="%1."/>
      <w:lvlJc w:val="left"/>
      <w:pPr>
        <w:ind w:left="440" w:hanging="440"/>
      </w:pPr>
      <w:rPr>
        <w:rFonts w:ascii="宋体" w:hAnsi="宋体" w:eastAsia="宋体"/>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14774BA9"/>
    <w:multiLevelType w:val="multilevel"/>
    <w:tmpl w:val="14774BA9"/>
    <w:lvl w:ilvl="0" w:tentative="0">
      <w:start w:val="1"/>
      <w:numFmt w:val="decimal"/>
      <w:lvlText w:val="4.%1"/>
      <w:lvlJc w:val="left"/>
      <w:pPr>
        <w:ind w:left="440" w:hanging="440"/>
      </w:pPr>
      <w:rPr>
        <w:rFonts w:hint="eastAsia" w:ascii="宋体" w:hAnsi="宋体" w:eastAsia="宋体"/>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15B73587"/>
    <w:multiLevelType w:val="multilevel"/>
    <w:tmpl w:val="15B73587"/>
    <w:lvl w:ilvl="0" w:tentative="0">
      <w:start w:val="1"/>
      <w:numFmt w:val="decimal"/>
      <w:lvlText w:val="5.%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442296"/>
    <w:multiLevelType w:val="multilevel"/>
    <w:tmpl w:val="184422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94E6A3C"/>
    <w:multiLevelType w:val="multilevel"/>
    <w:tmpl w:val="194E6A3C"/>
    <w:lvl w:ilvl="0" w:tentative="0">
      <w:start w:val="1"/>
      <w:numFmt w:val="decimal"/>
      <w:lvlText w:val="3.1.%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B332001"/>
    <w:multiLevelType w:val="multilevel"/>
    <w:tmpl w:val="1B332001"/>
    <w:lvl w:ilvl="0" w:tentative="0">
      <w:start w:val="1"/>
      <w:numFmt w:val="decimal"/>
      <w:lvlText w:val="%1."/>
      <w:lvlJc w:val="left"/>
      <w:pPr>
        <w:ind w:left="440" w:hanging="440"/>
      </w:pPr>
      <w:rPr>
        <w:rFonts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1B4F6831"/>
    <w:multiLevelType w:val="multilevel"/>
    <w:tmpl w:val="1B4F6831"/>
    <w:lvl w:ilvl="0" w:tentative="0">
      <w:start w:val="1"/>
      <w:numFmt w:val="decimal"/>
      <w:lvlText w:val="1.%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1FEA064B"/>
    <w:multiLevelType w:val="multilevel"/>
    <w:tmpl w:val="1FEA064B"/>
    <w:lvl w:ilvl="0" w:tentative="0">
      <w:start w:val="1"/>
      <w:numFmt w:val="decimal"/>
      <w:lvlText w:val="4.%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22B00186"/>
    <w:multiLevelType w:val="multilevel"/>
    <w:tmpl w:val="22B0018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2C938AD"/>
    <w:multiLevelType w:val="multilevel"/>
    <w:tmpl w:val="22C938AD"/>
    <w:lvl w:ilvl="0" w:tentative="0">
      <w:start w:val="10"/>
      <w:numFmt w:val="decimal"/>
      <w:lvlText w:val="%1"/>
      <w:lvlJc w:val="left"/>
      <w:pPr>
        <w:ind w:left="425" w:hanging="425"/>
      </w:pPr>
      <w:rPr>
        <w:rFonts w:hint="eastAsia"/>
      </w:rPr>
    </w:lvl>
    <w:lvl w:ilvl="1" w:tentative="0">
      <w:start w:val="1"/>
      <w:numFmt w:val="decimal"/>
      <w:lvlText w:val="%2."/>
      <w:lvlJc w:val="left"/>
      <w:pPr>
        <w:ind w:left="440" w:hanging="440"/>
      </w:pPr>
      <w:rPr>
        <w:rFonts w:ascii="宋体" w:hAnsi="宋体" w:eastAsia="宋体"/>
        <w:b/>
        <w:bCs/>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6">
    <w:nsid w:val="23373E9E"/>
    <w:multiLevelType w:val="multilevel"/>
    <w:tmpl w:val="23373E9E"/>
    <w:lvl w:ilvl="0" w:tentative="0">
      <w:start w:val="1"/>
      <w:numFmt w:val="decimal"/>
      <w:lvlText w:val="2.1.%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24242624"/>
    <w:multiLevelType w:val="multilevel"/>
    <w:tmpl w:val="242426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7B2B5E"/>
    <w:multiLevelType w:val="multilevel"/>
    <w:tmpl w:val="287B2B5E"/>
    <w:lvl w:ilvl="0" w:tentative="0">
      <w:start w:val="1"/>
      <w:numFmt w:val="decimal"/>
      <w:lvlText w:val="1.%1"/>
      <w:lvlJc w:val="left"/>
      <w:pPr>
        <w:ind w:left="440" w:hanging="440"/>
      </w:pPr>
      <w:rPr>
        <w:rFonts w:hint="eastAsia"/>
        <w:b w:val="0"/>
        <w:bCs/>
        <w:i w:val="0"/>
        <w:color w:val="auto"/>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298A3EF9"/>
    <w:multiLevelType w:val="multilevel"/>
    <w:tmpl w:val="298A3EF9"/>
    <w:lvl w:ilvl="0" w:tentative="0">
      <w:start w:val="1"/>
      <w:numFmt w:val="decimal"/>
      <w:lvlText w:val="3.%1"/>
      <w:lvlJc w:val="left"/>
      <w:pPr>
        <w:ind w:left="440" w:hanging="440"/>
      </w:pPr>
      <w:rPr>
        <w:rFonts w:hint="eastAsia" w:ascii="宋体" w:hAnsi="宋体" w:eastAsia="宋体"/>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2CD11116"/>
    <w:multiLevelType w:val="multilevel"/>
    <w:tmpl w:val="2CD1111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F1E584F"/>
    <w:multiLevelType w:val="multilevel"/>
    <w:tmpl w:val="2F1E584F"/>
    <w:lvl w:ilvl="0" w:tentative="0">
      <w:start w:val="1"/>
      <w:numFmt w:val="decimal"/>
      <w:lvlText w:val="9.%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32116584"/>
    <w:multiLevelType w:val="multilevel"/>
    <w:tmpl w:val="32116584"/>
    <w:lvl w:ilvl="0" w:tentative="0">
      <w:start w:val="1"/>
      <w:numFmt w:val="decimal"/>
      <w:lvlText w:val="3.%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32A23873"/>
    <w:multiLevelType w:val="multilevel"/>
    <w:tmpl w:val="32A23873"/>
    <w:lvl w:ilvl="0" w:tentative="0">
      <w:start w:val="1"/>
      <w:numFmt w:val="decimal"/>
      <w:lvlText w:val="1.%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2AF1A01"/>
    <w:multiLevelType w:val="multilevel"/>
    <w:tmpl w:val="32AF1A01"/>
    <w:lvl w:ilvl="0" w:tentative="0">
      <w:start w:val="1"/>
      <w:numFmt w:val="decimal"/>
      <w:lvlText w:val="4.%1"/>
      <w:lvlJc w:val="left"/>
      <w:pPr>
        <w:ind w:left="704"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43468D3"/>
    <w:multiLevelType w:val="multilevel"/>
    <w:tmpl w:val="343468D3"/>
    <w:lvl w:ilvl="0" w:tentative="0">
      <w:start w:val="1"/>
      <w:numFmt w:val="decimal"/>
      <w:lvlText w:val="1.%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35EA1EC4"/>
    <w:multiLevelType w:val="multilevel"/>
    <w:tmpl w:val="35EA1EC4"/>
    <w:lvl w:ilvl="0" w:tentative="0">
      <w:start w:val="1"/>
      <w:numFmt w:val="chineseCountingThousand"/>
      <w:lvlText w:val="%1 "/>
      <w:lvlJc w:val="left"/>
      <w:pPr>
        <w:ind w:left="420" w:hanging="420"/>
      </w:pPr>
      <w:rPr>
        <w:rFonts w:hint="eastAsia"/>
        <w:b/>
        <w:i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60F0A71"/>
    <w:multiLevelType w:val="multilevel"/>
    <w:tmpl w:val="360F0A71"/>
    <w:lvl w:ilvl="0" w:tentative="0">
      <w:start w:val="1"/>
      <w:numFmt w:val="decimal"/>
      <w:lvlText w:val="9.%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3764D28C"/>
    <w:multiLevelType w:val="multilevel"/>
    <w:tmpl w:val="3764D28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9066A15"/>
    <w:multiLevelType w:val="multilevel"/>
    <w:tmpl w:val="39066A15"/>
    <w:lvl w:ilvl="0" w:tentative="0">
      <w:start w:val="1"/>
      <w:numFmt w:val="decimal"/>
      <w:lvlText w:val="10.%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3A1627FA"/>
    <w:multiLevelType w:val="multilevel"/>
    <w:tmpl w:val="3A1627F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A824DD4"/>
    <w:multiLevelType w:val="multilevel"/>
    <w:tmpl w:val="3A824DD4"/>
    <w:lvl w:ilvl="0" w:tentative="0">
      <w:start w:val="1"/>
      <w:numFmt w:val="japaneseCounting"/>
      <w:lvlText w:val="第%1条"/>
      <w:lvlJc w:val="left"/>
      <w:pPr>
        <w:ind w:left="1657" w:hanging="109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2">
    <w:nsid w:val="3BEB5628"/>
    <w:multiLevelType w:val="multilevel"/>
    <w:tmpl w:val="3BEB5628"/>
    <w:lvl w:ilvl="0" w:tentative="0">
      <w:start w:val="1"/>
      <w:numFmt w:val="decimal"/>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BFF7564"/>
    <w:multiLevelType w:val="multilevel"/>
    <w:tmpl w:val="3BFF7564"/>
    <w:lvl w:ilvl="0" w:tentative="0">
      <w:start w:val="1"/>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3.2.%3"/>
      <w:lvlJc w:val="left"/>
      <w:pPr>
        <w:ind w:left="440" w:hanging="440"/>
      </w:pPr>
      <w:rPr>
        <w:rFonts w:hint="default" w:ascii="宋体" w:hAnsi="宋体" w:eastAsia="宋体"/>
        <w:b w:val="0"/>
        <w:bCs w:val="0"/>
        <w:sz w:val="21"/>
        <w:szCs w:val="21"/>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4">
    <w:nsid w:val="3EBC7913"/>
    <w:multiLevelType w:val="multilevel"/>
    <w:tmpl w:val="3EBC7913"/>
    <w:lvl w:ilvl="0" w:tentative="0">
      <w:start w:val="1"/>
      <w:numFmt w:val="decimal"/>
      <w:lvlText w:val="%1."/>
      <w:lvlJc w:val="left"/>
      <w:pPr>
        <w:ind w:left="440" w:hanging="440"/>
      </w:pPr>
      <w:rPr>
        <w:rFonts w:hint="default" w:ascii="宋体" w:hAnsi="宋体" w:eastAsia="宋体"/>
        <w:b/>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rPr>
        <w:rFonts w:ascii="宋体" w:hAnsi="宋体" w:eastAsia="宋体"/>
        <w:b/>
        <w:bCs/>
        <w:sz w:val="21"/>
        <w:szCs w:val="21"/>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5">
    <w:nsid w:val="3FE56F8C"/>
    <w:multiLevelType w:val="multilevel"/>
    <w:tmpl w:val="3FE56F8C"/>
    <w:lvl w:ilvl="0" w:tentative="0">
      <w:start w:val="1"/>
      <w:numFmt w:val="chineseCounting"/>
      <w:lvlText w:val="%1、"/>
      <w:lvlJc w:val="left"/>
      <w:pPr>
        <w:ind w:left="440" w:hanging="440"/>
      </w:pPr>
      <w:rPr>
        <w:rFonts w:hint="eastAsia"/>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6">
    <w:nsid w:val="413849F7"/>
    <w:multiLevelType w:val="multilevel"/>
    <w:tmpl w:val="413849F7"/>
    <w:lvl w:ilvl="0" w:tentative="0">
      <w:start w:val="1"/>
      <w:numFmt w:val="decimal"/>
      <w:lvlText w:val="9.1.%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7">
    <w:nsid w:val="425C0D31"/>
    <w:multiLevelType w:val="multilevel"/>
    <w:tmpl w:val="425C0D31"/>
    <w:lvl w:ilvl="0" w:tentative="0">
      <w:start w:val="1"/>
      <w:numFmt w:val="decimal"/>
      <w:lvlText w:val="3.%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47A00E7F"/>
    <w:multiLevelType w:val="multilevel"/>
    <w:tmpl w:val="47A00E7F"/>
    <w:lvl w:ilvl="0" w:tentative="0">
      <w:start w:val="1"/>
      <w:numFmt w:val="decimal"/>
      <w:lvlText w:val="9.%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47C765FC"/>
    <w:multiLevelType w:val="multilevel"/>
    <w:tmpl w:val="47C765FC"/>
    <w:lvl w:ilvl="0" w:tentative="0">
      <w:start w:val="1"/>
      <w:numFmt w:val="decimal"/>
      <w:lvlText w:val="3.2.%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0">
    <w:nsid w:val="4A845F1D"/>
    <w:multiLevelType w:val="multilevel"/>
    <w:tmpl w:val="4A845F1D"/>
    <w:lvl w:ilvl="0" w:tentative="0">
      <w:start w:val="1"/>
      <w:numFmt w:val="decimal"/>
      <w:lvlText w:val="6.%1"/>
      <w:lvlJc w:val="left"/>
      <w:pPr>
        <w:ind w:left="704" w:hanging="420"/>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1">
    <w:nsid w:val="4BBA5E4E"/>
    <w:multiLevelType w:val="multilevel"/>
    <w:tmpl w:val="4BBA5E4E"/>
    <w:lvl w:ilvl="0" w:tentative="0">
      <w:start w:val="1"/>
      <w:numFmt w:val="decimal"/>
      <w:lvlText w:val="8.%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2">
    <w:nsid w:val="503B39A7"/>
    <w:multiLevelType w:val="multilevel"/>
    <w:tmpl w:val="503B39A7"/>
    <w:lvl w:ilvl="0" w:tentative="0">
      <w:start w:val="1"/>
      <w:numFmt w:val="decimal"/>
      <w:lvlText w:val="%1."/>
      <w:lvlJc w:val="left"/>
      <w:pPr>
        <w:ind w:left="440" w:hanging="440"/>
      </w:pPr>
      <w:rPr>
        <w:rFonts w:hint="default" w:ascii="宋体" w:hAnsi="宋体" w:eastAsia="宋体"/>
        <w:b/>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rPr>
        <w:b/>
        <w:bCs/>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3">
    <w:nsid w:val="52BA71BE"/>
    <w:multiLevelType w:val="multilevel"/>
    <w:tmpl w:val="52BA71BE"/>
    <w:lvl w:ilvl="0" w:tentative="0">
      <w:start w:val="1"/>
      <w:numFmt w:val="decimal"/>
      <w:lvlText w:val="%1"/>
      <w:lvlJc w:val="left"/>
      <w:pPr>
        <w:ind w:left="425" w:hanging="425"/>
      </w:pPr>
      <w:rPr>
        <w:rFonts w:hint="eastAsia"/>
      </w:rPr>
    </w:lvl>
    <w:lvl w:ilvl="1" w:tentative="0">
      <w:start w:val="1"/>
      <w:numFmt w:val="decimal"/>
      <w:lvlText w:val="3.%2"/>
      <w:lvlJc w:val="left"/>
      <w:pPr>
        <w:ind w:left="440" w:hanging="440"/>
      </w:pPr>
      <w:rPr>
        <w:rFonts w:hint="default" w:ascii="宋体" w:hAnsi="宋体" w:eastAsia="宋体"/>
        <w:b/>
        <w:sz w:val="21"/>
        <w:szCs w:val="21"/>
      </w:rPr>
    </w:lvl>
    <w:lvl w:ilvl="2" w:tentative="0">
      <w:start w:val="1"/>
      <w:numFmt w:val="decimal"/>
      <w:lvlText w:val="3.4.%3"/>
      <w:lvlJc w:val="left"/>
      <w:pPr>
        <w:ind w:left="440" w:hanging="440"/>
      </w:pPr>
      <w:rPr>
        <w:rFonts w:hint="default" w:ascii="宋体" w:hAnsi="宋体" w:eastAsia="宋体"/>
        <w:b w:val="0"/>
        <w:bCs/>
        <w:sz w:val="21"/>
        <w:szCs w:val="21"/>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4">
    <w:nsid w:val="52CF0B72"/>
    <w:multiLevelType w:val="multilevel"/>
    <w:tmpl w:val="52CF0B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52EB4D36"/>
    <w:multiLevelType w:val="multilevel"/>
    <w:tmpl w:val="52EB4D36"/>
    <w:lvl w:ilvl="0" w:tentative="0">
      <w:start w:val="1"/>
      <w:numFmt w:val="chineseCounting"/>
      <w:lvlText w:val="%1、"/>
      <w:lvlJc w:val="left"/>
      <w:pPr>
        <w:ind w:left="440" w:hanging="440"/>
      </w:pPr>
      <w:rPr>
        <w:rFonts w:hint="eastAsia" w:ascii="宋体" w:hAnsi="宋体" w:eastAsia="宋体"/>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6">
    <w:nsid w:val="54DF414D"/>
    <w:multiLevelType w:val="multilevel"/>
    <w:tmpl w:val="54DF414D"/>
    <w:lvl w:ilvl="0" w:tentative="0">
      <w:start w:val="1"/>
      <w:numFmt w:val="decimal"/>
      <w:lvlText w:val="3.%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7">
    <w:nsid w:val="57E64E5F"/>
    <w:multiLevelType w:val="multilevel"/>
    <w:tmpl w:val="57E64E5F"/>
    <w:lvl w:ilvl="0" w:tentative="0">
      <w:start w:val="1"/>
      <w:numFmt w:val="decimal"/>
      <w:lvlText w:val="%1"/>
      <w:lvlJc w:val="left"/>
      <w:pPr>
        <w:ind w:left="420" w:hanging="420"/>
      </w:pPr>
      <w:rPr>
        <w:rFonts w:hint="eastAsia"/>
        <w:b/>
        <w:i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A8D2598"/>
    <w:multiLevelType w:val="multilevel"/>
    <w:tmpl w:val="5A8D2598"/>
    <w:lvl w:ilvl="0" w:tentative="0">
      <w:start w:val="1"/>
      <w:numFmt w:val="decimal"/>
      <w:lvlText w:val="3.%1"/>
      <w:lvlJc w:val="left"/>
      <w:pPr>
        <w:ind w:left="704" w:hanging="42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9">
    <w:nsid w:val="5B9C4389"/>
    <w:multiLevelType w:val="multilevel"/>
    <w:tmpl w:val="5B9C4389"/>
    <w:lvl w:ilvl="0" w:tentative="0">
      <w:start w:val="1"/>
      <w:numFmt w:val="decimal"/>
      <w:lvlText w:val="3.1.%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0">
    <w:nsid w:val="615E12CF"/>
    <w:multiLevelType w:val="multilevel"/>
    <w:tmpl w:val="615E12CF"/>
    <w:lvl w:ilvl="0" w:tentative="0">
      <w:start w:val="1"/>
      <w:numFmt w:val="decimal"/>
      <w:lvlText w:val="2.%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1">
    <w:nsid w:val="64B953EE"/>
    <w:multiLevelType w:val="multilevel"/>
    <w:tmpl w:val="64B953EE"/>
    <w:lvl w:ilvl="0" w:tentative="0">
      <w:start w:val="1"/>
      <w:numFmt w:val="decimal"/>
      <w:lvlText w:val="7.1.%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67631400"/>
    <w:multiLevelType w:val="multilevel"/>
    <w:tmpl w:val="67631400"/>
    <w:lvl w:ilvl="0" w:tentative="0">
      <w:start w:val="1"/>
      <w:numFmt w:val="decimal"/>
      <w:lvlText w:val="7.%1"/>
      <w:lvlJc w:val="left"/>
      <w:pPr>
        <w:ind w:left="440" w:hanging="440"/>
      </w:pPr>
      <w:rPr>
        <w:rFonts w:hint="eastAsia" w:ascii="宋体" w:hAnsi="宋体" w:eastAsia="宋体"/>
        <w:b w:val="0"/>
        <w:bCs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3">
    <w:nsid w:val="68526A5A"/>
    <w:multiLevelType w:val="multilevel"/>
    <w:tmpl w:val="68526A5A"/>
    <w:lvl w:ilvl="0" w:tentative="0">
      <w:start w:val="1"/>
      <w:numFmt w:val="decimal"/>
      <w:lvlText w:val="2.2.%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4">
    <w:nsid w:val="6A911C06"/>
    <w:multiLevelType w:val="multilevel"/>
    <w:tmpl w:val="6A911C06"/>
    <w:lvl w:ilvl="0" w:tentative="0">
      <w:start w:val="1"/>
      <w:numFmt w:val="decimal"/>
      <w:lvlText w:val="%1."/>
      <w:lvlJc w:val="left"/>
      <w:pPr>
        <w:ind w:left="440" w:hanging="440"/>
      </w:pPr>
      <w:rPr>
        <w:rFonts w:hint="default" w:ascii="宋体" w:hAnsi="宋体" w:eastAsia="宋体"/>
        <w:b/>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rPr>
        <w:b/>
        <w:bCs/>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5">
    <w:nsid w:val="6B7400E3"/>
    <w:multiLevelType w:val="multilevel"/>
    <w:tmpl w:val="6B7400E3"/>
    <w:lvl w:ilvl="0" w:tentative="0">
      <w:start w:val="1"/>
      <w:numFmt w:val="decimal"/>
      <w:lvlText w:val="2.%1"/>
      <w:lvlJc w:val="left"/>
      <w:pPr>
        <w:ind w:left="440" w:hanging="440"/>
      </w:pPr>
      <w:rPr>
        <w:rFonts w:hint="eastAsia" w:ascii="宋体" w:hAnsi="宋体" w:eastAsia="宋体"/>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6">
    <w:nsid w:val="6BD6457F"/>
    <w:multiLevelType w:val="multilevel"/>
    <w:tmpl w:val="6BD6457F"/>
    <w:lvl w:ilvl="0" w:tentative="0">
      <w:start w:val="1"/>
      <w:numFmt w:val="decimal"/>
      <w:lvlText w:val="2.%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7">
    <w:nsid w:val="6E9B6D49"/>
    <w:multiLevelType w:val="multilevel"/>
    <w:tmpl w:val="6E9B6D49"/>
    <w:lvl w:ilvl="0" w:tentative="0">
      <w:start w:val="1"/>
      <w:numFmt w:val="decimal"/>
      <w:lvlText w:val="%1."/>
      <w:lvlJc w:val="left"/>
      <w:pPr>
        <w:ind w:left="440" w:hanging="440"/>
      </w:pPr>
      <w:rPr>
        <w:rFonts w:ascii="宋体" w:hAnsi="宋体" w:eastAsia="宋体"/>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8">
    <w:nsid w:val="6F6308E9"/>
    <w:multiLevelType w:val="multilevel"/>
    <w:tmpl w:val="6F6308E9"/>
    <w:lvl w:ilvl="0" w:tentative="0">
      <w:start w:val="1"/>
      <w:numFmt w:val="decimal"/>
      <w:lvlText w:val="2.2.%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13D73DF"/>
    <w:multiLevelType w:val="multilevel"/>
    <w:tmpl w:val="713D73DF"/>
    <w:lvl w:ilvl="0" w:tentative="0">
      <w:start w:val="1"/>
      <w:numFmt w:val="decimal"/>
      <w:lvlText w:val="1.%1"/>
      <w:lvlJc w:val="left"/>
      <w:pPr>
        <w:ind w:left="440" w:hanging="440"/>
      </w:pPr>
      <w:rPr>
        <w:rFonts w:hint="eastAsia" w:ascii="宋体" w:hAnsi="宋体" w:eastAsia="宋体"/>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0">
    <w:nsid w:val="746E74E4"/>
    <w:multiLevelType w:val="multilevel"/>
    <w:tmpl w:val="746E74E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1">
    <w:nsid w:val="79F5769C"/>
    <w:multiLevelType w:val="multilevel"/>
    <w:tmpl w:val="79F5769C"/>
    <w:lvl w:ilvl="0" w:tentative="0">
      <w:start w:val="1"/>
      <w:numFmt w:val="decimal"/>
      <w:lvlText w:val="5.%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2">
    <w:nsid w:val="7ACB0395"/>
    <w:multiLevelType w:val="multilevel"/>
    <w:tmpl w:val="7ACB0395"/>
    <w:lvl w:ilvl="0" w:tentative="0">
      <w:start w:val="1"/>
      <w:numFmt w:val="chineseCountingThousand"/>
      <w:lvlText w:val="(%1)"/>
      <w:lvlJc w:val="left"/>
      <w:pPr>
        <w:ind w:left="420" w:hanging="420"/>
      </w:pPr>
      <w:rPr>
        <w:i w:val="0"/>
        <w:i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C2C7A19"/>
    <w:multiLevelType w:val="multilevel"/>
    <w:tmpl w:val="7C2C7A19"/>
    <w:lvl w:ilvl="0" w:tentative="0">
      <w:start w:val="1"/>
      <w:numFmt w:val="decimal"/>
      <w:lvlText w:val="%1"/>
      <w:lvlJc w:val="left"/>
      <w:pPr>
        <w:ind w:left="420" w:hanging="420"/>
      </w:pPr>
      <w:rPr>
        <w:rFonts w:hint="eastAsia"/>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D8A5BF5"/>
    <w:multiLevelType w:val="multilevel"/>
    <w:tmpl w:val="7D8A5BF5"/>
    <w:lvl w:ilvl="0" w:tentative="0">
      <w:start w:val="1"/>
      <w:numFmt w:val="decimal"/>
      <w:lvlText w:val="7.%1"/>
      <w:lvlJc w:val="left"/>
      <w:pPr>
        <w:ind w:left="440" w:hanging="440"/>
      </w:pPr>
      <w:rPr>
        <w:rFonts w:hint="default" w:ascii="宋体" w:hAnsi="宋体" w:eastAsia="宋体"/>
        <w:b w:val="0"/>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6"/>
  </w:num>
  <w:num w:numId="2">
    <w:abstractNumId w:val="14"/>
  </w:num>
  <w:num w:numId="3">
    <w:abstractNumId w:val="33"/>
  </w:num>
  <w:num w:numId="4">
    <w:abstractNumId w:val="32"/>
  </w:num>
  <w:num w:numId="5">
    <w:abstractNumId w:val="12"/>
  </w:num>
  <w:num w:numId="6">
    <w:abstractNumId w:val="73"/>
  </w:num>
  <w:num w:numId="7">
    <w:abstractNumId w:val="70"/>
  </w:num>
  <w:num w:numId="8">
    <w:abstractNumId w:val="55"/>
  </w:num>
  <w:num w:numId="9">
    <w:abstractNumId w:val="72"/>
  </w:num>
  <w:num w:numId="10">
    <w:abstractNumId w:val="6"/>
  </w:num>
  <w:num w:numId="11">
    <w:abstractNumId w:val="27"/>
  </w:num>
  <w:num w:numId="12">
    <w:abstractNumId w:val="42"/>
  </w:num>
  <w:num w:numId="13">
    <w:abstractNumId w:val="30"/>
  </w:num>
  <w:num w:numId="14">
    <w:abstractNumId w:val="38"/>
  </w:num>
  <w:num w:numId="15">
    <w:abstractNumId w:val="0"/>
  </w:num>
  <w:num w:numId="16">
    <w:abstractNumId w:val="19"/>
  </w:num>
  <w:num w:numId="17">
    <w:abstractNumId w:val="3"/>
  </w:num>
  <w:num w:numId="18">
    <w:abstractNumId w:val="24"/>
  </w:num>
  <w:num w:numId="19">
    <w:abstractNumId w:val="45"/>
  </w:num>
  <w:num w:numId="20">
    <w:abstractNumId w:val="21"/>
  </w:num>
  <w:num w:numId="21">
    <w:abstractNumId w:val="7"/>
  </w:num>
  <w:num w:numId="22">
    <w:abstractNumId w:val="9"/>
  </w:num>
  <w:num w:numId="23">
    <w:abstractNumId w:val="8"/>
  </w:num>
  <w:num w:numId="24">
    <w:abstractNumId w:val="74"/>
  </w:num>
  <w:num w:numId="25">
    <w:abstractNumId w:val="15"/>
  </w:num>
  <w:num w:numId="26">
    <w:abstractNumId w:val="37"/>
  </w:num>
  <w:num w:numId="27">
    <w:abstractNumId w:val="39"/>
  </w:num>
  <w:num w:numId="28">
    <w:abstractNumId w:val="10"/>
  </w:num>
  <w:num w:numId="29">
    <w:abstractNumId w:val="67"/>
  </w:num>
  <w:num w:numId="30">
    <w:abstractNumId w:val="11"/>
  </w:num>
  <w:num w:numId="31">
    <w:abstractNumId w:val="1"/>
  </w:num>
  <w:num w:numId="32">
    <w:abstractNumId w:val="68"/>
  </w:num>
  <w:num w:numId="33">
    <w:abstractNumId w:val="58"/>
  </w:num>
  <w:num w:numId="34">
    <w:abstractNumId w:val="20"/>
  </w:num>
  <w:num w:numId="35">
    <w:abstractNumId w:val="34"/>
  </w:num>
  <w:num w:numId="36">
    <w:abstractNumId w:val="18"/>
  </w:num>
  <w:num w:numId="37">
    <w:abstractNumId w:val="50"/>
  </w:num>
  <w:num w:numId="38">
    <w:abstractNumId w:val="51"/>
  </w:num>
  <w:num w:numId="39">
    <w:abstractNumId w:val="31"/>
  </w:num>
  <w:num w:numId="40">
    <w:abstractNumId w:val="5"/>
  </w:num>
  <w:num w:numId="41">
    <w:abstractNumId w:val="22"/>
  </w:num>
  <w:num w:numId="42">
    <w:abstractNumId w:val="47"/>
  </w:num>
  <w:num w:numId="43">
    <w:abstractNumId w:val="59"/>
  </w:num>
  <w:num w:numId="44">
    <w:abstractNumId w:val="49"/>
  </w:num>
  <w:num w:numId="45">
    <w:abstractNumId w:val="64"/>
  </w:num>
  <w:num w:numId="46">
    <w:abstractNumId w:val="28"/>
  </w:num>
  <w:num w:numId="47">
    <w:abstractNumId w:val="66"/>
  </w:num>
  <w:num w:numId="48">
    <w:abstractNumId w:val="26"/>
  </w:num>
  <w:num w:numId="49">
    <w:abstractNumId w:val="63"/>
  </w:num>
  <w:num w:numId="50">
    <w:abstractNumId w:val="52"/>
  </w:num>
  <w:num w:numId="51">
    <w:abstractNumId w:val="35"/>
  </w:num>
  <w:num w:numId="52">
    <w:abstractNumId w:val="4"/>
  </w:num>
  <w:num w:numId="53">
    <w:abstractNumId w:val="13"/>
  </w:num>
  <w:num w:numId="54">
    <w:abstractNumId w:val="44"/>
  </w:num>
  <w:num w:numId="55">
    <w:abstractNumId w:val="60"/>
  </w:num>
  <w:num w:numId="56">
    <w:abstractNumId w:val="56"/>
  </w:num>
  <w:num w:numId="57">
    <w:abstractNumId w:val="43"/>
  </w:num>
  <w:num w:numId="58">
    <w:abstractNumId w:val="53"/>
  </w:num>
  <w:num w:numId="59">
    <w:abstractNumId w:val="23"/>
  </w:num>
  <w:num w:numId="60">
    <w:abstractNumId w:val="71"/>
  </w:num>
  <w:num w:numId="61">
    <w:abstractNumId w:val="2"/>
  </w:num>
  <w:num w:numId="62">
    <w:abstractNumId w:val="61"/>
  </w:num>
  <w:num w:numId="63">
    <w:abstractNumId w:val="48"/>
  </w:num>
  <w:num w:numId="64">
    <w:abstractNumId w:val="46"/>
  </w:num>
  <w:num w:numId="65">
    <w:abstractNumId w:val="25"/>
  </w:num>
  <w:num w:numId="66">
    <w:abstractNumId w:val="57"/>
  </w:num>
  <w:num w:numId="67">
    <w:abstractNumId w:val="54"/>
  </w:num>
  <w:num w:numId="68">
    <w:abstractNumId w:val="16"/>
  </w:num>
  <w:num w:numId="69">
    <w:abstractNumId w:val="69"/>
  </w:num>
  <w:num w:numId="70">
    <w:abstractNumId w:val="65"/>
  </w:num>
  <w:num w:numId="71">
    <w:abstractNumId w:val="29"/>
  </w:num>
  <w:num w:numId="72">
    <w:abstractNumId w:val="17"/>
  </w:num>
  <w:num w:numId="73">
    <w:abstractNumId w:val="62"/>
  </w:num>
  <w:num w:numId="74">
    <w:abstractNumId w:val="41"/>
  </w:num>
  <w:num w:numId="7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hZDM5ZGFmNzZiNjUwZmVlNzkzNjNhZDYxZGJkOTkifQ=="/>
  </w:docVars>
  <w:rsids>
    <w:rsidRoot w:val="00817D3C"/>
    <w:rsid w:val="00000E0F"/>
    <w:rsid w:val="00002C57"/>
    <w:rsid w:val="000053DE"/>
    <w:rsid w:val="00005F5B"/>
    <w:rsid w:val="000068E5"/>
    <w:rsid w:val="00006EF9"/>
    <w:rsid w:val="000128C2"/>
    <w:rsid w:val="000147DB"/>
    <w:rsid w:val="00015225"/>
    <w:rsid w:val="00015A0E"/>
    <w:rsid w:val="00015A2A"/>
    <w:rsid w:val="000176A3"/>
    <w:rsid w:val="00017714"/>
    <w:rsid w:val="00021931"/>
    <w:rsid w:val="00022CEB"/>
    <w:rsid w:val="0002324C"/>
    <w:rsid w:val="00023652"/>
    <w:rsid w:val="0003306B"/>
    <w:rsid w:val="000374B3"/>
    <w:rsid w:val="00042059"/>
    <w:rsid w:val="00042E69"/>
    <w:rsid w:val="00044364"/>
    <w:rsid w:val="00045399"/>
    <w:rsid w:val="00045EB6"/>
    <w:rsid w:val="000521CC"/>
    <w:rsid w:val="00060856"/>
    <w:rsid w:val="00060DE3"/>
    <w:rsid w:val="000617A8"/>
    <w:rsid w:val="000617C3"/>
    <w:rsid w:val="00064A83"/>
    <w:rsid w:val="00071B85"/>
    <w:rsid w:val="00073D8B"/>
    <w:rsid w:val="00077F04"/>
    <w:rsid w:val="000801C1"/>
    <w:rsid w:val="00085646"/>
    <w:rsid w:val="00085C38"/>
    <w:rsid w:val="00085F09"/>
    <w:rsid w:val="00086123"/>
    <w:rsid w:val="000875A8"/>
    <w:rsid w:val="00091610"/>
    <w:rsid w:val="00092A1E"/>
    <w:rsid w:val="00093F93"/>
    <w:rsid w:val="000941DF"/>
    <w:rsid w:val="000972F8"/>
    <w:rsid w:val="000A162E"/>
    <w:rsid w:val="000A3D1E"/>
    <w:rsid w:val="000A59E3"/>
    <w:rsid w:val="000B0104"/>
    <w:rsid w:val="000B0FB0"/>
    <w:rsid w:val="000B7826"/>
    <w:rsid w:val="000B7B7E"/>
    <w:rsid w:val="000C0318"/>
    <w:rsid w:val="000C153B"/>
    <w:rsid w:val="000C56D3"/>
    <w:rsid w:val="000D45A8"/>
    <w:rsid w:val="000D66A6"/>
    <w:rsid w:val="000D6E41"/>
    <w:rsid w:val="000D7416"/>
    <w:rsid w:val="000E3BE0"/>
    <w:rsid w:val="000E40DF"/>
    <w:rsid w:val="000E5C05"/>
    <w:rsid w:val="000F147D"/>
    <w:rsid w:val="000F29F5"/>
    <w:rsid w:val="000F35EA"/>
    <w:rsid w:val="001024B8"/>
    <w:rsid w:val="00105A6A"/>
    <w:rsid w:val="0010621B"/>
    <w:rsid w:val="001062E6"/>
    <w:rsid w:val="001108FB"/>
    <w:rsid w:val="001124BC"/>
    <w:rsid w:val="0011431B"/>
    <w:rsid w:val="00114D51"/>
    <w:rsid w:val="001168DC"/>
    <w:rsid w:val="00116CC3"/>
    <w:rsid w:val="00121681"/>
    <w:rsid w:val="00126D9F"/>
    <w:rsid w:val="00130EE5"/>
    <w:rsid w:val="00132290"/>
    <w:rsid w:val="001337C6"/>
    <w:rsid w:val="00135885"/>
    <w:rsid w:val="00135DE2"/>
    <w:rsid w:val="00136A06"/>
    <w:rsid w:val="001374EF"/>
    <w:rsid w:val="00140BF8"/>
    <w:rsid w:val="00141A0F"/>
    <w:rsid w:val="00142875"/>
    <w:rsid w:val="001433AF"/>
    <w:rsid w:val="00143BFC"/>
    <w:rsid w:val="00145362"/>
    <w:rsid w:val="001469B4"/>
    <w:rsid w:val="00153A88"/>
    <w:rsid w:val="00156BE4"/>
    <w:rsid w:val="00157144"/>
    <w:rsid w:val="00160F28"/>
    <w:rsid w:val="00161686"/>
    <w:rsid w:val="00166AFB"/>
    <w:rsid w:val="001718BB"/>
    <w:rsid w:val="001758D6"/>
    <w:rsid w:val="00177E7E"/>
    <w:rsid w:val="0018187E"/>
    <w:rsid w:val="00186D68"/>
    <w:rsid w:val="00197122"/>
    <w:rsid w:val="001A388D"/>
    <w:rsid w:val="001A67C6"/>
    <w:rsid w:val="001B3C4F"/>
    <w:rsid w:val="001B3DB0"/>
    <w:rsid w:val="001B6B6B"/>
    <w:rsid w:val="001C441F"/>
    <w:rsid w:val="001C4710"/>
    <w:rsid w:val="001D0923"/>
    <w:rsid w:val="001D1CDA"/>
    <w:rsid w:val="001D2F30"/>
    <w:rsid w:val="001D2FCF"/>
    <w:rsid w:val="001D3C7D"/>
    <w:rsid w:val="001D76BB"/>
    <w:rsid w:val="001E1FFF"/>
    <w:rsid w:val="001E3755"/>
    <w:rsid w:val="001E73F0"/>
    <w:rsid w:val="001F2D81"/>
    <w:rsid w:val="001F398A"/>
    <w:rsid w:val="00201B79"/>
    <w:rsid w:val="0020589D"/>
    <w:rsid w:val="002066A5"/>
    <w:rsid w:val="00213C94"/>
    <w:rsid w:val="00215ECB"/>
    <w:rsid w:val="002204A7"/>
    <w:rsid w:val="0022076F"/>
    <w:rsid w:val="00221F1A"/>
    <w:rsid w:val="00221FE0"/>
    <w:rsid w:val="00222122"/>
    <w:rsid w:val="00222EC9"/>
    <w:rsid w:val="00230F68"/>
    <w:rsid w:val="002357BD"/>
    <w:rsid w:val="00235AB4"/>
    <w:rsid w:val="00235BC6"/>
    <w:rsid w:val="00240C71"/>
    <w:rsid w:val="00242F60"/>
    <w:rsid w:val="0024462C"/>
    <w:rsid w:val="00244DE9"/>
    <w:rsid w:val="00246E13"/>
    <w:rsid w:val="00251903"/>
    <w:rsid w:val="00252BF5"/>
    <w:rsid w:val="002537A0"/>
    <w:rsid w:val="00256304"/>
    <w:rsid w:val="0026019E"/>
    <w:rsid w:val="002652AE"/>
    <w:rsid w:val="00270A4D"/>
    <w:rsid w:val="002831AB"/>
    <w:rsid w:val="00287E12"/>
    <w:rsid w:val="00290F97"/>
    <w:rsid w:val="00291145"/>
    <w:rsid w:val="00292D7E"/>
    <w:rsid w:val="00296943"/>
    <w:rsid w:val="002A0465"/>
    <w:rsid w:val="002A1112"/>
    <w:rsid w:val="002A2378"/>
    <w:rsid w:val="002A69BE"/>
    <w:rsid w:val="002A70F0"/>
    <w:rsid w:val="002B32B1"/>
    <w:rsid w:val="002B33A2"/>
    <w:rsid w:val="002B5E1E"/>
    <w:rsid w:val="002B7623"/>
    <w:rsid w:val="002C0420"/>
    <w:rsid w:val="002C12C7"/>
    <w:rsid w:val="002C23AD"/>
    <w:rsid w:val="002C655A"/>
    <w:rsid w:val="002D09E6"/>
    <w:rsid w:val="002D6A01"/>
    <w:rsid w:val="002D6C2E"/>
    <w:rsid w:val="002E3AC3"/>
    <w:rsid w:val="002E621C"/>
    <w:rsid w:val="002E7A32"/>
    <w:rsid w:val="002F108F"/>
    <w:rsid w:val="002F2D21"/>
    <w:rsid w:val="00300248"/>
    <w:rsid w:val="00304EC8"/>
    <w:rsid w:val="00306513"/>
    <w:rsid w:val="0030681F"/>
    <w:rsid w:val="00316E85"/>
    <w:rsid w:val="003218BE"/>
    <w:rsid w:val="003220F5"/>
    <w:rsid w:val="00323D0E"/>
    <w:rsid w:val="00326D1D"/>
    <w:rsid w:val="0033001E"/>
    <w:rsid w:val="00332AFE"/>
    <w:rsid w:val="00332E83"/>
    <w:rsid w:val="003356AE"/>
    <w:rsid w:val="00340D1E"/>
    <w:rsid w:val="00342904"/>
    <w:rsid w:val="00342BC3"/>
    <w:rsid w:val="0034379B"/>
    <w:rsid w:val="00350612"/>
    <w:rsid w:val="0035077D"/>
    <w:rsid w:val="00355D60"/>
    <w:rsid w:val="00356EAD"/>
    <w:rsid w:val="0035701F"/>
    <w:rsid w:val="00362BCE"/>
    <w:rsid w:val="00365135"/>
    <w:rsid w:val="00365C6A"/>
    <w:rsid w:val="00365D30"/>
    <w:rsid w:val="00371EE4"/>
    <w:rsid w:val="00372DB2"/>
    <w:rsid w:val="00376B7A"/>
    <w:rsid w:val="00382043"/>
    <w:rsid w:val="00383735"/>
    <w:rsid w:val="00383778"/>
    <w:rsid w:val="003845D9"/>
    <w:rsid w:val="003850FB"/>
    <w:rsid w:val="00386536"/>
    <w:rsid w:val="0038660F"/>
    <w:rsid w:val="00387329"/>
    <w:rsid w:val="003903FD"/>
    <w:rsid w:val="0039193B"/>
    <w:rsid w:val="00391B61"/>
    <w:rsid w:val="003937AD"/>
    <w:rsid w:val="00394783"/>
    <w:rsid w:val="00395BED"/>
    <w:rsid w:val="00397AE8"/>
    <w:rsid w:val="00397BD3"/>
    <w:rsid w:val="003A6415"/>
    <w:rsid w:val="003A6549"/>
    <w:rsid w:val="003A6E1D"/>
    <w:rsid w:val="003B59CE"/>
    <w:rsid w:val="003B7334"/>
    <w:rsid w:val="003C3F7E"/>
    <w:rsid w:val="003C489E"/>
    <w:rsid w:val="003C5B9B"/>
    <w:rsid w:val="003D11EB"/>
    <w:rsid w:val="003D2617"/>
    <w:rsid w:val="003D3E3F"/>
    <w:rsid w:val="003D4709"/>
    <w:rsid w:val="003D5C4C"/>
    <w:rsid w:val="003E01FE"/>
    <w:rsid w:val="003E0503"/>
    <w:rsid w:val="003E66A4"/>
    <w:rsid w:val="003F3DAD"/>
    <w:rsid w:val="00400609"/>
    <w:rsid w:val="004020AF"/>
    <w:rsid w:val="004051CD"/>
    <w:rsid w:val="00407202"/>
    <w:rsid w:val="00407CE1"/>
    <w:rsid w:val="00410F8C"/>
    <w:rsid w:val="0041249C"/>
    <w:rsid w:val="0041788E"/>
    <w:rsid w:val="00430B16"/>
    <w:rsid w:val="004326EB"/>
    <w:rsid w:val="004375E8"/>
    <w:rsid w:val="004403BA"/>
    <w:rsid w:val="00441773"/>
    <w:rsid w:val="00453BDB"/>
    <w:rsid w:val="00464D44"/>
    <w:rsid w:val="00465345"/>
    <w:rsid w:val="00465DFC"/>
    <w:rsid w:val="00466210"/>
    <w:rsid w:val="00470EC4"/>
    <w:rsid w:val="00471BB1"/>
    <w:rsid w:val="004769BA"/>
    <w:rsid w:val="0047792F"/>
    <w:rsid w:val="00480B78"/>
    <w:rsid w:val="00481805"/>
    <w:rsid w:val="00481877"/>
    <w:rsid w:val="00483E53"/>
    <w:rsid w:val="00490813"/>
    <w:rsid w:val="00491780"/>
    <w:rsid w:val="0049594D"/>
    <w:rsid w:val="00495D9B"/>
    <w:rsid w:val="00496B7B"/>
    <w:rsid w:val="00497AD9"/>
    <w:rsid w:val="004A5CD5"/>
    <w:rsid w:val="004A6443"/>
    <w:rsid w:val="004B149A"/>
    <w:rsid w:val="004B202D"/>
    <w:rsid w:val="004B295C"/>
    <w:rsid w:val="004B4890"/>
    <w:rsid w:val="004C1078"/>
    <w:rsid w:val="004C2666"/>
    <w:rsid w:val="004C5AF9"/>
    <w:rsid w:val="004C7BA7"/>
    <w:rsid w:val="004E602E"/>
    <w:rsid w:val="004E7856"/>
    <w:rsid w:val="004E7D02"/>
    <w:rsid w:val="004F2F3D"/>
    <w:rsid w:val="004F2FEC"/>
    <w:rsid w:val="00503055"/>
    <w:rsid w:val="00505437"/>
    <w:rsid w:val="00506ECF"/>
    <w:rsid w:val="00507FA0"/>
    <w:rsid w:val="005122C9"/>
    <w:rsid w:val="00512BDD"/>
    <w:rsid w:val="00514CBA"/>
    <w:rsid w:val="00515B18"/>
    <w:rsid w:val="00516DF0"/>
    <w:rsid w:val="0052016F"/>
    <w:rsid w:val="00520C3A"/>
    <w:rsid w:val="005249A8"/>
    <w:rsid w:val="00524E7B"/>
    <w:rsid w:val="005336D8"/>
    <w:rsid w:val="00533E8E"/>
    <w:rsid w:val="00535752"/>
    <w:rsid w:val="00540303"/>
    <w:rsid w:val="00542E7F"/>
    <w:rsid w:val="005501F8"/>
    <w:rsid w:val="00553B2B"/>
    <w:rsid w:val="0056166D"/>
    <w:rsid w:val="00561FCC"/>
    <w:rsid w:val="005620DE"/>
    <w:rsid w:val="005662E0"/>
    <w:rsid w:val="0056733F"/>
    <w:rsid w:val="00567F56"/>
    <w:rsid w:val="00570392"/>
    <w:rsid w:val="00573B52"/>
    <w:rsid w:val="0057601E"/>
    <w:rsid w:val="00580BB0"/>
    <w:rsid w:val="00581CDC"/>
    <w:rsid w:val="005821E7"/>
    <w:rsid w:val="005823C4"/>
    <w:rsid w:val="00584F31"/>
    <w:rsid w:val="00585A40"/>
    <w:rsid w:val="00587B34"/>
    <w:rsid w:val="005918F1"/>
    <w:rsid w:val="00594E0A"/>
    <w:rsid w:val="005A1D2D"/>
    <w:rsid w:val="005A250B"/>
    <w:rsid w:val="005A353A"/>
    <w:rsid w:val="005A68A7"/>
    <w:rsid w:val="005B212E"/>
    <w:rsid w:val="005B7879"/>
    <w:rsid w:val="005C1713"/>
    <w:rsid w:val="005C2A9F"/>
    <w:rsid w:val="005C2B6C"/>
    <w:rsid w:val="005C4921"/>
    <w:rsid w:val="005C6F22"/>
    <w:rsid w:val="005D4E8B"/>
    <w:rsid w:val="005D536F"/>
    <w:rsid w:val="005E2C85"/>
    <w:rsid w:val="005E4658"/>
    <w:rsid w:val="005E4921"/>
    <w:rsid w:val="005F294F"/>
    <w:rsid w:val="005F2A8F"/>
    <w:rsid w:val="005F3AC4"/>
    <w:rsid w:val="005F6B46"/>
    <w:rsid w:val="0060477A"/>
    <w:rsid w:val="0061410A"/>
    <w:rsid w:val="006156F2"/>
    <w:rsid w:val="00616D5D"/>
    <w:rsid w:val="00622A0D"/>
    <w:rsid w:val="00623A12"/>
    <w:rsid w:val="006310A1"/>
    <w:rsid w:val="006339F8"/>
    <w:rsid w:val="00636FDF"/>
    <w:rsid w:val="006438FA"/>
    <w:rsid w:val="00644D51"/>
    <w:rsid w:val="006509EA"/>
    <w:rsid w:val="00650C2A"/>
    <w:rsid w:val="006625F5"/>
    <w:rsid w:val="00665395"/>
    <w:rsid w:val="00665DC4"/>
    <w:rsid w:val="0067046E"/>
    <w:rsid w:val="00677727"/>
    <w:rsid w:val="006820E0"/>
    <w:rsid w:val="00682CFF"/>
    <w:rsid w:val="00691EEC"/>
    <w:rsid w:val="00692175"/>
    <w:rsid w:val="006924E2"/>
    <w:rsid w:val="00693A0E"/>
    <w:rsid w:val="006A2ABC"/>
    <w:rsid w:val="006A45FE"/>
    <w:rsid w:val="006B37F4"/>
    <w:rsid w:val="006B4392"/>
    <w:rsid w:val="006B5535"/>
    <w:rsid w:val="006B799D"/>
    <w:rsid w:val="006C0827"/>
    <w:rsid w:val="006C1870"/>
    <w:rsid w:val="006C5001"/>
    <w:rsid w:val="006D406C"/>
    <w:rsid w:val="006E0F9D"/>
    <w:rsid w:val="006E33B3"/>
    <w:rsid w:val="006E6A04"/>
    <w:rsid w:val="006F0134"/>
    <w:rsid w:val="006F2296"/>
    <w:rsid w:val="006F245C"/>
    <w:rsid w:val="006F2823"/>
    <w:rsid w:val="006F6EC5"/>
    <w:rsid w:val="006F7321"/>
    <w:rsid w:val="007004CA"/>
    <w:rsid w:val="0070190C"/>
    <w:rsid w:val="00703466"/>
    <w:rsid w:val="0070664C"/>
    <w:rsid w:val="007116FD"/>
    <w:rsid w:val="0071259E"/>
    <w:rsid w:val="00714D2B"/>
    <w:rsid w:val="00720BC9"/>
    <w:rsid w:val="00733C5B"/>
    <w:rsid w:val="00734ECB"/>
    <w:rsid w:val="007358A0"/>
    <w:rsid w:val="0073661B"/>
    <w:rsid w:val="00742085"/>
    <w:rsid w:val="0074214D"/>
    <w:rsid w:val="00744BDE"/>
    <w:rsid w:val="00747F7E"/>
    <w:rsid w:val="00752455"/>
    <w:rsid w:val="0075271F"/>
    <w:rsid w:val="007533F5"/>
    <w:rsid w:val="007605E8"/>
    <w:rsid w:val="007622A5"/>
    <w:rsid w:val="00764083"/>
    <w:rsid w:val="00764BFD"/>
    <w:rsid w:val="00766E20"/>
    <w:rsid w:val="00766E3C"/>
    <w:rsid w:val="00766FD3"/>
    <w:rsid w:val="00767FA8"/>
    <w:rsid w:val="0077056C"/>
    <w:rsid w:val="007715A7"/>
    <w:rsid w:val="00771C43"/>
    <w:rsid w:val="00773E29"/>
    <w:rsid w:val="00777336"/>
    <w:rsid w:val="0078299A"/>
    <w:rsid w:val="00784843"/>
    <w:rsid w:val="00790500"/>
    <w:rsid w:val="0079617D"/>
    <w:rsid w:val="007A1441"/>
    <w:rsid w:val="007A1997"/>
    <w:rsid w:val="007A226A"/>
    <w:rsid w:val="007A30C8"/>
    <w:rsid w:val="007A4306"/>
    <w:rsid w:val="007A51BA"/>
    <w:rsid w:val="007A51C0"/>
    <w:rsid w:val="007A69C2"/>
    <w:rsid w:val="007B0691"/>
    <w:rsid w:val="007B4561"/>
    <w:rsid w:val="007B5214"/>
    <w:rsid w:val="007C04DA"/>
    <w:rsid w:val="007C61EF"/>
    <w:rsid w:val="007C76E5"/>
    <w:rsid w:val="007D24D6"/>
    <w:rsid w:val="007D5F16"/>
    <w:rsid w:val="007D6BF9"/>
    <w:rsid w:val="007E32B5"/>
    <w:rsid w:val="007E45E7"/>
    <w:rsid w:val="007E6F1F"/>
    <w:rsid w:val="007F3E19"/>
    <w:rsid w:val="007F4B72"/>
    <w:rsid w:val="007F4F15"/>
    <w:rsid w:val="007F51F3"/>
    <w:rsid w:val="00803A4F"/>
    <w:rsid w:val="008040F3"/>
    <w:rsid w:val="00811FA3"/>
    <w:rsid w:val="008123B6"/>
    <w:rsid w:val="00813BC3"/>
    <w:rsid w:val="00817BC9"/>
    <w:rsid w:val="00817D3C"/>
    <w:rsid w:val="0082307E"/>
    <w:rsid w:val="008274E3"/>
    <w:rsid w:val="008300E5"/>
    <w:rsid w:val="0083037C"/>
    <w:rsid w:val="00830CA1"/>
    <w:rsid w:val="008351A4"/>
    <w:rsid w:val="00842B12"/>
    <w:rsid w:val="00842DD8"/>
    <w:rsid w:val="008437F3"/>
    <w:rsid w:val="00843FBE"/>
    <w:rsid w:val="00860160"/>
    <w:rsid w:val="00860D3A"/>
    <w:rsid w:val="008611AF"/>
    <w:rsid w:val="00861947"/>
    <w:rsid w:val="008625F1"/>
    <w:rsid w:val="008626FA"/>
    <w:rsid w:val="00862F94"/>
    <w:rsid w:val="00870CB0"/>
    <w:rsid w:val="008713F2"/>
    <w:rsid w:val="008718CF"/>
    <w:rsid w:val="008769F4"/>
    <w:rsid w:val="00881901"/>
    <w:rsid w:val="00881CE5"/>
    <w:rsid w:val="00882FD6"/>
    <w:rsid w:val="00893A82"/>
    <w:rsid w:val="00893B27"/>
    <w:rsid w:val="008A161C"/>
    <w:rsid w:val="008A2346"/>
    <w:rsid w:val="008A3B5B"/>
    <w:rsid w:val="008B0D82"/>
    <w:rsid w:val="008B169F"/>
    <w:rsid w:val="008B3FF2"/>
    <w:rsid w:val="008B49A2"/>
    <w:rsid w:val="008B4B5B"/>
    <w:rsid w:val="008B4C16"/>
    <w:rsid w:val="008B5C19"/>
    <w:rsid w:val="008B724F"/>
    <w:rsid w:val="008C1EEF"/>
    <w:rsid w:val="008C56E5"/>
    <w:rsid w:val="008D1883"/>
    <w:rsid w:val="008D3362"/>
    <w:rsid w:val="008D4719"/>
    <w:rsid w:val="008D612F"/>
    <w:rsid w:val="008D6D5D"/>
    <w:rsid w:val="008E0A55"/>
    <w:rsid w:val="008E0A85"/>
    <w:rsid w:val="008E1452"/>
    <w:rsid w:val="008E4CC4"/>
    <w:rsid w:val="008E5F5E"/>
    <w:rsid w:val="008F0B87"/>
    <w:rsid w:val="008F2481"/>
    <w:rsid w:val="008F29B0"/>
    <w:rsid w:val="008F4609"/>
    <w:rsid w:val="008F5B58"/>
    <w:rsid w:val="008F6361"/>
    <w:rsid w:val="008F752F"/>
    <w:rsid w:val="009003C8"/>
    <w:rsid w:val="00904615"/>
    <w:rsid w:val="009049B1"/>
    <w:rsid w:val="00906912"/>
    <w:rsid w:val="00907EFD"/>
    <w:rsid w:val="0091342F"/>
    <w:rsid w:val="009147C7"/>
    <w:rsid w:val="0092182F"/>
    <w:rsid w:val="009221CD"/>
    <w:rsid w:val="00922BE8"/>
    <w:rsid w:val="009271AE"/>
    <w:rsid w:val="009308F4"/>
    <w:rsid w:val="00934A8D"/>
    <w:rsid w:val="009377E7"/>
    <w:rsid w:val="00946AAD"/>
    <w:rsid w:val="00947407"/>
    <w:rsid w:val="009479F5"/>
    <w:rsid w:val="0096051E"/>
    <w:rsid w:val="0096438E"/>
    <w:rsid w:val="0096454F"/>
    <w:rsid w:val="00964579"/>
    <w:rsid w:val="00964BA7"/>
    <w:rsid w:val="009651A5"/>
    <w:rsid w:val="00966BAA"/>
    <w:rsid w:val="00967474"/>
    <w:rsid w:val="00970A51"/>
    <w:rsid w:val="009734D6"/>
    <w:rsid w:val="00975449"/>
    <w:rsid w:val="00976323"/>
    <w:rsid w:val="00980E8B"/>
    <w:rsid w:val="00984046"/>
    <w:rsid w:val="0099210C"/>
    <w:rsid w:val="00995395"/>
    <w:rsid w:val="00996C50"/>
    <w:rsid w:val="00997067"/>
    <w:rsid w:val="009A12BB"/>
    <w:rsid w:val="009A6F93"/>
    <w:rsid w:val="009B0106"/>
    <w:rsid w:val="009B43FF"/>
    <w:rsid w:val="009B76AE"/>
    <w:rsid w:val="009B7E5A"/>
    <w:rsid w:val="009C27D7"/>
    <w:rsid w:val="009C3B16"/>
    <w:rsid w:val="009C454F"/>
    <w:rsid w:val="009C6B28"/>
    <w:rsid w:val="009D0799"/>
    <w:rsid w:val="009D3E97"/>
    <w:rsid w:val="009D4384"/>
    <w:rsid w:val="009D4B78"/>
    <w:rsid w:val="009D5F69"/>
    <w:rsid w:val="009D7BA3"/>
    <w:rsid w:val="009E07A3"/>
    <w:rsid w:val="009E0DE5"/>
    <w:rsid w:val="009F300C"/>
    <w:rsid w:val="009F798D"/>
    <w:rsid w:val="00A01178"/>
    <w:rsid w:val="00A06106"/>
    <w:rsid w:val="00A10AD4"/>
    <w:rsid w:val="00A13E7E"/>
    <w:rsid w:val="00A14175"/>
    <w:rsid w:val="00A1493D"/>
    <w:rsid w:val="00A205D0"/>
    <w:rsid w:val="00A21171"/>
    <w:rsid w:val="00A22C6D"/>
    <w:rsid w:val="00A2334E"/>
    <w:rsid w:val="00A23799"/>
    <w:rsid w:val="00A2613F"/>
    <w:rsid w:val="00A26CFA"/>
    <w:rsid w:val="00A27413"/>
    <w:rsid w:val="00A310DE"/>
    <w:rsid w:val="00A32743"/>
    <w:rsid w:val="00A32A7C"/>
    <w:rsid w:val="00A36220"/>
    <w:rsid w:val="00A36C0F"/>
    <w:rsid w:val="00A414B0"/>
    <w:rsid w:val="00A4238A"/>
    <w:rsid w:val="00A4531D"/>
    <w:rsid w:val="00A52797"/>
    <w:rsid w:val="00A54E88"/>
    <w:rsid w:val="00A61C4F"/>
    <w:rsid w:val="00A62738"/>
    <w:rsid w:val="00A6397A"/>
    <w:rsid w:val="00A6440B"/>
    <w:rsid w:val="00A648C1"/>
    <w:rsid w:val="00A64F91"/>
    <w:rsid w:val="00A65673"/>
    <w:rsid w:val="00A673DF"/>
    <w:rsid w:val="00A6751B"/>
    <w:rsid w:val="00A7099D"/>
    <w:rsid w:val="00A71BDE"/>
    <w:rsid w:val="00A71FB4"/>
    <w:rsid w:val="00A72B8D"/>
    <w:rsid w:val="00A76874"/>
    <w:rsid w:val="00A832A0"/>
    <w:rsid w:val="00A864A6"/>
    <w:rsid w:val="00A864A7"/>
    <w:rsid w:val="00A90FEA"/>
    <w:rsid w:val="00A91F05"/>
    <w:rsid w:val="00A92DC7"/>
    <w:rsid w:val="00A933D1"/>
    <w:rsid w:val="00A938E8"/>
    <w:rsid w:val="00A938FB"/>
    <w:rsid w:val="00A94182"/>
    <w:rsid w:val="00AA00EE"/>
    <w:rsid w:val="00AA0A0C"/>
    <w:rsid w:val="00AA254D"/>
    <w:rsid w:val="00AA7325"/>
    <w:rsid w:val="00AB046A"/>
    <w:rsid w:val="00AB184A"/>
    <w:rsid w:val="00AB699A"/>
    <w:rsid w:val="00AB7637"/>
    <w:rsid w:val="00AB7D0C"/>
    <w:rsid w:val="00AC774B"/>
    <w:rsid w:val="00AE1C7B"/>
    <w:rsid w:val="00AE61D1"/>
    <w:rsid w:val="00AF0096"/>
    <w:rsid w:val="00AF1C23"/>
    <w:rsid w:val="00AF2515"/>
    <w:rsid w:val="00AF2640"/>
    <w:rsid w:val="00AF4574"/>
    <w:rsid w:val="00B04A95"/>
    <w:rsid w:val="00B06E5A"/>
    <w:rsid w:val="00B1085B"/>
    <w:rsid w:val="00B112F3"/>
    <w:rsid w:val="00B1278D"/>
    <w:rsid w:val="00B13674"/>
    <w:rsid w:val="00B15127"/>
    <w:rsid w:val="00B16405"/>
    <w:rsid w:val="00B17392"/>
    <w:rsid w:val="00B25526"/>
    <w:rsid w:val="00B35D27"/>
    <w:rsid w:val="00B36E89"/>
    <w:rsid w:val="00B37B7E"/>
    <w:rsid w:val="00B45286"/>
    <w:rsid w:val="00B457FA"/>
    <w:rsid w:val="00B45E64"/>
    <w:rsid w:val="00B4797A"/>
    <w:rsid w:val="00B47D36"/>
    <w:rsid w:val="00B515F1"/>
    <w:rsid w:val="00B53E7E"/>
    <w:rsid w:val="00B5465F"/>
    <w:rsid w:val="00B55DD4"/>
    <w:rsid w:val="00B634C0"/>
    <w:rsid w:val="00B6417C"/>
    <w:rsid w:val="00B641ED"/>
    <w:rsid w:val="00B64260"/>
    <w:rsid w:val="00B66553"/>
    <w:rsid w:val="00B676CD"/>
    <w:rsid w:val="00B700DB"/>
    <w:rsid w:val="00B7164D"/>
    <w:rsid w:val="00B74B3B"/>
    <w:rsid w:val="00B75F30"/>
    <w:rsid w:val="00B82DB4"/>
    <w:rsid w:val="00B83984"/>
    <w:rsid w:val="00B844E9"/>
    <w:rsid w:val="00B865C5"/>
    <w:rsid w:val="00B87EE5"/>
    <w:rsid w:val="00B92EC6"/>
    <w:rsid w:val="00B93FAA"/>
    <w:rsid w:val="00B97401"/>
    <w:rsid w:val="00B97D9E"/>
    <w:rsid w:val="00BA1207"/>
    <w:rsid w:val="00BA5F11"/>
    <w:rsid w:val="00BB07AB"/>
    <w:rsid w:val="00BB1066"/>
    <w:rsid w:val="00BB12B2"/>
    <w:rsid w:val="00BB2ABD"/>
    <w:rsid w:val="00BB66E9"/>
    <w:rsid w:val="00BB67D6"/>
    <w:rsid w:val="00BB722A"/>
    <w:rsid w:val="00BC41BD"/>
    <w:rsid w:val="00BD0879"/>
    <w:rsid w:val="00BD1458"/>
    <w:rsid w:val="00BD3010"/>
    <w:rsid w:val="00BD550C"/>
    <w:rsid w:val="00BE4DC2"/>
    <w:rsid w:val="00BE780D"/>
    <w:rsid w:val="00BF10BB"/>
    <w:rsid w:val="00BF316F"/>
    <w:rsid w:val="00BF359A"/>
    <w:rsid w:val="00BF428E"/>
    <w:rsid w:val="00C01BCF"/>
    <w:rsid w:val="00C020CA"/>
    <w:rsid w:val="00C02D53"/>
    <w:rsid w:val="00C03D8C"/>
    <w:rsid w:val="00C047CF"/>
    <w:rsid w:val="00C104CA"/>
    <w:rsid w:val="00C113B0"/>
    <w:rsid w:val="00C12EE2"/>
    <w:rsid w:val="00C1659C"/>
    <w:rsid w:val="00C170E5"/>
    <w:rsid w:val="00C1746B"/>
    <w:rsid w:val="00C33075"/>
    <w:rsid w:val="00C34504"/>
    <w:rsid w:val="00C3488A"/>
    <w:rsid w:val="00C37FCF"/>
    <w:rsid w:val="00C43B1F"/>
    <w:rsid w:val="00C450B2"/>
    <w:rsid w:val="00C46E26"/>
    <w:rsid w:val="00C5296F"/>
    <w:rsid w:val="00C636DA"/>
    <w:rsid w:val="00C640B1"/>
    <w:rsid w:val="00C66F61"/>
    <w:rsid w:val="00C721FA"/>
    <w:rsid w:val="00C72800"/>
    <w:rsid w:val="00C75E3C"/>
    <w:rsid w:val="00C76424"/>
    <w:rsid w:val="00C812CC"/>
    <w:rsid w:val="00C85F58"/>
    <w:rsid w:val="00C900B2"/>
    <w:rsid w:val="00C91164"/>
    <w:rsid w:val="00C9275C"/>
    <w:rsid w:val="00C95B1F"/>
    <w:rsid w:val="00C960CE"/>
    <w:rsid w:val="00CA00FE"/>
    <w:rsid w:val="00CA1156"/>
    <w:rsid w:val="00CB672B"/>
    <w:rsid w:val="00CB696E"/>
    <w:rsid w:val="00CB755E"/>
    <w:rsid w:val="00CB7695"/>
    <w:rsid w:val="00CB7AEC"/>
    <w:rsid w:val="00CB7D00"/>
    <w:rsid w:val="00CC1DE3"/>
    <w:rsid w:val="00CC243D"/>
    <w:rsid w:val="00CC2FF5"/>
    <w:rsid w:val="00CC30BB"/>
    <w:rsid w:val="00CC324E"/>
    <w:rsid w:val="00CC40EB"/>
    <w:rsid w:val="00CC415D"/>
    <w:rsid w:val="00CC42AD"/>
    <w:rsid w:val="00CC453B"/>
    <w:rsid w:val="00CD0331"/>
    <w:rsid w:val="00CD33CA"/>
    <w:rsid w:val="00CE1127"/>
    <w:rsid w:val="00CE16A0"/>
    <w:rsid w:val="00CE654F"/>
    <w:rsid w:val="00CF103A"/>
    <w:rsid w:val="00CF4ABA"/>
    <w:rsid w:val="00CF677C"/>
    <w:rsid w:val="00D02936"/>
    <w:rsid w:val="00D057A4"/>
    <w:rsid w:val="00D10531"/>
    <w:rsid w:val="00D108F6"/>
    <w:rsid w:val="00D1211F"/>
    <w:rsid w:val="00D12EAC"/>
    <w:rsid w:val="00D15411"/>
    <w:rsid w:val="00D16CCA"/>
    <w:rsid w:val="00D21DF7"/>
    <w:rsid w:val="00D21E3D"/>
    <w:rsid w:val="00D27067"/>
    <w:rsid w:val="00D271D9"/>
    <w:rsid w:val="00D2798C"/>
    <w:rsid w:val="00D33AC2"/>
    <w:rsid w:val="00D3450C"/>
    <w:rsid w:val="00D42E0A"/>
    <w:rsid w:val="00D513D9"/>
    <w:rsid w:val="00D5180E"/>
    <w:rsid w:val="00D535D4"/>
    <w:rsid w:val="00D54F00"/>
    <w:rsid w:val="00D649F8"/>
    <w:rsid w:val="00D663B0"/>
    <w:rsid w:val="00D67D5F"/>
    <w:rsid w:val="00D7112C"/>
    <w:rsid w:val="00D7609E"/>
    <w:rsid w:val="00D77872"/>
    <w:rsid w:val="00D77CF1"/>
    <w:rsid w:val="00D81AA8"/>
    <w:rsid w:val="00D8259C"/>
    <w:rsid w:val="00D85641"/>
    <w:rsid w:val="00D86100"/>
    <w:rsid w:val="00D86E95"/>
    <w:rsid w:val="00D90296"/>
    <w:rsid w:val="00D90CAB"/>
    <w:rsid w:val="00D925AD"/>
    <w:rsid w:val="00D94C8F"/>
    <w:rsid w:val="00D95293"/>
    <w:rsid w:val="00D953AC"/>
    <w:rsid w:val="00D95619"/>
    <w:rsid w:val="00D97110"/>
    <w:rsid w:val="00DA0A1B"/>
    <w:rsid w:val="00DA1EE3"/>
    <w:rsid w:val="00DB11AC"/>
    <w:rsid w:val="00DB3FDA"/>
    <w:rsid w:val="00DB405D"/>
    <w:rsid w:val="00DC158D"/>
    <w:rsid w:val="00DC4F10"/>
    <w:rsid w:val="00DD181C"/>
    <w:rsid w:val="00DD69D3"/>
    <w:rsid w:val="00DE1CDC"/>
    <w:rsid w:val="00DE443A"/>
    <w:rsid w:val="00DE6CC3"/>
    <w:rsid w:val="00DF1710"/>
    <w:rsid w:val="00DF1D58"/>
    <w:rsid w:val="00DF1EB6"/>
    <w:rsid w:val="00DF34F1"/>
    <w:rsid w:val="00DF3548"/>
    <w:rsid w:val="00DF4962"/>
    <w:rsid w:val="00DF4AB4"/>
    <w:rsid w:val="00E004E6"/>
    <w:rsid w:val="00E03332"/>
    <w:rsid w:val="00E03DE1"/>
    <w:rsid w:val="00E06806"/>
    <w:rsid w:val="00E156A7"/>
    <w:rsid w:val="00E20F16"/>
    <w:rsid w:val="00E2247E"/>
    <w:rsid w:val="00E2579D"/>
    <w:rsid w:val="00E26530"/>
    <w:rsid w:val="00E273F9"/>
    <w:rsid w:val="00E31644"/>
    <w:rsid w:val="00E36286"/>
    <w:rsid w:val="00E40921"/>
    <w:rsid w:val="00E42117"/>
    <w:rsid w:val="00E42D47"/>
    <w:rsid w:val="00E45C0F"/>
    <w:rsid w:val="00E47532"/>
    <w:rsid w:val="00E50DF8"/>
    <w:rsid w:val="00E61DBD"/>
    <w:rsid w:val="00E6336E"/>
    <w:rsid w:val="00E64CF5"/>
    <w:rsid w:val="00E7012C"/>
    <w:rsid w:val="00E70AB6"/>
    <w:rsid w:val="00E70C5C"/>
    <w:rsid w:val="00E71912"/>
    <w:rsid w:val="00E72275"/>
    <w:rsid w:val="00E75EF6"/>
    <w:rsid w:val="00E816DB"/>
    <w:rsid w:val="00E828DA"/>
    <w:rsid w:val="00E8367D"/>
    <w:rsid w:val="00E84284"/>
    <w:rsid w:val="00E85186"/>
    <w:rsid w:val="00E85D66"/>
    <w:rsid w:val="00E8649A"/>
    <w:rsid w:val="00E915B3"/>
    <w:rsid w:val="00E932BE"/>
    <w:rsid w:val="00E933E1"/>
    <w:rsid w:val="00E96AB8"/>
    <w:rsid w:val="00E972D3"/>
    <w:rsid w:val="00E978CE"/>
    <w:rsid w:val="00EA0FF4"/>
    <w:rsid w:val="00EA23E4"/>
    <w:rsid w:val="00EA3136"/>
    <w:rsid w:val="00EA7D3C"/>
    <w:rsid w:val="00EB15D7"/>
    <w:rsid w:val="00EB2278"/>
    <w:rsid w:val="00EB2691"/>
    <w:rsid w:val="00EB3BB8"/>
    <w:rsid w:val="00EB3F63"/>
    <w:rsid w:val="00EB70DA"/>
    <w:rsid w:val="00EC15FA"/>
    <w:rsid w:val="00EC54F6"/>
    <w:rsid w:val="00EC721F"/>
    <w:rsid w:val="00ED38CE"/>
    <w:rsid w:val="00EE02EB"/>
    <w:rsid w:val="00EE1E34"/>
    <w:rsid w:val="00EE1EF1"/>
    <w:rsid w:val="00EE1F08"/>
    <w:rsid w:val="00EF08CF"/>
    <w:rsid w:val="00EF181F"/>
    <w:rsid w:val="00EF6400"/>
    <w:rsid w:val="00EF64C1"/>
    <w:rsid w:val="00F00638"/>
    <w:rsid w:val="00F0131B"/>
    <w:rsid w:val="00F02B5E"/>
    <w:rsid w:val="00F0421C"/>
    <w:rsid w:val="00F05246"/>
    <w:rsid w:val="00F0673B"/>
    <w:rsid w:val="00F070A8"/>
    <w:rsid w:val="00F07F01"/>
    <w:rsid w:val="00F102E2"/>
    <w:rsid w:val="00F11D2D"/>
    <w:rsid w:val="00F143F0"/>
    <w:rsid w:val="00F147DD"/>
    <w:rsid w:val="00F15465"/>
    <w:rsid w:val="00F208FD"/>
    <w:rsid w:val="00F2170A"/>
    <w:rsid w:val="00F34173"/>
    <w:rsid w:val="00F37016"/>
    <w:rsid w:val="00F40B0E"/>
    <w:rsid w:val="00F420A9"/>
    <w:rsid w:val="00F4319E"/>
    <w:rsid w:val="00F43479"/>
    <w:rsid w:val="00F43F0F"/>
    <w:rsid w:val="00F44818"/>
    <w:rsid w:val="00F51C8E"/>
    <w:rsid w:val="00F54386"/>
    <w:rsid w:val="00F555BA"/>
    <w:rsid w:val="00F55780"/>
    <w:rsid w:val="00F565F0"/>
    <w:rsid w:val="00F61202"/>
    <w:rsid w:val="00F62A4F"/>
    <w:rsid w:val="00F63482"/>
    <w:rsid w:val="00F63960"/>
    <w:rsid w:val="00F673F4"/>
    <w:rsid w:val="00F67446"/>
    <w:rsid w:val="00F6754A"/>
    <w:rsid w:val="00F83F6D"/>
    <w:rsid w:val="00F847DD"/>
    <w:rsid w:val="00F90BCD"/>
    <w:rsid w:val="00F90C36"/>
    <w:rsid w:val="00F90CA7"/>
    <w:rsid w:val="00F90F08"/>
    <w:rsid w:val="00F91646"/>
    <w:rsid w:val="00F922DA"/>
    <w:rsid w:val="00F925E5"/>
    <w:rsid w:val="00FA0690"/>
    <w:rsid w:val="00FA531B"/>
    <w:rsid w:val="00FB363D"/>
    <w:rsid w:val="00FB606F"/>
    <w:rsid w:val="00FB7AEC"/>
    <w:rsid w:val="00FC2154"/>
    <w:rsid w:val="00FC4E9D"/>
    <w:rsid w:val="00FC7D3E"/>
    <w:rsid w:val="00FD006D"/>
    <w:rsid w:val="00FD520A"/>
    <w:rsid w:val="00FE1A90"/>
    <w:rsid w:val="00FE3C8D"/>
    <w:rsid w:val="00FE48B2"/>
    <w:rsid w:val="00FF602C"/>
    <w:rsid w:val="00FF6455"/>
    <w:rsid w:val="00FF6FF5"/>
    <w:rsid w:val="0CFD6885"/>
    <w:rsid w:val="0E3E052C"/>
    <w:rsid w:val="10071369"/>
    <w:rsid w:val="11647A4F"/>
    <w:rsid w:val="11B928CB"/>
    <w:rsid w:val="18976EEF"/>
    <w:rsid w:val="19780C73"/>
    <w:rsid w:val="27D52D46"/>
    <w:rsid w:val="27F009E7"/>
    <w:rsid w:val="33581EED"/>
    <w:rsid w:val="3B0819B3"/>
    <w:rsid w:val="3DCC7B36"/>
    <w:rsid w:val="4245123D"/>
    <w:rsid w:val="43760FB2"/>
    <w:rsid w:val="47B60184"/>
    <w:rsid w:val="49A4496C"/>
    <w:rsid w:val="4A56349A"/>
    <w:rsid w:val="4C045886"/>
    <w:rsid w:val="4D8331E2"/>
    <w:rsid w:val="4DB27085"/>
    <w:rsid w:val="4F0F079A"/>
    <w:rsid w:val="4F2A1CC8"/>
    <w:rsid w:val="506D728C"/>
    <w:rsid w:val="51965659"/>
    <w:rsid w:val="638C48B6"/>
    <w:rsid w:val="6D927D32"/>
    <w:rsid w:val="6FBF9311"/>
    <w:rsid w:val="70114CEC"/>
    <w:rsid w:val="75EB1BC8"/>
    <w:rsid w:val="77C912FA"/>
    <w:rsid w:val="787A7F08"/>
    <w:rsid w:val="7C5F1143"/>
    <w:rsid w:val="AAE3EAEA"/>
    <w:rsid w:val="B1FF1B5A"/>
    <w:rsid w:val="BDC5FF3F"/>
    <w:rsid w:val="DFFF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4"/>
    <w:basedOn w:val="1"/>
    <w:next w:val="1"/>
    <w:link w:val="4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63"/>
    <w:unhideWhenUsed/>
    <w:qFormat/>
    <w:uiPriority w:val="99"/>
    <w:rPr>
      <w:rFonts w:ascii="宋体" w:hAnsiTheme="minorHAnsi" w:cstheme="minorBidi"/>
      <w:sz w:val="18"/>
      <w:szCs w:val="18"/>
    </w:rPr>
  </w:style>
  <w:style w:type="paragraph" w:styleId="7">
    <w:name w:val="annotation text"/>
    <w:basedOn w:val="1"/>
    <w:link w:val="34"/>
    <w:unhideWhenUsed/>
    <w:qFormat/>
    <w:uiPriority w:val="99"/>
    <w:pPr>
      <w:jc w:val="left"/>
    </w:pPr>
  </w:style>
  <w:style w:type="paragraph" w:styleId="8">
    <w:name w:val="Body Text"/>
    <w:basedOn w:val="1"/>
    <w:link w:val="56"/>
    <w:qFormat/>
    <w:uiPriority w:val="0"/>
    <w:pPr>
      <w:spacing w:after="120"/>
    </w:pPr>
    <w:rPr>
      <w:rFonts w:ascii="Times New Roman" w:hAnsi="Times New Roman"/>
      <w:szCs w:val="24"/>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10">
    <w:name w:val="Plain Text"/>
    <w:basedOn w:val="1"/>
    <w:link w:val="51"/>
    <w:qFormat/>
    <w:uiPriority w:val="0"/>
    <w:rPr>
      <w:rFonts w:ascii="宋体" w:hAnsi="Courier New" w:cstheme="minorBidi"/>
      <w:szCs w:val="24"/>
    </w:rPr>
  </w:style>
  <w:style w:type="paragraph" w:styleId="11">
    <w:name w:val="Date"/>
    <w:basedOn w:val="1"/>
    <w:next w:val="1"/>
    <w:link w:val="46"/>
    <w:unhideWhenUsed/>
    <w:qFormat/>
    <w:uiPriority w:val="0"/>
    <w:pPr>
      <w:ind w:left="100" w:leftChars="2500"/>
    </w:pPr>
    <w:rPr>
      <w:rFonts w:asciiTheme="minorHAnsi" w:hAnsiTheme="minorHAnsi" w:eastAsiaTheme="minorEastAsia" w:cstheme="minorBidi"/>
    </w:rPr>
  </w:style>
  <w:style w:type="paragraph" w:styleId="12">
    <w:name w:val="Balloon Text"/>
    <w:basedOn w:val="1"/>
    <w:link w:val="31"/>
    <w:unhideWhenUsed/>
    <w:qFormat/>
    <w:uiPriority w:val="99"/>
    <w:rPr>
      <w:sz w:val="18"/>
      <w:szCs w:val="18"/>
    </w:rPr>
  </w:style>
  <w:style w:type="paragraph" w:styleId="13">
    <w:name w:val="footer"/>
    <w:basedOn w:val="1"/>
    <w:link w:val="36"/>
    <w:unhideWhenUsed/>
    <w:qFormat/>
    <w:uiPriority w:val="99"/>
    <w:pPr>
      <w:tabs>
        <w:tab w:val="center" w:pos="4153"/>
        <w:tab w:val="right" w:pos="8306"/>
      </w:tabs>
      <w:snapToGrid w:val="0"/>
      <w:jc w:val="left"/>
    </w:pPr>
    <w:rPr>
      <w:sz w:val="18"/>
      <w:szCs w:val="18"/>
    </w:rPr>
  </w:style>
  <w:style w:type="paragraph" w:styleId="14">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tabs>
        <w:tab w:val="left" w:pos="840"/>
        <w:tab w:val="right" w:leader="dot" w:pos="8273"/>
      </w:tabs>
      <w:spacing w:line="360" w:lineRule="auto"/>
      <w:jc w:val="left"/>
    </w:pPr>
    <w:rPr>
      <w:rFonts w:eastAsia="黑体" w:asciiTheme="minorHAnsi" w:hAnsiTheme="minorHAnsi" w:cstheme="minorBidi"/>
      <w:kern w:val="0"/>
      <w:sz w:val="22"/>
    </w:rPr>
  </w:style>
  <w:style w:type="paragraph" w:styleId="16">
    <w:name w:val="footnote text"/>
    <w:basedOn w:val="1"/>
    <w:link w:val="76"/>
    <w:semiHidden/>
    <w:unhideWhenUsed/>
    <w:qFormat/>
    <w:uiPriority w:val="99"/>
    <w:pPr>
      <w:snapToGrid w:val="0"/>
      <w:jc w:val="left"/>
    </w:pPr>
    <w:rPr>
      <w:sz w:val="18"/>
      <w:szCs w:val="18"/>
    </w:rPr>
  </w:style>
  <w:style w:type="paragraph" w:styleId="17">
    <w:name w:val="toc 2"/>
    <w:basedOn w:val="1"/>
    <w:next w:val="1"/>
    <w:unhideWhenUsed/>
    <w:qFormat/>
    <w:uiPriority w:val="39"/>
    <w:pPr>
      <w:widowControl/>
      <w:tabs>
        <w:tab w:val="left" w:pos="851"/>
        <w:tab w:val="right" w:leader="dot" w:pos="8302"/>
      </w:tabs>
      <w:spacing w:after="100" w:line="276" w:lineRule="auto"/>
      <w:ind w:left="220"/>
      <w:jc w:val="left"/>
    </w:pPr>
    <w:rPr>
      <w:rFonts w:asciiTheme="minorHAnsi" w:hAnsiTheme="minorHAnsi" w:eastAsiaTheme="minorEastAsia" w:cstheme="minorBidi"/>
      <w:kern w:val="0"/>
      <w:sz w:val="22"/>
    </w:r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9">
    <w:name w:val="Normal (Web)"/>
    <w:basedOn w:val="1"/>
    <w:link w:val="66"/>
    <w:qFormat/>
    <w:uiPriority w:val="0"/>
    <w:pPr>
      <w:widowControl/>
      <w:spacing w:before="100" w:beforeAutospacing="1" w:after="100" w:afterAutospacing="1"/>
      <w:jc w:val="left"/>
    </w:pPr>
    <w:rPr>
      <w:rFonts w:ascii="宋体" w:hAnsi="宋体"/>
      <w:kern w:val="0"/>
      <w:sz w:val="24"/>
      <w:szCs w:val="24"/>
    </w:rPr>
  </w:style>
  <w:style w:type="paragraph" w:styleId="20">
    <w:name w:val="Title"/>
    <w:basedOn w:val="1"/>
    <w:next w:val="1"/>
    <w:link w:val="40"/>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1">
    <w:name w:val="annotation subject"/>
    <w:basedOn w:val="7"/>
    <w:next w:val="7"/>
    <w:link w:val="41"/>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FollowedHyperlink"/>
    <w:basedOn w:val="24"/>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qFormat/>
    <w:uiPriority w:val="99"/>
    <w:rPr>
      <w:color w:val="0000FF"/>
      <w:u w:val="single"/>
    </w:rPr>
  </w:style>
  <w:style w:type="character" w:styleId="29">
    <w:name w:val="annotation reference"/>
    <w:unhideWhenUsed/>
    <w:qFormat/>
    <w:uiPriority w:val="99"/>
    <w:rPr>
      <w:sz w:val="21"/>
      <w:szCs w:val="21"/>
    </w:rPr>
  </w:style>
  <w:style w:type="character" w:styleId="30">
    <w:name w:val="footnote reference"/>
    <w:basedOn w:val="24"/>
    <w:semiHidden/>
    <w:unhideWhenUsed/>
    <w:qFormat/>
    <w:uiPriority w:val="99"/>
    <w:rPr>
      <w:vertAlign w:val="superscript"/>
    </w:rPr>
  </w:style>
  <w:style w:type="character" w:customStyle="1" w:styleId="31">
    <w:name w:val="批注框文本 字符"/>
    <w:basedOn w:val="24"/>
    <w:link w:val="12"/>
    <w:semiHidden/>
    <w:qFormat/>
    <w:uiPriority w:val="99"/>
    <w:rPr>
      <w:rFonts w:ascii="Calibri" w:hAnsi="Calibri" w:eastAsia="宋体" w:cs="Times New Roman"/>
      <w:sz w:val="18"/>
      <w:szCs w:val="18"/>
    </w:rPr>
  </w:style>
  <w:style w:type="paragraph" w:customStyle="1" w:styleId="32">
    <w:name w:val="列表段落1"/>
    <w:basedOn w:val="1"/>
    <w:link w:val="33"/>
    <w:qFormat/>
    <w:uiPriority w:val="34"/>
    <w:pPr>
      <w:ind w:firstLine="420" w:firstLineChars="200"/>
    </w:pPr>
  </w:style>
  <w:style w:type="character" w:customStyle="1" w:styleId="33">
    <w:name w:val="列表段落 字符"/>
    <w:link w:val="32"/>
    <w:qFormat/>
    <w:uiPriority w:val="34"/>
    <w:rPr>
      <w:rFonts w:ascii="Calibri" w:hAnsi="Calibri" w:eastAsia="宋体" w:cs="Times New Roman"/>
    </w:rPr>
  </w:style>
  <w:style w:type="character" w:customStyle="1" w:styleId="34">
    <w:name w:val="批注文字 字符"/>
    <w:basedOn w:val="24"/>
    <w:link w:val="7"/>
    <w:qFormat/>
    <w:uiPriority w:val="99"/>
    <w:rPr>
      <w:rFonts w:ascii="Calibri" w:hAnsi="Calibri" w:eastAsia="宋体" w:cs="Times New Roman"/>
    </w:rPr>
  </w:style>
  <w:style w:type="character" w:customStyle="1" w:styleId="35">
    <w:name w:val="页眉 字符"/>
    <w:basedOn w:val="24"/>
    <w:link w:val="14"/>
    <w:qFormat/>
    <w:uiPriority w:val="0"/>
    <w:rPr>
      <w:rFonts w:ascii="Calibri" w:hAnsi="Calibri" w:eastAsia="宋体" w:cs="Times New Roman"/>
      <w:sz w:val="18"/>
      <w:szCs w:val="18"/>
    </w:rPr>
  </w:style>
  <w:style w:type="character" w:customStyle="1" w:styleId="36">
    <w:name w:val="页脚 字符"/>
    <w:basedOn w:val="24"/>
    <w:link w:val="13"/>
    <w:qFormat/>
    <w:uiPriority w:val="99"/>
    <w:rPr>
      <w:rFonts w:ascii="Calibri" w:hAnsi="Calibri" w:eastAsia="宋体" w:cs="Times New Roman"/>
      <w:sz w:val="18"/>
      <w:szCs w:val="18"/>
    </w:rPr>
  </w:style>
  <w:style w:type="character" w:customStyle="1" w:styleId="37">
    <w:name w:val="标题 1 字符"/>
    <w:basedOn w:val="24"/>
    <w:link w:val="2"/>
    <w:qFormat/>
    <w:uiPriority w:val="9"/>
    <w:rPr>
      <w:rFonts w:ascii="Calibri" w:hAnsi="Calibri" w:eastAsia="宋体" w:cs="Times New Roman"/>
      <w:b/>
      <w:bCs/>
      <w:kern w:val="44"/>
      <w:sz w:val="44"/>
      <w:szCs w:val="44"/>
    </w:rPr>
  </w:style>
  <w:style w:type="paragraph" w:customStyle="1" w:styleId="38">
    <w:name w:val="列出段落1"/>
    <w:basedOn w:val="1"/>
    <w:qFormat/>
    <w:uiPriority w:val="34"/>
    <w:pPr>
      <w:ind w:firstLine="420" w:firstLineChars="200"/>
    </w:pPr>
    <w:rPr>
      <w:rFonts w:cs="黑体"/>
    </w:rPr>
  </w:style>
  <w:style w:type="paragraph" w:customStyle="1" w:styleId="39">
    <w:name w:val="样式4"/>
    <w:basedOn w:val="1"/>
    <w:qFormat/>
    <w:uiPriority w:val="0"/>
    <w:pPr>
      <w:tabs>
        <w:tab w:val="left" w:pos="2328"/>
      </w:tabs>
      <w:ind w:left="2328" w:hanging="708"/>
    </w:pPr>
    <w:rPr>
      <w:rFonts w:ascii="Times New Roman" w:hAnsi="Times New Roman"/>
      <w:szCs w:val="24"/>
    </w:rPr>
  </w:style>
  <w:style w:type="character" w:customStyle="1" w:styleId="40">
    <w:name w:val="标题 字符"/>
    <w:basedOn w:val="24"/>
    <w:link w:val="20"/>
    <w:qFormat/>
    <w:uiPriority w:val="0"/>
    <w:rPr>
      <w:rFonts w:ascii="Cambria" w:hAnsi="Cambria" w:eastAsia="宋体" w:cs="Times New Roman"/>
      <w:b/>
      <w:bCs/>
      <w:kern w:val="0"/>
      <w:sz w:val="32"/>
      <w:szCs w:val="32"/>
    </w:rPr>
  </w:style>
  <w:style w:type="character" w:customStyle="1" w:styleId="41">
    <w:name w:val="批注主题 字符"/>
    <w:basedOn w:val="34"/>
    <w:link w:val="21"/>
    <w:semiHidden/>
    <w:qFormat/>
    <w:uiPriority w:val="99"/>
    <w:rPr>
      <w:rFonts w:ascii="Calibri" w:hAnsi="Calibri" w:eastAsia="宋体" w:cs="Times New Roman"/>
      <w:b/>
      <w:bCs/>
    </w:rPr>
  </w:style>
  <w:style w:type="character" w:customStyle="1" w:styleId="42">
    <w:name w:val="批注文字 Char"/>
    <w:basedOn w:val="24"/>
    <w:qFormat/>
    <w:uiPriority w:val="0"/>
  </w:style>
  <w:style w:type="character" w:customStyle="1" w:styleId="43">
    <w:name w:val="标题 2 字符"/>
    <w:basedOn w:val="24"/>
    <w:link w:val="3"/>
    <w:qFormat/>
    <w:uiPriority w:val="9"/>
    <w:rPr>
      <w:rFonts w:asciiTheme="majorHAnsi" w:hAnsiTheme="majorHAnsi" w:eastAsiaTheme="majorEastAsia" w:cstheme="majorBidi"/>
      <w:b/>
      <w:bCs/>
      <w:sz w:val="32"/>
      <w:szCs w:val="32"/>
    </w:rPr>
  </w:style>
  <w:style w:type="character" w:customStyle="1" w:styleId="44">
    <w:name w:val="标题 3 字符"/>
    <w:basedOn w:val="24"/>
    <w:link w:val="4"/>
    <w:semiHidden/>
    <w:qFormat/>
    <w:uiPriority w:val="9"/>
    <w:rPr>
      <w:b/>
      <w:bCs/>
      <w:sz w:val="32"/>
      <w:szCs w:val="32"/>
    </w:rPr>
  </w:style>
  <w:style w:type="character" w:customStyle="1" w:styleId="45">
    <w:name w:val="标题 4 字符"/>
    <w:basedOn w:val="24"/>
    <w:link w:val="5"/>
    <w:semiHidden/>
    <w:qFormat/>
    <w:uiPriority w:val="9"/>
    <w:rPr>
      <w:rFonts w:asciiTheme="majorHAnsi" w:hAnsiTheme="majorHAnsi" w:eastAsiaTheme="majorEastAsia" w:cstheme="majorBidi"/>
      <w:b/>
      <w:bCs/>
      <w:sz w:val="28"/>
      <w:szCs w:val="28"/>
    </w:rPr>
  </w:style>
  <w:style w:type="character" w:customStyle="1" w:styleId="46">
    <w:name w:val="日期 字符"/>
    <w:basedOn w:val="24"/>
    <w:link w:val="11"/>
    <w:qFormat/>
    <w:uiPriority w:val="99"/>
  </w:style>
  <w:style w:type="character" w:customStyle="1" w:styleId="47">
    <w:name w:val="p141"/>
    <w:qFormat/>
    <w:uiPriority w:val="0"/>
    <w:rPr>
      <w:sz w:val="21"/>
      <w:szCs w:val="21"/>
    </w:rPr>
  </w:style>
  <w:style w:type="paragraph" w:customStyle="1" w:styleId="4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9">
    <w:name w:val="正文缩进2格"/>
    <w:basedOn w:val="1"/>
    <w:link w:val="50"/>
    <w:qFormat/>
    <w:uiPriority w:val="0"/>
    <w:pPr>
      <w:spacing w:line="600" w:lineRule="exact"/>
      <w:ind w:firstLine="639" w:firstLineChars="206"/>
    </w:pPr>
    <w:rPr>
      <w:rFonts w:ascii="仿宋_GB2312" w:hAnsi="宋体" w:eastAsia="仿宋_GB2312"/>
      <w:sz w:val="31"/>
      <w:szCs w:val="28"/>
    </w:rPr>
  </w:style>
  <w:style w:type="character" w:customStyle="1" w:styleId="50">
    <w:name w:val="正文缩进2格 Char"/>
    <w:link w:val="49"/>
    <w:qFormat/>
    <w:uiPriority w:val="0"/>
    <w:rPr>
      <w:rFonts w:ascii="仿宋_GB2312" w:hAnsi="宋体" w:eastAsia="仿宋_GB2312" w:cs="Times New Roman"/>
      <w:sz w:val="31"/>
      <w:szCs w:val="28"/>
    </w:rPr>
  </w:style>
  <w:style w:type="character" w:customStyle="1" w:styleId="51">
    <w:name w:val="纯文本 字符"/>
    <w:basedOn w:val="24"/>
    <w:link w:val="10"/>
    <w:qFormat/>
    <w:uiPriority w:val="0"/>
    <w:rPr>
      <w:rFonts w:ascii="宋体" w:hAnsi="Courier New" w:eastAsia="宋体"/>
      <w:szCs w:val="24"/>
    </w:rPr>
  </w:style>
  <w:style w:type="character" w:customStyle="1" w:styleId="52">
    <w:name w:val="纯文本 字符1"/>
    <w:basedOn w:val="24"/>
    <w:semiHidden/>
    <w:qFormat/>
    <w:uiPriority w:val="99"/>
    <w:rPr>
      <w:rFonts w:hAnsi="Courier New" w:cs="Courier New" w:asciiTheme="minorEastAsia"/>
    </w:rPr>
  </w:style>
  <w:style w:type="character" w:customStyle="1" w:styleId="53">
    <w:name w:val="纯文本 Char"/>
    <w:basedOn w:val="24"/>
    <w:semiHidden/>
    <w:qFormat/>
    <w:uiPriority w:val="99"/>
    <w:rPr>
      <w:rFonts w:ascii="宋体" w:hAnsi="Courier New" w:eastAsia="宋体" w:cs="Courier New"/>
      <w:szCs w:val="21"/>
    </w:rPr>
  </w:style>
  <w:style w:type="character" w:customStyle="1" w:styleId="54">
    <w:name w:val="正文缩进2格 Char Char"/>
    <w:basedOn w:val="24"/>
    <w:qFormat/>
    <w:uiPriority w:val="0"/>
    <w:rPr>
      <w:rFonts w:ascii="仿宋_GB2312" w:hAnsi="宋体" w:eastAsia="仿宋_GB2312"/>
      <w:kern w:val="2"/>
      <w:sz w:val="31"/>
      <w:szCs w:val="28"/>
      <w:lang w:val="en-US" w:eastAsia="zh-CN" w:bidi="ar-SA"/>
    </w:rPr>
  </w:style>
  <w:style w:type="paragraph" w:customStyle="1" w:styleId="55">
    <w:name w:val="正文缩进4格"/>
    <w:basedOn w:val="49"/>
    <w:qFormat/>
    <w:uiPriority w:val="0"/>
    <w:pPr>
      <w:spacing w:line="340" w:lineRule="exact"/>
      <w:ind w:firstLine="315" w:firstLineChars="0"/>
    </w:pPr>
    <w:rPr>
      <w:rFonts w:ascii="宋体" w:eastAsia="宋体"/>
      <w:sz w:val="24"/>
      <w:szCs w:val="24"/>
    </w:rPr>
  </w:style>
  <w:style w:type="character" w:customStyle="1" w:styleId="56">
    <w:name w:val="正文文本 字符"/>
    <w:basedOn w:val="24"/>
    <w:link w:val="8"/>
    <w:qFormat/>
    <w:uiPriority w:val="0"/>
    <w:rPr>
      <w:rFonts w:ascii="Times New Roman" w:hAnsi="Times New Roman" w:eastAsia="宋体" w:cs="Times New Roman"/>
      <w:szCs w:val="24"/>
    </w:rPr>
  </w:style>
  <w:style w:type="character" w:customStyle="1" w:styleId="57">
    <w:name w:val="正文文本 Char"/>
    <w:basedOn w:val="24"/>
    <w:semiHidden/>
    <w:qFormat/>
    <w:uiPriority w:val="99"/>
  </w:style>
  <w:style w:type="paragraph" w:customStyle="1" w:styleId="58">
    <w:name w:val="保留正文"/>
    <w:basedOn w:val="8"/>
    <w:qFormat/>
    <w:uiPriority w:val="0"/>
    <w:pPr>
      <w:keepNext/>
      <w:spacing w:after="160"/>
    </w:pPr>
  </w:style>
  <w:style w:type="paragraph" w:customStyle="1" w:styleId="5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0">
    <w:name w:val="_Style 202"/>
    <w:basedOn w:val="1"/>
    <w:qFormat/>
    <w:uiPriority w:val="0"/>
    <w:pPr>
      <w:tabs>
        <w:tab w:val="left" w:pos="360"/>
      </w:tabs>
    </w:pPr>
    <w:rPr>
      <w:rFonts w:ascii="Times New Roman" w:hAnsi="Times New Roman"/>
      <w:szCs w:val="24"/>
    </w:rPr>
  </w:style>
  <w:style w:type="paragraph" w:customStyle="1" w:styleId="61">
    <w:name w:val="Char1 Char Char Char"/>
    <w:basedOn w:val="1"/>
    <w:qFormat/>
    <w:uiPriority w:val="0"/>
    <w:rPr>
      <w:rFonts w:ascii="黑体" w:hAnsi="Verdana" w:eastAsia="黑体"/>
      <w:kern w:val="0"/>
      <w:sz w:val="32"/>
      <w:szCs w:val="32"/>
      <w:lang w:eastAsia="en-US"/>
    </w:rPr>
  </w:style>
  <w:style w:type="paragraph" w:customStyle="1" w:styleId="62">
    <w:name w:val="1 Char Char Char Char"/>
    <w:basedOn w:val="1"/>
    <w:qFormat/>
    <w:uiPriority w:val="0"/>
    <w:pPr>
      <w:spacing w:after="160" w:line="240" w:lineRule="exact"/>
    </w:pPr>
    <w:rPr>
      <w:rFonts w:ascii="Times New Roman" w:hAnsi="Times New Roman"/>
      <w:szCs w:val="24"/>
    </w:rPr>
  </w:style>
  <w:style w:type="character" w:customStyle="1" w:styleId="63">
    <w:name w:val="文档结构图 字符"/>
    <w:basedOn w:val="24"/>
    <w:link w:val="6"/>
    <w:semiHidden/>
    <w:qFormat/>
    <w:uiPriority w:val="99"/>
    <w:rPr>
      <w:rFonts w:ascii="宋体" w:eastAsia="宋体"/>
      <w:sz w:val="18"/>
      <w:szCs w:val="18"/>
    </w:rPr>
  </w:style>
  <w:style w:type="paragraph" w:customStyle="1" w:styleId="64">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65">
    <w:name w:val="："/>
    <w:basedOn w:val="1"/>
    <w:qFormat/>
    <w:uiPriority w:val="0"/>
    <w:rPr>
      <w:rFonts w:ascii="Times New Roman" w:hAnsi="Times New Roman"/>
      <w:szCs w:val="24"/>
    </w:rPr>
  </w:style>
  <w:style w:type="character" w:customStyle="1" w:styleId="66">
    <w:name w:val="普通(网站) 字符"/>
    <w:link w:val="19"/>
    <w:qFormat/>
    <w:uiPriority w:val="0"/>
    <w:rPr>
      <w:rFonts w:ascii="宋体" w:hAnsi="宋体" w:eastAsia="宋体" w:cs="Times New Roman"/>
      <w:kern w:val="0"/>
      <w:sz w:val="24"/>
      <w:szCs w:val="24"/>
    </w:rPr>
  </w:style>
  <w:style w:type="paragraph" w:customStyle="1" w:styleId="67">
    <w:name w:val="表正文"/>
    <w:basedOn w:val="1"/>
    <w:next w:val="19"/>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68">
    <w:name w:val="修订2"/>
    <w:hidden/>
    <w:semiHidden/>
    <w:qFormat/>
    <w:uiPriority w:val="99"/>
    <w:rPr>
      <w:rFonts w:ascii="Calibri" w:hAnsi="Calibri" w:eastAsia="宋体" w:cs="Times New Roman"/>
      <w:kern w:val="2"/>
      <w:sz w:val="21"/>
      <w:szCs w:val="22"/>
      <w:lang w:val="en-US" w:eastAsia="zh-CN" w:bidi="ar-SA"/>
    </w:rPr>
  </w:style>
  <w:style w:type="paragraph" w:customStyle="1" w:styleId="69">
    <w:name w:val="修订3"/>
    <w:hidden/>
    <w:semiHidden/>
    <w:qFormat/>
    <w:uiPriority w:val="99"/>
    <w:rPr>
      <w:rFonts w:ascii="Calibri" w:hAnsi="Calibri" w:eastAsia="宋体" w:cs="Times New Roman"/>
      <w:kern w:val="2"/>
      <w:sz w:val="21"/>
      <w:szCs w:val="22"/>
      <w:lang w:val="en-US" w:eastAsia="zh-CN" w:bidi="ar-SA"/>
    </w:rPr>
  </w:style>
  <w:style w:type="paragraph" w:styleId="70">
    <w:name w:val="List Paragraph"/>
    <w:basedOn w:val="1"/>
    <w:link w:val="71"/>
    <w:qFormat/>
    <w:uiPriority w:val="34"/>
    <w:pPr>
      <w:ind w:firstLine="420" w:firstLineChars="200"/>
    </w:pPr>
  </w:style>
  <w:style w:type="character" w:customStyle="1" w:styleId="71">
    <w:name w:val="列出段落 字符"/>
    <w:link w:val="70"/>
    <w:qFormat/>
    <w:uiPriority w:val="34"/>
    <w:rPr>
      <w:rFonts w:ascii="Calibri" w:hAnsi="Calibri"/>
      <w:kern w:val="2"/>
      <w:sz w:val="21"/>
      <w:szCs w:val="22"/>
    </w:rPr>
  </w:style>
  <w:style w:type="paragraph" w:customStyle="1" w:styleId="72">
    <w:name w:val="p_text_indent_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3">
    <w:name w:val="Unresolved Mention"/>
    <w:basedOn w:val="24"/>
    <w:semiHidden/>
    <w:unhideWhenUsed/>
    <w:qFormat/>
    <w:uiPriority w:val="99"/>
    <w:rPr>
      <w:color w:val="605E5C"/>
      <w:shd w:val="clear" w:color="auto" w:fill="E1DFDD"/>
    </w:rPr>
  </w:style>
  <w:style w:type="paragraph" w:customStyle="1" w:styleId="74">
    <w:name w:val="null3"/>
    <w:hidden/>
    <w:qFormat/>
    <w:uiPriority w:val="0"/>
    <w:rPr>
      <w:rFonts w:hint="eastAsia" w:asciiTheme="minorHAnsi" w:hAnsiTheme="minorHAnsi" w:eastAsiaTheme="minorEastAsia" w:cstheme="minorBidi"/>
      <w:lang w:val="en-US" w:eastAsia="zh-Hans" w:bidi="ar-SA"/>
    </w:rPr>
  </w:style>
  <w:style w:type="table" w:customStyle="1" w:styleId="75">
    <w:name w:val="网格型1"/>
    <w:basedOn w:val="22"/>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6">
    <w:name w:val="脚注文本 字符"/>
    <w:basedOn w:val="24"/>
    <w:link w:val="16"/>
    <w:semiHidden/>
    <w:qFormat/>
    <w:uiPriority w:val="99"/>
    <w:rPr>
      <w:rFonts w:ascii="Calibri" w:hAnsi="Calibri"/>
      <w:kern w:val="2"/>
      <w:sz w:val="18"/>
      <w:szCs w:val="18"/>
    </w:rPr>
  </w:style>
  <w:style w:type="paragraph" w:customStyle="1" w:styleId="7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78">
    <w:name w:val="网格型2"/>
    <w:basedOn w:val="22"/>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10C0D-209A-41AC-BEDD-1D694CB98E6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34551</Words>
  <Characters>35903</Characters>
  <Lines>309</Lines>
  <Paragraphs>87</Paragraphs>
  <TotalTime>25</TotalTime>
  <ScaleCrop>false</ScaleCrop>
  <LinksUpToDate>false</LinksUpToDate>
  <CharactersWithSpaces>41659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2024-09-08T13:06:00Z</dcterms:created>
  <dc:creator>administrator-pc</dc:creator>
  <cp:lastModifiedBy>温梦诗</cp:lastModifiedBy>
  <cp:lastPrinted>2019-08-12T07:35:00Z</cp:lastPrinted>
  <dcterms:modified xsi:type="dcterms:W3CDTF">2024-10-09T03:09:02Z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8DDD8A83FBDF40498D81FB49C9C70A96_13</vt:lpwstr>
  </property>
</Properties>
</file>