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jc w:val="left"/>
        <w:textAlignment w:val="auto"/>
        <w:rPr>
          <w:rFonts w:hint="eastAsia" w:ascii="黑体" w:hAnsi="黑体" w:eastAsia="黑体" w:cs="黑体"/>
          <w:bCs/>
          <w:color w:val="00000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Cs/>
          <w:color w:val="000000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bCs/>
          <w:color w:val="000000"/>
          <w:sz w:val="32"/>
          <w:szCs w:val="32"/>
          <w:lang w:val="en-US" w:eastAsia="zh-CN"/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jc w:val="center"/>
        <w:textAlignment w:val="auto"/>
        <w:rPr>
          <w:rFonts w:ascii="方正小标宋简体" w:hAnsi="Century Gothic" w:eastAsia="方正小标宋简体"/>
          <w:bCs/>
          <w:color w:val="000000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Century Gothic" w:eastAsia="方正小标宋简体"/>
          <w:bCs/>
          <w:color w:val="000000"/>
          <w:sz w:val="44"/>
          <w:szCs w:val="44"/>
          <w:lang w:eastAsia="zh-CN"/>
        </w:rPr>
      </w:pPr>
      <w:r>
        <w:rPr>
          <w:rFonts w:ascii="方正小标宋简体" w:hAnsi="Century Gothic" w:eastAsia="方正小标宋简体"/>
          <w:bCs/>
          <w:color w:val="000000"/>
          <w:sz w:val="44"/>
          <w:szCs w:val="44"/>
        </w:rPr>
        <w:t>国家税务总局广东省税务局 广东省人力资源和社会保障厅 广东省医疗保障局关于</w:t>
      </w:r>
      <w:r>
        <w:rPr>
          <w:rFonts w:ascii="方正小标宋简体" w:hAnsi="Century Gothic" w:eastAsia="方正小标宋简体"/>
          <w:bCs/>
          <w:color w:val="000000"/>
          <w:sz w:val="44"/>
          <w:szCs w:val="44"/>
        </w:rPr>
        <w:br w:type="textWrapping"/>
      </w:r>
      <w:bookmarkStart w:id="0" w:name="_GoBack"/>
      <w:bookmarkEnd w:id="0"/>
      <w:r>
        <w:rPr>
          <w:rFonts w:hint="eastAsia" w:ascii="方正小标宋简体" w:hAnsi="Century Gothic" w:eastAsia="方正小标宋简体"/>
          <w:bCs/>
          <w:color w:val="000000"/>
          <w:sz w:val="44"/>
          <w:szCs w:val="44"/>
          <w:lang w:eastAsia="zh-CN"/>
        </w:rPr>
        <w:t>调整</w:t>
      </w:r>
      <w:r>
        <w:rPr>
          <w:rFonts w:ascii="方正小标宋简体" w:hAnsi="Century Gothic" w:eastAsia="方正小标宋简体"/>
          <w:bCs/>
          <w:color w:val="000000"/>
          <w:sz w:val="44"/>
          <w:szCs w:val="44"/>
        </w:rPr>
        <w:t>城乡居民基本养老保险费和城乡居民基本医疗保险费</w:t>
      </w:r>
      <w:r>
        <w:rPr>
          <w:rFonts w:hint="eastAsia" w:ascii="方正小标宋简体" w:hAnsi="Century Gothic" w:eastAsia="方正小标宋简体"/>
          <w:bCs/>
          <w:color w:val="000000"/>
          <w:sz w:val="44"/>
          <w:szCs w:val="44"/>
          <w:lang w:eastAsia="zh-CN"/>
        </w:rPr>
        <w:t>缴费流程</w:t>
      </w:r>
      <w:r>
        <w:rPr>
          <w:rFonts w:ascii="方正小标宋简体" w:hAnsi="Century Gothic" w:eastAsia="方正小标宋简体"/>
          <w:bCs/>
          <w:color w:val="000000"/>
          <w:sz w:val="44"/>
          <w:szCs w:val="44"/>
        </w:rPr>
        <w:t>的</w:t>
      </w:r>
      <w:r>
        <w:rPr>
          <w:rFonts w:hint="eastAsia" w:ascii="方正小标宋简体" w:hAnsi="Century Gothic" w:eastAsia="方正小标宋简体"/>
          <w:bCs/>
          <w:color w:val="000000"/>
          <w:sz w:val="44"/>
          <w:szCs w:val="44"/>
          <w:lang w:eastAsia="zh-CN"/>
        </w:rPr>
        <w:t>公告</w:t>
      </w:r>
    </w:p>
    <w:p>
      <w:pPr>
        <w:keepNext w:val="0"/>
        <w:keepLines w:val="0"/>
        <w:pageBreakBefore w:val="0"/>
        <w:widowControl w:val="0"/>
        <w:tabs>
          <w:tab w:val="left" w:pos="740"/>
          <w:tab w:val="left" w:pos="888"/>
          <w:tab w:val="left" w:pos="1184"/>
          <w:tab w:val="left" w:pos="1776"/>
          <w:tab w:val="left" w:pos="2516"/>
          <w:tab w:val="left" w:pos="2664"/>
          <w:tab w:val="left" w:pos="3552"/>
          <w:tab w:val="left" w:pos="3996"/>
          <w:tab w:val="left" w:pos="4884"/>
          <w:tab w:val="left" w:pos="5772"/>
          <w:tab w:val="left" w:pos="7104"/>
          <w:tab w:val="left" w:pos="7696"/>
          <w:tab w:val="left" w:pos="7992"/>
          <w:tab w:val="left" w:pos="8436"/>
        </w:tabs>
        <w:kinsoku/>
        <w:wordWrap/>
        <w:overflowPunct/>
        <w:topLinePunct w:val="0"/>
        <w:bidi w:val="0"/>
        <w:adjustRightInd/>
        <w:snapToGrid/>
        <w:spacing w:line="560" w:lineRule="exact"/>
        <w:ind w:firstLine="640" w:firstLineChars="200"/>
        <w:jc w:val="center"/>
        <w:textAlignment w:val="auto"/>
        <w:rPr>
          <w:rFonts w:hint="eastAsia" w:ascii="楷体_GB2312" w:hAnsi="楷体_GB2312" w:eastAsia="楷体_GB2312" w:cs="楷体_GB2312"/>
          <w:lang w:eastAsia="zh-CN"/>
        </w:rPr>
      </w:pPr>
      <w:r>
        <w:rPr>
          <w:rFonts w:hint="eastAsia" w:ascii="楷体_GB2312" w:hAnsi="楷体_GB2312" w:eastAsia="楷体_GB2312" w:cs="楷体_GB2312"/>
          <w:lang w:eastAsia="zh-CN"/>
        </w:rPr>
        <w:t>（征求意见稿）</w:t>
      </w:r>
    </w:p>
    <w:p>
      <w:pPr>
        <w:keepNext w:val="0"/>
        <w:keepLines w:val="0"/>
        <w:pageBreakBefore w:val="0"/>
        <w:widowControl w:val="0"/>
        <w:tabs>
          <w:tab w:val="left" w:pos="740"/>
          <w:tab w:val="left" w:pos="888"/>
          <w:tab w:val="left" w:pos="1184"/>
          <w:tab w:val="left" w:pos="1776"/>
          <w:tab w:val="left" w:pos="2516"/>
          <w:tab w:val="left" w:pos="2664"/>
          <w:tab w:val="left" w:pos="3552"/>
          <w:tab w:val="left" w:pos="3996"/>
          <w:tab w:val="left" w:pos="4884"/>
          <w:tab w:val="left" w:pos="5772"/>
          <w:tab w:val="left" w:pos="7104"/>
          <w:tab w:val="left" w:pos="7696"/>
          <w:tab w:val="left" w:pos="7992"/>
          <w:tab w:val="left" w:pos="8436"/>
        </w:tabs>
        <w:kinsoku/>
        <w:wordWrap/>
        <w:overflowPunct/>
        <w:topLinePunct w:val="0"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/>
        </w:rPr>
      </w:pPr>
    </w:p>
    <w:p>
      <w:pPr>
        <w:keepNext w:val="0"/>
        <w:keepLines w:val="0"/>
        <w:pageBreakBefore w:val="0"/>
        <w:widowControl w:val="0"/>
        <w:tabs>
          <w:tab w:val="left" w:pos="740"/>
          <w:tab w:val="left" w:pos="888"/>
          <w:tab w:val="left" w:pos="1184"/>
          <w:tab w:val="left" w:pos="1776"/>
          <w:tab w:val="left" w:pos="2516"/>
          <w:tab w:val="left" w:pos="2664"/>
          <w:tab w:val="left" w:pos="3552"/>
          <w:tab w:val="left" w:pos="3996"/>
          <w:tab w:val="left" w:pos="4884"/>
          <w:tab w:val="left" w:pos="5772"/>
          <w:tab w:val="left" w:pos="7104"/>
          <w:tab w:val="left" w:pos="7696"/>
          <w:tab w:val="left" w:pos="7992"/>
          <w:tab w:val="left" w:pos="8436"/>
        </w:tabs>
        <w:kinsoku/>
        <w:wordWrap/>
        <w:overflowPunct/>
        <w:topLinePunct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/>
        </w:rPr>
      </w:pPr>
      <w:r>
        <w:rPr>
          <w:rFonts w:hint="eastAsia"/>
        </w:rPr>
        <w:t>为</w:t>
      </w:r>
      <w:r>
        <w:rPr>
          <w:rFonts w:hint="eastAsia"/>
          <w:lang w:eastAsia="zh-CN"/>
        </w:rPr>
        <w:t>便利缴费人申报缴纳</w:t>
      </w:r>
      <w:r>
        <w:rPr>
          <w:rFonts w:hint="eastAsia"/>
        </w:rPr>
        <w:t>城乡居民基本养老保险费和城乡居民基本医疗保险费</w:t>
      </w:r>
      <w:r>
        <w:rPr>
          <w:rFonts w:hint="eastAsia"/>
          <w:lang w:eastAsia="zh-CN"/>
        </w:rPr>
        <w:t>，简化缴费流程，现将有关</w:t>
      </w:r>
      <w:r>
        <w:rPr>
          <w:rFonts w:hint="eastAsia"/>
        </w:rPr>
        <w:t>事项</w:t>
      </w:r>
      <w:r>
        <w:rPr>
          <w:rFonts w:hint="eastAsia"/>
          <w:lang w:eastAsia="zh-CN"/>
        </w:rPr>
        <w:t>公告</w:t>
      </w:r>
      <w:r>
        <w:rPr>
          <w:rFonts w:hint="eastAsia"/>
        </w:rPr>
        <w:t>如下：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740"/>
          <w:tab w:val="left" w:pos="888"/>
          <w:tab w:val="left" w:pos="1184"/>
          <w:tab w:val="left" w:pos="1776"/>
          <w:tab w:val="left" w:pos="2516"/>
          <w:tab w:val="left" w:pos="2664"/>
          <w:tab w:val="left" w:pos="3552"/>
          <w:tab w:val="left" w:pos="3996"/>
          <w:tab w:val="left" w:pos="4884"/>
          <w:tab w:val="left" w:pos="5772"/>
          <w:tab w:val="left" w:pos="7104"/>
          <w:tab w:val="left" w:pos="7696"/>
          <w:tab w:val="left" w:pos="7992"/>
          <w:tab w:val="left" w:pos="8436"/>
        </w:tabs>
        <w:kinsoku/>
        <w:wordWrap/>
        <w:overflowPunct/>
        <w:topLinePunct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lang w:eastAsia="zh-CN"/>
        </w:rPr>
      </w:pPr>
      <w:r>
        <w:rPr>
          <w:rFonts w:hint="eastAsia" w:ascii="黑体" w:hAnsi="黑体" w:eastAsia="黑体" w:cs="黑体"/>
          <w:lang w:eastAsia="zh-CN"/>
        </w:rPr>
        <w:t>一、参保缴费流程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740"/>
          <w:tab w:val="left" w:pos="888"/>
          <w:tab w:val="left" w:pos="1184"/>
          <w:tab w:val="left" w:pos="1776"/>
          <w:tab w:val="left" w:pos="2516"/>
          <w:tab w:val="left" w:pos="2664"/>
          <w:tab w:val="left" w:pos="3552"/>
          <w:tab w:val="left" w:pos="3996"/>
          <w:tab w:val="left" w:pos="4884"/>
          <w:tab w:val="left" w:pos="5772"/>
          <w:tab w:val="left" w:pos="7104"/>
          <w:tab w:val="left" w:pos="7696"/>
          <w:tab w:val="left" w:pos="7992"/>
          <w:tab w:val="left" w:pos="8436"/>
        </w:tabs>
        <w:kinsoku/>
        <w:wordWrap/>
        <w:overflowPunct/>
        <w:topLinePunct w:val="0"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hint="eastAsia"/>
          <w:lang w:eastAsia="zh-CN"/>
        </w:rPr>
      </w:pPr>
      <w:r>
        <w:rPr>
          <w:rFonts w:hint="eastAsia" w:ascii="楷体_GB2312" w:hAnsi="楷体_GB2312" w:eastAsia="楷体_GB2312" w:cs="楷体_GB2312"/>
          <w:b/>
          <w:bCs/>
          <w:lang w:eastAsia="zh-CN"/>
        </w:rPr>
        <w:t>（一）参保登记。</w:t>
      </w:r>
      <w:r>
        <w:rPr>
          <w:rFonts w:hint="eastAsia"/>
        </w:rPr>
        <w:t>城乡居民(包括各级地方政府明确的代办机构、人员，下同)继续向</w:t>
      </w:r>
      <w:r>
        <w:rPr>
          <w:rFonts w:hint="eastAsia"/>
          <w:lang w:eastAsia="zh-CN"/>
        </w:rPr>
        <w:t>社会保险</w:t>
      </w:r>
      <w:r>
        <w:rPr>
          <w:rFonts w:hint="eastAsia"/>
        </w:rPr>
        <w:t>经办机构</w:t>
      </w:r>
      <w:r>
        <w:rPr>
          <w:rFonts w:hint="eastAsia"/>
          <w:lang w:eastAsia="zh-CN"/>
        </w:rPr>
        <w:t>（医疗保障经办机构）</w:t>
      </w:r>
      <w:r>
        <w:rPr>
          <w:rFonts w:hint="eastAsia"/>
        </w:rPr>
        <w:t>办理参保登记</w:t>
      </w:r>
      <w:r>
        <w:rPr>
          <w:rFonts w:hint="eastAsia"/>
          <w:lang w:eastAsia="zh-CN"/>
        </w:rPr>
        <w:t>和人员身份变更。城乡居民身份信息发生变化的，要在各地规定的集中办理时间前向社会保险</w:t>
      </w:r>
      <w:r>
        <w:rPr>
          <w:rFonts w:hint="eastAsia"/>
        </w:rPr>
        <w:t>经办机构</w:t>
      </w:r>
      <w:r>
        <w:rPr>
          <w:rFonts w:hint="eastAsia"/>
          <w:lang w:eastAsia="zh-CN"/>
        </w:rPr>
        <w:t>（医疗保障经办机构）办理变更业务。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740"/>
          <w:tab w:val="left" w:pos="888"/>
          <w:tab w:val="left" w:pos="1184"/>
          <w:tab w:val="left" w:pos="1776"/>
          <w:tab w:val="left" w:pos="2516"/>
          <w:tab w:val="left" w:pos="2664"/>
          <w:tab w:val="left" w:pos="3552"/>
          <w:tab w:val="left" w:pos="3996"/>
          <w:tab w:val="left" w:pos="4884"/>
          <w:tab w:val="left" w:pos="5772"/>
          <w:tab w:val="left" w:pos="7104"/>
          <w:tab w:val="left" w:pos="7696"/>
          <w:tab w:val="left" w:pos="7992"/>
          <w:tab w:val="left" w:pos="8436"/>
        </w:tabs>
        <w:kinsoku/>
        <w:wordWrap/>
        <w:overflowPunct/>
        <w:topLinePunct w:val="0"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hint="default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lang w:eastAsia="zh-CN"/>
        </w:rPr>
        <w:t>（二）申报缴费。</w:t>
      </w:r>
      <w:r>
        <w:rPr>
          <w:rFonts w:hint="eastAsia"/>
          <w:lang w:eastAsia="zh-CN"/>
        </w:rPr>
        <w:t>已办理参保登记的城乡居民，通过税务部门提供的渠道办理扣款协议签订和变更、缴费档次变更、费款申报和缴纳。原</w:t>
      </w:r>
      <w:r>
        <w:rPr>
          <w:rFonts w:hint="eastAsia"/>
        </w:rPr>
        <w:t>已在</w:t>
      </w:r>
      <w:r>
        <w:rPr>
          <w:rFonts w:hint="eastAsia"/>
          <w:lang w:eastAsia="zh-CN"/>
        </w:rPr>
        <w:t>社会保险</w:t>
      </w:r>
      <w:r>
        <w:rPr>
          <w:rFonts w:hint="eastAsia"/>
        </w:rPr>
        <w:t>经办机构</w:t>
      </w:r>
      <w:r>
        <w:rPr>
          <w:rFonts w:hint="eastAsia"/>
          <w:lang w:eastAsia="zh-CN"/>
        </w:rPr>
        <w:t>（医疗保障经办机构）</w:t>
      </w:r>
      <w:r>
        <w:rPr>
          <w:rFonts w:hint="eastAsia"/>
        </w:rPr>
        <w:t>签订扣款协议的，不需要再次签订扣款协议</w:t>
      </w:r>
      <w:r>
        <w:rPr>
          <w:rFonts w:hint="eastAsia"/>
          <w:lang w:eastAsia="zh-CN"/>
        </w:rPr>
        <w:t>。在各地规定的信息变更集中办理时间后，城乡居民未申报费款的，由税务机关批量产生应征数据。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740"/>
          <w:tab w:val="left" w:pos="888"/>
          <w:tab w:val="left" w:pos="1184"/>
          <w:tab w:val="left" w:pos="1776"/>
          <w:tab w:val="left" w:pos="2516"/>
          <w:tab w:val="left" w:pos="2664"/>
          <w:tab w:val="left" w:pos="3552"/>
          <w:tab w:val="left" w:pos="3996"/>
          <w:tab w:val="left" w:pos="4884"/>
          <w:tab w:val="left" w:pos="5772"/>
          <w:tab w:val="left" w:pos="7104"/>
          <w:tab w:val="left" w:pos="7696"/>
          <w:tab w:val="left" w:pos="7992"/>
          <w:tab w:val="left" w:pos="8436"/>
        </w:tabs>
        <w:kinsoku/>
        <w:wordWrap/>
        <w:overflowPunct/>
        <w:topLinePunct w:val="0"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hint="eastAsia"/>
          <w:lang w:eastAsia="zh-CN"/>
        </w:rPr>
      </w:pPr>
      <w:r>
        <w:rPr>
          <w:rFonts w:hint="eastAsia" w:ascii="楷体_GB2312" w:hAnsi="楷体_GB2312" w:eastAsia="楷体_GB2312" w:cs="楷体_GB2312"/>
          <w:b/>
          <w:bCs/>
          <w:lang w:eastAsia="zh-CN"/>
        </w:rPr>
        <w:t>（三）缴费查询和凭证打印。</w:t>
      </w:r>
      <w:r>
        <w:rPr>
          <w:rFonts w:hint="eastAsia"/>
          <w:lang w:eastAsia="zh-CN"/>
        </w:rPr>
        <w:t>缴费完成后，城乡居民可凭借有效身份证件，通过“广东税务”微信公众号、电子税务局、办税服务厅等渠道，查询缴费记录和打印缴费凭证。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740"/>
          <w:tab w:val="left" w:pos="888"/>
          <w:tab w:val="left" w:pos="1184"/>
          <w:tab w:val="left" w:pos="1776"/>
          <w:tab w:val="left" w:pos="2516"/>
          <w:tab w:val="left" w:pos="2664"/>
          <w:tab w:val="left" w:pos="3552"/>
          <w:tab w:val="left" w:pos="3996"/>
          <w:tab w:val="left" w:pos="4884"/>
          <w:tab w:val="left" w:pos="5772"/>
          <w:tab w:val="left" w:pos="7104"/>
          <w:tab w:val="left" w:pos="7696"/>
          <w:tab w:val="left" w:pos="7992"/>
          <w:tab w:val="left" w:pos="8436"/>
        </w:tabs>
        <w:kinsoku/>
        <w:wordWrap/>
        <w:overflowPunct/>
        <w:topLinePunct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lang w:eastAsia="zh-CN"/>
        </w:rPr>
      </w:pPr>
      <w:r>
        <w:rPr>
          <w:rFonts w:hint="eastAsia" w:ascii="黑体" w:hAnsi="黑体" w:eastAsia="黑体" w:cs="黑体"/>
          <w:lang w:eastAsia="zh-CN"/>
        </w:rPr>
        <w:t>二、缴费渠道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740"/>
          <w:tab w:val="left" w:pos="888"/>
          <w:tab w:val="left" w:pos="1184"/>
          <w:tab w:val="left" w:pos="1776"/>
          <w:tab w:val="left" w:pos="2516"/>
          <w:tab w:val="left" w:pos="2664"/>
          <w:tab w:val="left" w:pos="3552"/>
          <w:tab w:val="left" w:pos="3996"/>
          <w:tab w:val="left" w:pos="4884"/>
          <w:tab w:val="left" w:pos="5772"/>
          <w:tab w:val="left" w:pos="7104"/>
          <w:tab w:val="left" w:pos="7696"/>
          <w:tab w:val="left" w:pos="7992"/>
          <w:tab w:val="left" w:pos="8436"/>
        </w:tabs>
        <w:kinsoku/>
        <w:wordWrap/>
        <w:overflowPunct/>
        <w:topLinePunct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/>
        </w:rPr>
      </w:pPr>
      <w:r>
        <w:rPr>
          <w:rFonts w:hint="eastAsia"/>
          <w:lang w:eastAsia="zh-CN"/>
        </w:rPr>
        <w:t>调整缴费流程后，原则上维持原有缴费方式和银行、社区、村组、学校等单位代收渠道不变。城乡居民可通过电子签约缴款、银行缴款、银行转账、微信、支付宝、聚合支付、门前缴费等缴费方式完成缴费工作。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740"/>
          <w:tab w:val="left" w:pos="888"/>
          <w:tab w:val="left" w:pos="1184"/>
          <w:tab w:val="left" w:pos="1776"/>
          <w:tab w:val="left" w:pos="2516"/>
          <w:tab w:val="left" w:pos="2664"/>
          <w:tab w:val="left" w:pos="3552"/>
          <w:tab w:val="left" w:pos="3996"/>
          <w:tab w:val="left" w:pos="4884"/>
          <w:tab w:val="left" w:pos="5772"/>
          <w:tab w:val="left" w:pos="7104"/>
          <w:tab w:val="left" w:pos="7696"/>
          <w:tab w:val="left" w:pos="7992"/>
          <w:tab w:val="left" w:pos="8436"/>
        </w:tabs>
        <w:kinsoku/>
        <w:wordWrap/>
        <w:overflowPunct/>
        <w:topLinePunct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lang w:eastAsia="zh-CN"/>
        </w:rPr>
      </w:pPr>
      <w:r>
        <w:rPr>
          <w:rFonts w:hint="eastAsia" w:ascii="黑体" w:hAnsi="黑体" w:eastAsia="黑体" w:cs="黑体"/>
          <w:lang w:eastAsia="zh-CN"/>
        </w:rPr>
        <w:t>三、其他事项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740"/>
          <w:tab w:val="left" w:pos="888"/>
          <w:tab w:val="left" w:pos="1184"/>
          <w:tab w:val="left" w:pos="1776"/>
          <w:tab w:val="left" w:pos="2516"/>
          <w:tab w:val="left" w:pos="2664"/>
          <w:tab w:val="left" w:pos="3552"/>
          <w:tab w:val="left" w:pos="3996"/>
          <w:tab w:val="left" w:pos="4884"/>
          <w:tab w:val="left" w:pos="5772"/>
          <w:tab w:val="left" w:pos="7104"/>
          <w:tab w:val="left" w:pos="7696"/>
          <w:tab w:val="left" w:pos="7992"/>
          <w:tab w:val="left" w:pos="8436"/>
        </w:tabs>
        <w:kinsoku/>
        <w:wordWrap/>
        <w:overflowPunct/>
        <w:topLinePunct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/>
          <w:lang w:eastAsia="zh-CN"/>
        </w:rPr>
      </w:pPr>
      <w:r>
        <w:rPr>
          <w:rFonts w:hint="eastAsia"/>
          <w:lang w:eastAsia="zh-CN"/>
        </w:rPr>
        <w:t>（一）城乡居民办理城乡居民基本养老保险补缴、趸缴、延缴、地方性特殊业务等政策性业务，需先到社会保险经办机构办理费款核定，再通过税务机关提供的渠道缴费。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740"/>
          <w:tab w:val="left" w:pos="888"/>
          <w:tab w:val="left" w:pos="1184"/>
          <w:tab w:val="left" w:pos="1776"/>
          <w:tab w:val="left" w:pos="2516"/>
          <w:tab w:val="left" w:pos="2664"/>
          <w:tab w:val="left" w:pos="3552"/>
          <w:tab w:val="left" w:pos="3996"/>
          <w:tab w:val="left" w:pos="4884"/>
          <w:tab w:val="left" w:pos="5772"/>
          <w:tab w:val="left" w:pos="7104"/>
          <w:tab w:val="left" w:pos="7696"/>
          <w:tab w:val="left" w:pos="7992"/>
          <w:tab w:val="left" w:pos="8436"/>
        </w:tabs>
        <w:kinsoku/>
        <w:wordWrap/>
        <w:overflowPunct/>
        <w:topLinePunct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/>
          <w:lang w:eastAsia="zh-CN"/>
        </w:rPr>
      </w:pPr>
      <w:r>
        <w:rPr>
          <w:rFonts w:hint="eastAsia"/>
          <w:lang w:eastAsia="zh-CN"/>
        </w:rPr>
        <w:t>（二）城乡居民对申报缴费、缴费查询和凭证打印等事项有疑问，可以拨打</w:t>
      </w:r>
      <w:r>
        <w:rPr>
          <w:rFonts w:hint="eastAsia"/>
          <w:lang w:val="en-US" w:eastAsia="zh-CN"/>
        </w:rPr>
        <w:t>12366纳税缴费服务热线或咨询当地税务部门；对参保登记、权益记录和待遇享受等事项有疑问，可以拨打12333、12345热线或咨询当地</w:t>
      </w:r>
      <w:r>
        <w:rPr>
          <w:rFonts w:hint="eastAsia"/>
          <w:lang w:eastAsia="zh-CN"/>
        </w:rPr>
        <w:t>社会保险经办机构（医疗保障经办机构）。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740"/>
          <w:tab w:val="left" w:pos="888"/>
          <w:tab w:val="left" w:pos="1184"/>
          <w:tab w:val="left" w:pos="1776"/>
          <w:tab w:val="left" w:pos="2516"/>
          <w:tab w:val="left" w:pos="2664"/>
          <w:tab w:val="left" w:pos="3552"/>
          <w:tab w:val="left" w:pos="3996"/>
          <w:tab w:val="left" w:pos="4884"/>
          <w:tab w:val="left" w:pos="5772"/>
          <w:tab w:val="left" w:pos="7104"/>
          <w:tab w:val="left" w:pos="7696"/>
          <w:tab w:val="left" w:pos="7992"/>
          <w:tab w:val="left" w:pos="8436"/>
        </w:tabs>
        <w:kinsoku/>
        <w:wordWrap/>
        <w:overflowPunct/>
        <w:topLinePunct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/>
        </w:rPr>
      </w:pPr>
      <w:r>
        <w:rPr>
          <w:rFonts w:hint="eastAsia"/>
        </w:rPr>
        <w:t>本公告</w:t>
      </w:r>
      <w:r>
        <w:rPr>
          <w:rFonts w:hint="eastAsia"/>
          <w:lang w:eastAsia="zh-CN"/>
        </w:rPr>
        <w:t>自</w:t>
      </w:r>
      <w:r>
        <w:rPr>
          <w:rFonts w:hint="eastAsia"/>
        </w:rPr>
        <w:t>20</w:t>
      </w:r>
      <w:r>
        <w:rPr>
          <w:rFonts w:hint="eastAsia"/>
          <w:lang w:val="en-US" w:eastAsia="zh-CN"/>
        </w:rPr>
        <w:t>23</w:t>
      </w:r>
      <w:r>
        <w:rPr>
          <w:rFonts w:hint="eastAsia"/>
        </w:rPr>
        <w:t>年1月1日起</w:t>
      </w:r>
      <w:r>
        <w:rPr>
          <w:rFonts w:hint="eastAsia"/>
          <w:lang w:eastAsia="zh-CN"/>
        </w:rPr>
        <w:t>实施。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/>
        </w:rPr>
      </w:pPr>
      <w:r>
        <w:rPr>
          <w:rFonts w:hint="eastAsia"/>
        </w:rPr>
        <w:t>特此公告。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560" w:lineRule="exact"/>
        <w:jc w:val="both"/>
        <w:textAlignment w:val="auto"/>
        <w:rPr>
          <w:rFonts w:hint="eastAsia"/>
        </w:rPr>
      </w:pPr>
    </w:p>
    <w:p>
      <w:pPr>
        <w:keepNext w:val="0"/>
        <w:keepLines w:val="0"/>
        <w:pageBreakBefore w:val="0"/>
        <w:widowControl w:val="0"/>
        <w:tabs>
          <w:tab w:val="left" w:pos="740"/>
          <w:tab w:val="left" w:pos="888"/>
          <w:tab w:val="left" w:pos="1184"/>
          <w:tab w:val="left" w:pos="1776"/>
          <w:tab w:val="left" w:pos="2516"/>
          <w:tab w:val="left" w:pos="2664"/>
          <w:tab w:val="left" w:pos="3552"/>
          <w:tab w:val="left" w:pos="3996"/>
          <w:tab w:val="left" w:pos="4884"/>
          <w:tab w:val="left" w:pos="5772"/>
          <w:tab w:val="left" w:pos="7104"/>
          <w:tab w:val="left" w:pos="7380"/>
          <w:tab w:val="left" w:pos="7992"/>
          <w:tab w:val="left" w:pos="8436"/>
        </w:tabs>
        <w:kinsoku/>
        <w:wordWrap/>
        <w:overflowPunct/>
        <w:topLinePunct w:val="0"/>
        <w:bidi w:val="0"/>
        <w:adjustRightInd/>
        <w:snapToGrid/>
        <w:spacing w:line="560" w:lineRule="exact"/>
        <w:ind w:right="490"/>
        <w:jc w:val="right"/>
        <w:textAlignment w:val="auto"/>
        <w:rPr>
          <w:rFonts w:hint="eastAsia" w:hAnsi="华文仿宋"/>
          <w:color w:val="000000"/>
          <w:lang w:val="en-US" w:eastAsia="zh-CN"/>
        </w:rPr>
      </w:pPr>
      <w:r>
        <w:rPr>
          <w:rFonts w:hint="eastAsia" w:hAnsi="华文仿宋"/>
          <w:color w:val="000000"/>
          <w:lang w:val="en-US" w:eastAsia="zh-CN"/>
        </w:rPr>
        <w:t xml:space="preserve">                     </w:t>
      </w:r>
      <w:r>
        <w:rPr>
          <w:rFonts w:hint="eastAsia" w:hAnsi="华文仿宋"/>
          <w:color w:val="000000"/>
        </w:rPr>
        <w:t>国家税务总局广东省税务局</w:t>
      </w:r>
      <w:r>
        <w:rPr>
          <w:rFonts w:hint="eastAsia" w:hAnsi="华文仿宋"/>
          <w:color w:val="000000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tabs>
          <w:tab w:val="left" w:pos="740"/>
          <w:tab w:val="left" w:pos="888"/>
          <w:tab w:val="left" w:pos="1184"/>
          <w:tab w:val="left" w:pos="1776"/>
          <w:tab w:val="left" w:pos="2516"/>
          <w:tab w:val="left" w:pos="2664"/>
          <w:tab w:val="left" w:pos="3552"/>
          <w:tab w:val="left" w:pos="3996"/>
          <w:tab w:val="left" w:pos="4884"/>
          <w:tab w:val="left" w:pos="5772"/>
          <w:tab w:val="left" w:pos="7104"/>
          <w:tab w:val="left" w:pos="7380"/>
          <w:tab w:val="left" w:pos="7992"/>
          <w:tab w:val="left" w:pos="8436"/>
        </w:tabs>
        <w:kinsoku/>
        <w:wordWrap/>
        <w:overflowPunct/>
        <w:topLinePunct w:val="0"/>
        <w:bidi w:val="0"/>
        <w:adjustRightInd/>
        <w:snapToGrid/>
        <w:spacing w:line="560" w:lineRule="exact"/>
        <w:ind w:right="490"/>
        <w:jc w:val="right"/>
        <w:textAlignment w:val="auto"/>
        <w:rPr>
          <w:rFonts w:hint="eastAsia" w:hAnsi="Century Gothic"/>
          <w:bCs/>
          <w:color w:val="000000"/>
          <w:w w:val="95"/>
          <w:szCs w:val="32"/>
        </w:rPr>
      </w:pPr>
      <w:r>
        <w:rPr>
          <w:rFonts w:hint="eastAsia" w:hAnsi="Century Gothic"/>
          <w:bCs/>
          <w:color w:val="000000"/>
          <w:w w:val="95"/>
          <w:szCs w:val="32"/>
        </w:rPr>
        <w:t>广东省人力资源和社会保障厅</w:t>
      </w:r>
    </w:p>
    <w:p>
      <w:pPr>
        <w:keepNext w:val="0"/>
        <w:keepLines w:val="0"/>
        <w:pageBreakBefore w:val="0"/>
        <w:widowControl w:val="0"/>
        <w:tabs>
          <w:tab w:val="left" w:pos="740"/>
          <w:tab w:val="left" w:pos="888"/>
          <w:tab w:val="left" w:pos="1184"/>
          <w:tab w:val="left" w:pos="1776"/>
          <w:tab w:val="left" w:pos="2516"/>
          <w:tab w:val="left" w:pos="2664"/>
          <w:tab w:val="left" w:pos="3552"/>
          <w:tab w:val="left" w:pos="3996"/>
          <w:tab w:val="left" w:pos="4884"/>
          <w:tab w:val="left" w:pos="5772"/>
          <w:tab w:val="left" w:pos="7104"/>
          <w:tab w:val="left" w:pos="7742"/>
          <w:tab w:val="left" w:pos="7992"/>
          <w:tab w:val="left" w:pos="8436"/>
        </w:tabs>
        <w:kinsoku/>
        <w:wordWrap/>
        <w:overflowPunct/>
        <w:topLinePunct w:val="0"/>
        <w:bidi w:val="0"/>
        <w:adjustRightInd/>
        <w:snapToGrid/>
        <w:spacing w:line="560" w:lineRule="exact"/>
        <w:ind w:right="1434" w:rightChars="448" w:firstLine="641"/>
        <w:jc w:val="right"/>
        <w:textAlignment w:val="auto"/>
        <w:rPr>
          <w:rFonts w:hint="eastAsia" w:hAnsi="Century Gothic"/>
          <w:bCs/>
          <w:color w:val="000000"/>
          <w:w w:val="95"/>
          <w:szCs w:val="32"/>
        </w:rPr>
      </w:pPr>
      <w:r>
        <w:rPr>
          <w:rFonts w:hint="eastAsia" w:hAnsi="Century Gothic"/>
          <w:bCs/>
          <w:color w:val="000000"/>
          <w:w w:val="95"/>
          <w:szCs w:val="32"/>
        </w:rPr>
        <w:t>广东省医疗保障局</w:t>
      </w:r>
    </w:p>
    <w:p>
      <w:pPr>
        <w:keepNext w:val="0"/>
        <w:keepLines w:val="0"/>
        <w:pageBreakBefore w:val="0"/>
        <w:widowControl w:val="0"/>
        <w:tabs>
          <w:tab w:val="left" w:pos="740"/>
          <w:tab w:val="left" w:pos="888"/>
          <w:tab w:val="left" w:pos="1184"/>
          <w:tab w:val="left" w:pos="1776"/>
          <w:tab w:val="left" w:pos="2516"/>
          <w:tab w:val="left" w:pos="2664"/>
          <w:tab w:val="left" w:pos="3552"/>
          <w:tab w:val="left" w:pos="3996"/>
          <w:tab w:val="left" w:pos="4884"/>
          <w:tab w:val="left" w:pos="5772"/>
          <w:tab w:val="left" w:pos="7104"/>
          <w:tab w:val="left" w:pos="7742"/>
          <w:tab w:val="left" w:pos="7992"/>
          <w:tab w:val="left" w:pos="8436"/>
        </w:tabs>
        <w:kinsoku/>
        <w:wordWrap/>
        <w:overflowPunct/>
        <w:topLinePunct w:val="0"/>
        <w:bidi w:val="0"/>
        <w:adjustRightInd/>
        <w:snapToGrid/>
        <w:spacing w:line="560" w:lineRule="exact"/>
        <w:ind w:right="1434" w:rightChars="448" w:firstLine="641"/>
        <w:jc w:val="right"/>
        <w:textAlignment w:val="auto"/>
        <w:rPr>
          <w:rFonts w:hint="eastAsia"/>
          <w:color w:val="000000"/>
        </w:rPr>
      </w:pPr>
      <w:r>
        <w:rPr>
          <w:rFonts w:hint="eastAsia"/>
          <w:color w:val="000000"/>
          <w:lang w:val="en-US" w:eastAsia="zh-CN"/>
        </w:rPr>
        <w:t>2022</w:t>
      </w:r>
      <w:r>
        <w:rPr>
          <w:rFonts w:hint="eastAsia"/>
          <w:color w:val="000000"/>
        </w:rPr>
        <w:t>年</w:t>
      </w:r>
      <w:r>
        <w:rPr>
          <w:rFonts w:hint="eastAsia"/>
          <w:color w:val="000000"/>
          <w:lang w:val="en-US" w:eastAsia="zh-CN"/>
        </w:rPr>
        <w:t>x</w:t>
      </w:r>
      <w:r>
        <w:rPr>
          <w:rFonts w:hint="eastAsia"/>
          <w:color w:val="000000"/>
        </w:rPr>
        <w:t>月</w:t>
      </w:r>
      <w:r>
        <w:rPr>
          <w:rFonts w:hint="eastAsia"/>
          <w:color w:val="000000"/>
          <w:lang w:val="en-US" w:eastAsia="zh-CN"/>
        </w:rPr>
        <w:t>x</w:t>
      </w:r>
      <w:r>
        <w:rPr>
          <w:rFonts w:hint="eastAsia"/>
          <w:color w:val="000000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560" w:lineRule="exact"/>
        <w:textAlignment w:val="auto"/>
        <w:rPr>
          <w:b/>
          <w:bCs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Century Gothic">
    <w:panose1 w:val="020B0502020202020204"/>
    <w:charset w:val="00"/>
    <w:family w:val="swiss"/>
    <w:pitch w:val="default"/>
    <w:sig w:usb0="00000287" w:usb1="00000000" w:usb2="00000000" w:usb3="00000000" w:csb0="2000009F" w:csb1="DFD7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0A52A95"/>
    <w:rsid w:val="01A03B4C"/>
    <w:rsid w:val="03592C07"/>
    <w:rsid w:val="057440B8"/>
    <w:rsid w:val="07EA1019"/>
    <w:rsid w:val="0D401022"/>
    <w:rsid w:val="293534C0"/>
    <w:rsid w:val="3E306CF4"/>
    <w:rsid w:val="40395D9C"/>
    <w:rsid w:val="60A52A95"/>
    <w:rsid w:val="60C45C32"/>
    <w:rsid w:val="73676FB7"/>
    <w:rsid w:val="7C516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32</TotalTime>
  <ScaleCrop>false</ScaleCrop>
  <LinksUpToDate>false</LinksUpToDate>
  <CharactersWithSpaces>0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2022-10-31T08:17:00Z</dcterms:created>
  <dc:creator>陈云琴</dc:creator>
  <cp:lastModifiedBy>黎妙娟</cp:lastModifiedBy>
  <cp:lastPrinted>2022-11-02T01:51:25Z</cp:lastPrinted>
  <dcterms:modified xsi:type="dcterms:W3CDTF">2022-11-02T08:11:02Z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