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rPr>
          <w:rFonts w:ascii="宋体" w:hAnsi="宋体" w:eastAsia="宋体"/>
          <w:color w:val="000000"/>
        </w:rPr>
      </w:pPr>
      <w:bookmarkStart w:id="0" w:name="_GoBack"/>
      <w:bookmarkEnd w:id="0"/>
      <w:r>
        <w:rPr>
          <w:rFonts w:hint="eastAsia" w:ascii="宋体" w:hAnsi="宋体" w:eastAsia="宋体"/>
          <w:color w:val="000000"/>
        </w:rPr>
        <w:t>A0</w:t>
      </w:r>
      <w:r>
        <w:rPr>
          <w:rFonts w:ascii="宋体" w:hAnsi="宋体" w:eastAsia="宋体"/>
          <w:color w:val="000000"/>
        </w:rPr>
        <w:t>3076</w:t>
      </w:r>
      <w:r>
        <w:rPr>
          <w:rFonts w:hint="eastAsia" w:ascii="宋体" w:hAnsi="宋体" w:eastAsia="宋体"/>
          <w:color w:val="000000"/>
        </w:rPr>
        <w:t>《适用加计抵减政策的声明》</w:t>
      </w:r>
    </w:p>
    <w:p>
      <w:pPr>
        <w:spacing w:afterLines="50"/>
        <w:jc w:val="center"/>
        <w:rPr>
          <w:rFonts w:ascii="方正小标宋简体" w:eastAsia="方正小标宋简体"/>
          <w:sz w:val="36"/>
          <w:szCs w:val="36"/>
        </w:rPr>
      </w:pPr>
      <w:r>
        <w:rPr>
          <w:rFonts w:hint="eastAsia" w:ascii="方正小标宋简体" w:eastAsia="方正小标宋简体"/>
          <w:sz w:val="36"/>
          <w:szCs w:val="36"/>
        </w:rPr>
        <w:t>适用加计抵减政策的声明</w:t>
      </w:r>
    </w:p>
    <w:p>
      <w:pPr>
        <w:spacing w:line="460" w:lineRule="exact"/>
        <w:ind w:firstLine="600" w:firstLineChars="200"/>
        <w:rPr>
          <w:rFonts w:ascii="仿宋_GB2312" w:hAnsi="仿宋" w:eastAsia="仿宋_GB2312"/>
          <w:sz w:val="30"/>
          <w:szCs w:val="30"/>
          <w:u w:val="single"/>
        </w:rPr>
      </w:pPr>
      <w:r>
        <w:rPr>
          <w:rFonts w:hint="eastAsia" w:ascii="仿宋_GB2312" w:hAnsi="仿宋" w:eastAsia="仿宋_GB2312"/>
          <w:sz w:val="30"/>
          <w:szCs w:val="30"/>
        </w:rPr>
        <w:t>纳税人名称：</w:t>
      </w:r>
      <w:r>
        <w:rPr>
          <w:rFonts w:hint="eastAsia" w:ascii="仿宋_GB2312" w:hAnsi="仿宋" w:eastAsia="仿宋_GB2312"/>
          <w:sz w:val="30"/>
          <w:szCs w:val="30"/>
          <w:u w:val="single"/>
        </w:rPr>
        <w:t xml:space="preserve">                </w:t>
      </w:r>
    </w:p>
    <w:p>
      <w:pPr>
        <w:spacing w:line="460" w:lineRule="exact"/>
        <w:ind w:firstLine="588"/>
        <w:rPr>
          <w:rFonts w:ascii="仿宋_GB2312" w:hAnsi="仿宋" w:eastAsia="仿宋_GB2312"/>
          <w:sz w:val="30"/>
          <w:szCs w:val="30"/>
        </w:rPr>
      </w:pPr>
      <w:r>
        <w:rPr>
          <w:rFonts w:hint="eastAsia" w:ascii="仿宋_GB2312" w:hAnsi="仿宋" w:eastAsia="仿宋_GB2312"/>
          <w:sz w:val="30"/>
          <w:szCs w:val="30"/>
        </w:rPr>
        <w:t>纳税人识别号（统一社会信用代码）：</w:t>
      </w:r>
      <w:r>
        <w:rPr>
          <w:rFonts w:hint="eastAsia" w:ascii="仿宋_GB2312" w:hAnsi="仿宋" w:eastAsia="仿宋_GB2312"/>
          <w:sz w:val="30"/>
          <w:szCs w:val="30"/>
          <w:u w:val="single"/>
        </w:rPr>
        <w:t xml:space="preserve">                 </w:t>
      </w:r>
      <w:r>
        <w:rPr>
          <w:rFonts w:hint="eastAsia" w:ascii="仿宋_GB2312" w:hAnsi="仿宋" w:eastAsia="仿宋_GB2312"/>
          <w:sz w:val="30"/>
          <w:szCs w:val="30"/>
        </w:rPr>
        <w:t xml:space="preserve"> </w:t>
      </w:r>
    </w:p>
    <w:p>
      <w:pPr>
        <w:spacing w:beforeLines="50" w:afterLines="50"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本纳税人</w:t>
      </w:r>
      <w:r>
        <w:rPr>
          <w:rFonts w:hint="eastAsia" w:ascii="仿宋_GB2312" w:eastAsia="仿宋_GB2312"/>
          <w:sz w:val="30"/>
          <w:szCs w:val="30"/>
        </w:rPr>
        <w:t>符合《财政部 税务总局 海关总署关于深化增值税改革有关政策的公告》（财政部 税务总局 海关总署公告2019年第39号）规定，确定适用加计抵减政策</w:t>
      </w:r>
      <w:r>
        <w:rPr>
          <w:rFonts w:hint="eastAsia" w:ascii="仿宋_GB2312" w:hAnsi="仿宋" w:eastAsia="仿宋_GB2312"/>
          <w:sz w:val="30"/>
          <w:szCs w:val="30"/>
        </w:rPr>
        <w:t>。行业属于（请从下表勾选，只能选择其一）：</w:t>
      </w:r>
    </w:p>
    <w:tbl>
      <w:tblPr>
        <w:tblW w:w="8007" w:type="dxa"/>
        <w:tblInd w:w="3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36"/>
        <w:gridCol w:w="2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Cs w:val="21"/>
              </w:rPr>
            </w:pPr>
            <w:r>
              <w:rPr>
                <w:rFonts w:hint="eastAsia" w:ascii="仿宋_GB2312" w:hAnsi="宋体" w:eastAsia="仿宋_GB2312" w:cs="宋体"/>
                <w:b/>
                <w:color w:val="000000"/>
                <w:szCs w:val="21"/>
              </w:rPr>
              <w:t>行业</w:t>
            </w:r>
          </w:p>
        </w:tc>
        <w:tc>
          <w:tcPr>
            <w:tcW w:w="277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Cs w:val="21"/>
              </w:rPr>
            </w:pPr>
            <w:r>
              <w:rPr>
                <w:rFonts w:hint="eastAsia" w:ascii="仿宋_GB2312" w:hAnsi="宋体" w:eastAsia="仿宋_GB2312" w:cs="宋体"/>
                <w:b/>
                <w:color w:val="000000"/>
                <w:szCs w:val="21"/>
              </w:rPr>
              <w:t>选项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7"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邮政服务业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电信服务业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其中：1.基础电信业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2.增值电信业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现代服务业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其中:1.研发和技术服务业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2.信息技术服务业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3.文化创意服务业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4.物流辅助服务</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5.有形动产租赁服务业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6.鉴证咨询服务业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7.广播影视服务</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生活服务业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其中：1.文化艺术业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2.体育业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3.教育</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4.卫生</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5.旅游业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6.娱乐业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7.餐饮业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8.住宿业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9.居民服务业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10.社会工作</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11.公共设施管理业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12.不动产出租</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13.商务服务业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14.专业技术服务业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15.代理业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236"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Cs w:val="21"/>
              </w:rPr>
            </w:pPr>
            <w:r>
              <w:rPr>
                <w:rFonts w:hint="eastAsia" w:ascii="仿宋_GB2312" w:hAnsi="宋体" w:eastAsia="仿宋_GB2312" w:cs="宋体"/>
                <w:color w:val="000000"/>
                <w:szCs w:val="21"/>
              </w:rPr>
              <w:t xml:space="preserve">     16.其他生活服务业</w:t>
            </w:r>
          </w:p>
        </w:tc>
        <w:tc>
          <w:tcPr>
            <w:tcW w:w="277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Cs w:val="21"/>
              </w:rPr>
            </w:pPr>
          </w:p>
        </w:tc>
      </w:tr>
    </w:tbl>
    <w:p>
      <w:pPr>
        <w:spacing w:beforeLines="50"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本纳税人用于判断是否符合加计抵减政策条件的销售额占比计算期为</w:t>
      </w:r>
      <w:r>
        <w:rPr>
          <w:rFonts w:hint="eastAsia" w:ascii="仿宋_GB2312" w:hAnsi="仿宋" w:eastAsia="仿宋_GB2312"/>
          <w:sz w:val="30"/>
          <w:szCs w:val="30"/>
          <w:u w:val="single"/>
        </w:rPr>
        <w:t xml:space="preserve">      </w:t>
      </w:r>
      <w:r>
        <w:rPr>
          <w:rFonts w:hint="eastAsia" w:ascii="仿宋_GB2312" w:hAnsi="仿宋" w:eastAsia="仿宋_GB2312"/>
          <w:sz w:val="30"/>
          <w:szCs w:val="30"/>
        </w:rPr>
        <w:t>年</w:t>
      </w:r>
      <w:r>
        <w:rPr>
          <w:rFonts w:hint="eastAsia" w:ascii="仿宋_GB2312" w:hAnsi="仿宋" w:eastAsia="仿宋_GB2312"/>
          <w:sz w:val="30"/>
          <w:szCs w:val="30"/>
          <w:u w:val="single"/>
        </w:rPr>
        <w:t xml:space="preserve">     </w:t>
      </w:r>
      <w:r>
        <w:rPr>
          <w:rFonts w:hint="eastAsia" w:ascii="仿宋_GB2312" w:hAnsi="仿宋" w:eastAsia="仿宋_GB2312"/>
          <w:sz w:val="30"/>
          <w:szCs w:val="30"/>
        </w:rPr>
        <w:t>月至</w:t>
      </w:r>
      <w:r>
        <w:rPr>
          <w:rFonts w:hint="eastAsia" w:ascii="仿宋_GB2312" w:hAnsi="仿宋" w:eastAsia="仿宋_GB2312"/>
          <w:sz w:val="30"/>
          <w:szCs w:val="30"/>
          <w:u w:val="single"/>
        </w:rPr>
        <w:t xml:space="preserve">     </w:t>
      </w:r>
      <w:r>
        <w:rPr>
          <w:rFonts w:hint="eastAsia" w:ascii="仿宋_GB2312" w:hAnsi="仿宋" w:eastAsia="仿宋_GB2312"/>
          <w:sz w:val="30"/>
          <w:szCs w:val="30"/>
        </w:rPr>
        <w:t>年</w:t>
      </w:r>
      <w:r>
        <w:rPr>
          <w:rFonts w:hint="eastAsia" w:ascii="仿宋_GB2312" w:hAnsi="仿宋" w:eastAsia="仿宋_GB2312"/>
          <w:sz w:val="30"/>
          <w:szCs w:val="30"/>
          <w:u w:val="single"/>
        </w:rPr>
        <w:t xml:space="preserve">      </w:t>
      </w:r>
      <w:r>
        <w:rPr>
          <w:rFonts w:hint="eastAsia" w:ascii="仿宋_GB2312" w:hAnsi="仿宋" w:eastAsia="仿宋_GB2312"/>
          <w:sz w:val="30"/>
          <w:szCs w:val="30"/>
        </w:rPr>
        <w:t>月，此期间提供</w:t>
      </w:r>
      <w:r>
        <w:rPr>
          <w:rFonts w:hint="eastAsia" w:ascii="仿宋_GB2312" w:eastAsia="仿宋_GB2312"/>
          <w:sz w:val="30"/>
          <w:szCs w:val="30"/>
        </w:rPr>
        <w:t>邮政服务、电信服务、现代服务、生活服务销售额合计</w:t>
      </w:r>
      <w:r>
        <w:rPr>
          <w:rFonts w:hint="eastAsia" w:ascii="仿宋_GB2312" w:hAnsi="仿宋" w:eastAsia="仿宋_GB2312"/>
          <w:sz w:val="30"/>
          <w:szCs w:val="30"/>
          <w:u w:val="single"/>
        </w:rPr>
        <w:t xml:space="preserve">      </w:t>
      </w:r>
      <w:r>
        <w:rPr>
          <w:rFonts w:hint="eastAsia" w:ascii="仿宋_GB2312" w:hAnsi="仿宋" w:eastAsia="仿宋_GB2312"/>
          <w:sz w:val="30"/>
          <w:szCs w:val="30"/>
        </w:rPr>
        <w:t>元，全部销售额</w:t>
      </w:r>
      <w:r>
        <w:rPr>
          <w:rFonts w:hint="eastAsia" w:ascii="仿宋_GB2312" w:hAnsi="仿宋" w:eastAsia="仿宋_GB2312"/>
          <w:sz w:val="30"/>
          <w:szCs w:val="30"/>
          <w:u w:val="single"/>
        </w:rPr>
        <w:t xml:space="preserve">        </w:t>
      </w:r>
      <w:r>
        <w:rPr>
          <w:rFonts w:hint="eastAsia" w:ascii="仿宋_GB2312" w:hAnsi="仿宋" w:eastAsia="仿宋_GB2312"/>
          <w:sz w:val="30"/>
          <w:szCs w:val="30"/>
        </w:rPr>
        <w:t>元，占比为</w:t>
      </w:r>
      <w:r>
        <w:rPr>
          <w:rFonts w:hint="eastAsia" w:ascii="仿宋_GB2312" w:hAnsi="仿宋" w:eastAsia="仿宋_GB2312"/>
          <w:sz w:val="30"/>
          <w:szCs w:val="30"/>
          <w:u w:val="single"/>
        </w:rPr>
        <w:t xml:space="preserve">      </w:t>
      </w:r>
      <w:r>
        <w:rPr>
          <w:rFonts w:hint="eastAsia" w:ascii="仿宋_GB2312" w:hAnsi="仿宋" w:eastAsia="仿宋_GB2312"/>
          <w:sz w:val="30"/>
          <w:szCs w:val="30"/>
        </w:rPr>
        <w:t>%。</w:t>
      </w:r>
    </w:p>
    <w:p>
      <w:pPr>
        <w:spacing w:beforeLines="50"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以上声明根据实际经营情况作出，我确定它是真实的、准确的、完整的。</w:t>
      </w:r>
    </w:p>
    <w:p>
      <w:pPr>
        <w:spacing w:line="500" w:lineRule="exact"/>
        <w:ind w:firstLine="600" w:firstLineChars="200"/>
        <w:rPr>
          <w:rFonts w:ascii="仿宋_GB2312" w:hAnsi="仿宋" w:eastAsia="仿宋_GB2312"/>
          <w:sz w:val="30"/>
          <w:szCs w:val="30"/>
        </w:rPr>
      </w:pPr>
    </w:p>
    <w:p>
      <w:pPr>
        <w:spacing w:line="500" w:lineRule="exact"/>
        <w:ind w:firstLine="600" w:firstLineChars="200"/>
        <w:rPr>
          <w:rFonts w:ascii="仿宋_GB2312" w:hAnsi="仿宋" w:eastAsia="仿宋_GB2312"/>
          <w:sz w:val="30"/>
          <w:szCs w:val="30"/>
        </w:rPr>
      </w:pPr>
    </w:p>
    <w:p>
      <w:pPr>
        <w:spacing w:line="500" w:lineRule="exact"/>
        <w:ind w:firstLine="600" w:firstLineChars="200"/>
        <w:rPr>
          <w:rFonts w:ascii="仿宋_GB2312" w:hAnsi="仿宋" w:eastAsia="仿宋_GB2312"/>
          <w:sz w:val="30"/>
          <w:szCs w:val="30"/>
        </w:rPr>
      </w:pPr>
    </w:p>
    <w:p>
      <w:pPr>
        <w:spacing w:line="500" w:lineRule="exact"/>
        <w:ind w:firstLine="5100" w:firstLineChars="1700"/>
        <w:rPr>
          <w:rFonts w:ascii="仿宋_GB2312" w:hAnsi="仿宋" w:eastAsia="仿宋_GB2312"/>
          <w:sz w:val="30"/>
          <w:szCs w:val="30"/>
        </w:rPr>
      </w:pPr>
      <w:r>
        <w:rPr>
          <w:rFonts w:hint="eastAsia" w:ascii="仿宋_GB2312" w:hAnsi="仿宋" w:eastAsia="仿宋_GB2312"/>
          <w:sz w:val="30"/>
          <w:szCs w:val="30"/>
        </w:rPr>
        <w:t>年    月    日</w:t>
      </w:r>
    </w:p>
    <w:p>
      <w:pPr>
        <w:spacing w:line="500" w:lineRule="exact"/>
        <w:ind w:firstLine="5100" w:firstLineChars="1700"/>
        <w:rPr>
          <w:rFonts w:ascii="仿宋_GB2312" w:hAnsi="仿宋" w:eastAsia="仿宋_GB2312"/>
          <w:sz w:val="30"/>
          <w:szCs w:val="30"/>
        </w:rPr>
      </w:pPr>
      <w:r>
        <w:rPr>
          <w:rFonts w:hint="eastAsia" w:ascii="仿宋_GB2312" w:hAnsi="仿宋" w:eastAsia="仿宋_GB2312"/>
          <w:sz w:val="30"/>
          <w:szCs w:val="30"/>
        </w:rPr>
        <w:t>(纳税人签章)</w:t>
      </w:r>
    </w:p>
    <w:p>
      <w:pPr>
        <w:pStyle w:val="4"/>
        <w:ind w:firstLine="422"/>
        <w:rPr>
          <w:rFonts w:ascii="宋体" w:hAnsi="宋体" w:eastAsia="宋体"/>
          <w:b w:val="0"/>
          <w:color w:val="000000"/>
        </w:rPr>
      </w:pPr>
      <w:r>
        <w:rPr>
          <w:rFonts w:hint="eastAsia"/>
          <w:color w:val="000000"/>
        </w:rPr>
        <w:t>【</w:t>
      </w:r>
      <w:r>
        <w:rPr>
          <w:rFonts w:hint="eastAsia" w:ascii="宋体" w:hAnsi="宋体" w:eastAsia="宋体"/>
          <w:color w:val="000000"/>
        </w:rPr>
        <w:t>表单说明】</w:t>
      </w:r>
    </w:p>
    <w:p>
      <w:pPr>
        <w:pStyle w:val="7"/>
        <w:adjustRightInd w:val="0"/>
        <w:snapToGrid w:val="0"/>
        <w:spacing w:line="360" w:lineRule="auto"/>
        <w:ind w:right="-697" w:firstLine="552"/>
        <w:rPr>
          <w:rFonts w:ascii="宋体" w:hAnsi="宋体" w:eastAsia="宋体" w:cs="Arial"/>
          <w:color w:val="000000"/>
        </w:rPr>
        <w:sectPr>
          <w:pgSz w:w="11906" w:h="16838"/>
          <w:pgMar w:top="1440" w:right="1440" w:bottom="1440" w:left="1440" w:header="851" w:footer="992" w:gutter="0"/>
          <w:cols w:space="720" w:num="1"/>
          <w:docGrid w:type="lines" w:linePitch="312" w:charSpace="0"/>
        </w:sectPr>
      </w:pPr>
      <w:r>
        <w:rPr>
          <w:rFonts w:hint="eastAsia" w:ascii="宋体" w:hAnsi="宋体" w:eastAsia="宋体" w:cs="Arial"/>
          <w:color w:val="000000"/>
        </w:rPr>
        <w:t>无</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paragraph" w:customStyle="1" w:styleId="3">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4">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5">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6">
    <w:name w:val="需求正文_0"/>
    <w:basedOn w:val="1"/>
    <w:qFormat/>
    <w:uiPriority w:val="0"/>
    <w:pPr>
      <w:widowControl/>
      <w:ind w:firstLine="420"/>
      <w:jc w:val="left"/>
    </w:pPr>
    <w:rPr>
      <w:rFonts w:ascii="Arial" w:hAnsi="Arial"/>
      <w:szCs w:val="24"/>
    </w:rPr>
  </w:style>
  <w:style w:type="paragraph" w:customStyle="1" w:styleId="7">
    <w:name w:val="正文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2019-10-29T09:32:00Z</dcterms:created>
  <dc:creator>陈莉佳</dc:creator>
  <cp:lastModifiedBy>温广志</cp:lastModifiedBy>
  <dcterms:modified xsi:type="dcterms:W3CDTF">2019-11-14T01:14:25Z</dcterms:modified>
  <dc:title>A03076《适用加计抵减政策的声明》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