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18" w:rsidRDefault="00126818">
      <w:pPr>
        <w:pStyle w:val="20"/>
        <w:rPr>
          <w:rFonts w:ascii="宋体" w:eastAsia="宋体"/>
        </w:rPr>
      </w:pPr>
      <w:r>
        <w:rPr>
          <w:rFonts w:ascii="宋体" w:eastAsia="宋体"/>
        </w:rPr>
        <w:t>A12074</w:t>
      </w:r>
      <w:r>
        <w:rPr>
          <w:rFonts w:ascii="宋体" w:eastAsia="宋体" w:hint="eastAsia"/>
        </w:rPr>
        <w:t>《税收保全措施决定书》（</w:t>
      </w:r>
      <w:r>
        <w:rPr>
          <w:rFonts w:eastAsia="仿宋_GB2312" w:hint="eastAsia"/>
          <w:color w:val="000000"/>
        </w:rPr>
        <w:t>扣押</w:t>
      </w:r>
      <w:r>
        <w:rPr>
          <w:rFonts w:eastAsia="仿宋_GB2312"/>
          <w:color w:val="000000"/>
        </w:rPr>
        <w:t>/</w:t>
      </w:r>
      <w:r>
        <w:rPr>
          <w:rFonts w:eastAsia="仿宋_GB2312" w:hint="eastAsia"/>
          <w:color w:val="000000"/>
        </w:rPr>
        <w:t>查封适用</w:t>
      </w:r>
      <w:r>
        <w:rPr>
          <w:rFonts w:ascii="宋体" w:eastAsia="宋体" w:hint="eastAsia"/>
        </w:rPr>
        <w:t>）</w:t>
      </w:r>
    </w:p>
    <w:p w:rsidR="00126818" w:rsidRDefault="00126818">
      <w:pPr>
        <w:pStyle w:val="00"/>
        <w:ind w:firstLine="422"/>
        <w:rPr>
          <w:rFonts w:ascii="宋体"/>
        </w:rPr>
      </w:pPr>
      <w:bookmarkStart w:id="0" w:name="_GoBack"/>
      <w:bookmarkEnd w:id="0"/>
    </w:p>
    <w:p w:rsidR="00126818" w:rsidRDefault="00126818" w:rsidP="005549E6">
      <w:pPr>
        <w:widowControl w:val="0"/>
        <w:ind w:firstLineChars="500" w:firstLine="31680"/>
        <w:jc w:val="both"/>
        <w:rPr>
          <w:rFonts w:ascii="宋体" w:cs="方正小标宋简体"/>
          <w:color w:val="000000"/>
          <w:spacing w:val="20"/>
          <w:sz w:val="44"/>
          <w:szCs w:val="44"/>
        </w:rPr>
      </w:pP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       </w:t>
      </w:r>
      <w:r>
        <w:rPr>
          <w:rFonts w:ascii="宋体" w:hAnsi="宋体" w:cs="方正小标宋简体" w:hint="eastAsia"/>
          <w:color w:val="000000"/>
          <w:spacing w:val="20"/>
          <w:kern w:val="2"/>
          <w:sz w:val="44"/>
          <w:szCs w:val="44"/>
        </w:rPr>
        <w:t>税务局（稽查局）</w:t>
      </w:r>
    </w:p>
    <w:p w:rsidR="00126818" w:rsidRDefault="00126818" w:rsidP="005549E6">
      <w:pPr>
        <w:widowControl w:val="0"/>
        <w:jc w:val="center"/>
        <w:rPr>
          <w:rFonts w:ascii="宋体" w:cs="方正小标宋简体"/>
          <w:color w:val="000000"/>
          <w:spacing w:val="20"/>
          <w:sz w:val="52"/>
          <w:szCs w:val="52"/>
        </w:rPr>
      </w:pPr>
      <w:r>
        <w:rPr>
          <w:rFonts w:ascii="宋体" w:hAnsi="宋体" w:cs="方正小标宋简体" w:hint="eastAsia"/>
          <w:color w:val="000000"/>
          <w:spacing w:val="20"/>
          <w:kern w:val="2"/>
          <w:sz w:val="52"/>
          <w:szCs w:val="52"/>
        </w:rPr>
        <w:t>税收保全措施决定书</w:t>
      </w:r>
    </w:p>
    <w:p w:rsidR="00126818" w:rsidRDefault="00126818" w:rsidP="005549E6">
      <w:pPr>
        <w:widowControl w:val="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（扣押</w:t>
      </w:r>
      <w:r>
        <w:rPr>
          <w:rFonts w:eastAsia="仿宋_GB2312"/>
          <w:color w:val="000000"/>
          <w:kern w:val="2"/>
          <w:sz w:val="32"/>
          <w:szCs w:val="32"/>
        </w:rPr>
        <w:t>/</w:t>
      </w:r>
      <w:r>
        <w:rPr>
          <w:rFonts w:eastAsia="仿宋_GB2312" w:hint="eastAsia"/>
          <w:color w:val="000000"/>
          <w:kern w:val="2"/>
          <w:sz w:val="32"/>
          <w:szCs w:val="32"/>
        </w:rPr>
        <w:t>查封适用）</w:t>
      </w:r>
    </w:p>
    <w:p w:rsidR="00126818" w:rsidRDefault="00126818" w:rsidP="005549E6">
      <w:pPr>
        <w:widowControl w:val="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color w:val="000000"/>
          <w:kern w:val="2"/>
          <w:sz w:val="32"/>
          <w:szCs w:val="32"/>
        </w:rPr>
        <w:t>税保封〔</w:t>
      </w:r>
      <w:r>
        <w:rPr>
          <w:rFonts w:eastAsia="仿宋_GB2312"/>
          <w:color w:val="000000"/>
          <w:kern w:val="2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kern w:val="2"/>
          <w:sz w:val="32"/>
          <w:szCs w:val="32"/>
        </w:rPr>
        <w:t>〕</w:t>
      </w:r>
      <w:r>
        <w:rPr>
          <w:rFonts w:eastAsia="仿宋_GB2312"/>
          <w:color w:val="000000"/>
          <w:kern w:val="2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kern w:val="2"/>
          <w:sz w:val="32"/>
          <w:szCs w:val="32"/>
        </w:rPr>
        <w:t>号</w:t>
      </w:r>
    </w:p>
    <w:p w:rsidR="00126818" w:rsidRDefault="00126818" w:rsidP="005549E6">
      <w:pPr>
        <w:widowControl w:val="0"/>
        <w:spacing w:line="560" w:lineRule="exact"/>
        <w:ind w:left="425" w:hanging="425"/>
        <w:jc w:val="both"/>
        <w:rPr>
          <w:rFonts w:ascii="仿宋_GB2312" w:eastAsia="仿宋_GB2312"/>
          <w:color w:val="000000"/>
          <w:u w:val="single"/>
        </w:rPr>
      </w:pPr>
      <w:r>
        <w:rPr>
          <w:rFonts w:ascii="仿宋_GB2312" w:eastAsia="仿宋_GB2312"/>
          <w:color w:val="000000"/>
          <w:u w:val="single"/>
        </w:rPr>
        <w:t xml:space="preserve"> </w:t>
      </w:r>
    </w:p>
    <w:p w:rsidR="00126818" w:rsidRDefault="00126818" w:rsidP="005549E6">
      <w:pPr>
        <w:widowControl w:val="0"/>
        <w:spacing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：（纳税人识别号：</w:t>
      </w:r>
      <w:r>
        <w:rPr>
          <w:rFonts w:ascii="仿宋_GB2312" w:eastAsia="仿宋_GB2312"/>
          <w:color w:val="000000"/>
          <w:kern w:val="2"/>
          <w:sz w:val="32"/>
          <w:szCs w:val="32"/>
        </w:rPr>
        <w:t xml:space="preserve">   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）</w:t>
      </w:r>
    </w:p>
    <w:p w:rsidR="00126818" w:rsidRDefault="00126818" w:rsidP="005549E6">
      <w:pPr>
        <w:widowControl w:val="0"/>
        <w:spacing w:line="560" w:lineRule="exact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鉴于你（单位）（地址：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kern w:val="2"/>
          <w:sz w:val="32"/>
          <w:szCs w:val="32"/>
        </w:rPr>
        <w:t>根据《中华人民共和国税收征收管理法》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color w:val="000000"/>
          <w:kern w:val="2"/>
          <w:sz w:val="32"/>
          <w:szCs w:val="32"/>
        </w:rPr>
        <w:t>规定，经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color w:val="000000"/>
          <w:kern w:val="2"/>
          <w:sz w:val="32"/>
          <w:szCs w:val="32"/>
        </w:rPr>
        <w:t>税务局（分局）局长批准，决定从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??" w:eastAsia="Times New Roman" w:hAnsi="??"/>
          <w:b/>
          <w:bCs/>
          <w:color w:val="000000"/>
          <w:sz w:val="44"/>
          <w:szCs w:val="44"/>
        </w:rPr>
        <w:t>__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kern w:val="2"/>
          <w:sz w:val="32"/>
          <w:szCs w:val="32"/>
        </w:rPr>
        <w:t>对你（单位）的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color w:val="000000"/>
          <w:kern w:val="2"/>
          <w:sz w:val="32"/>
          <w:szCs w:val="32"/>
        </w:rPr>
        <w:t>（商品、货物或者其他财产）予以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color w:val="000000"/>
          <w:kern w:val="2"/>
          <w:sz w:val="32"/>
          <w:szCs w:val="32"/>
        </w:rPr>
        <w:t>。如纳税限期期满仍未缴纳税款，将依法拍卖或者变卖所扣押、查封的商品、货物或者其他财产抵缴税款。</w:t>
      </w:r>
    </w:p>
    <w:p w:rsidR="00126818" w:rsidRDefault="00126818" w:rsidP="005549E6">
      <w:pPr>
        <w:widowControl w:val="0"/>
        <w:spacing w:line="560" w:lineRule="exact"/>
        <w:ind w:firstLineChars="200" w:firstLine="3168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kern w:val="2"/>
          <w:sz w:val="32"/>
          <w:szCs w:val="32"/>
        </w:rPr>
        <w:t>如对本决定不服，可自收到本决定之日起六十日内依法向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color w:val="000000"/>
          <w:kern w:val="2"/>
          <w:sz w:val="32"/>
          <w:szCs w:val="32"/>
        </w:rPr>
        <w:t>申请行政复议，或者自收到本决定之日起六个月内依法向人民法院起诉。</w:t>
      </w:r>
    </w:p>
    <w:p w:rsidR="00126818" w:rsidRDefault="00126818" w:rsidP="005549E6">
      <w:pPr>
        <w:widowControl w:val="0"/>
        <w:spacing w:line="560" w:lineRule="exact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2"/>
          <w:sz w:val="32"/>
          <w:szCs w:val="32"/>
        </w:rPr>
        <w:t xml:space="preserve">                                                   </w:t>
      </w:r>
    </w:p>
    <w:p w:rsidR="00126818" w:rsidRDefault="00126818" w:rsidP="005549E6">
      <w:pPr>
        <w:widowControl w:val="0"/>
        <w:spacing w:line="560" w:lineRule="exact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2"/>
          <w:sz w:val="32"/>
          <w:szCs w:val="32"/>
        </w:rPr>
        <w:t xml:space="preserve">                                                    </w:t>
      </w:r>
    </w:p>
    <w:p w:rsidR="00126818" w:rsidRDefault="00126818" w:rsidP="005549E6">
      <w:pPr>
        <w:widowControl w:val="0"/>
        <w:spacing w:line="560" w:lineRule="exact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126818" w:rsidRDefault="00126818" w:rsidP="005549E6">
      <w:pPr>
        <w:pStyle w:val="bw1"/>
        <w:widowControl/>
        <w:spacing w:line="56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税务机关（印章）</w:t>
      </w:r>
    </w:p>
    <w:p w:rsidR="00126818" w:rsidRDefault="00126818" w:rsidP="005549E6">
      <w:pPr>
        <w:widowControl w:val="0"/>
        <w:wordWrap w:val="0"/>
        <w:spacing w:line="560" w:lineRule="exact"/>
        <w:ind w:firstLine="303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年</w:t>
      </w:r>
      <w:r>
        <w:rPr>
          <w:rFonts w:ascii="仿宋_GB2312" w:eastAsia="仿宋_GB2312"/>
          <w:color w:val="000000"/>
          <w:kern w:val="2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月</w:t>
      </w:r>
      <w:r>
        <w:rPr>
          <w:rFonts w:ascii="仿宋_GB2312" w:eastAsia="仿宋_GB2312"/>
          <w:color w:val="000000"/>
          <w:kern w:val="2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日</w:t>
      </w:r>
      <w:r>
        <w:rPr>
          <w:rFonts w:ascii="仿宋_GB2312" w:eastAsia="仿宋_GB2312"/>
          <w:color w:val="000000"/>
          <w:kern w:val="2"/>
          <w:sz w:val="32"/>
          <w:szCs w:val="32"/>
        </w:rPr>
        <w:t xml:space="preserve">  </w:t>
      </w:r>
    </w:p>
    <w:p w:rsidR="00126818" w:rsidRDefault="00126818" w:rsidP="005549E6">
      <w:pPr>
        <w:widowControl w:val="0"/>
        <w:adjustRightInd w:val="0"/>
        <w:snapToGrid w:val="0"/>
        <w:jc w:val="center"/>
        <w:rPr>
          <w:rFonts w:ascii="宋体"/>
          <w:color w:val="000000"/>
        </w:rPr>
      </w:pPr>
      <w:r>
        <w:rPr>
          <w:rFonts w:ascii="宋体"/>
          <w:color w:val="000000"/>
          <w:kern w:val="2"/>
          <w:sz w:val="44"/>
          <w:szCs w:val="44"/>
        </w:rPr>
        <w:br w:type="page"/>
      </w:r>
      <w:r>
        <w:rPr>
          <w:rFonts w:ascii="宋体" w:hAnsi="宋体" w:hint="eastAsia"/>
          <w:color w:val="000000"/>
          <w:kern w:val="2"/>
          <w:sz w:val="44"/>
          <w:szCs w:val="44"/>
        </w:rPr>
        <w:t>使用说明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．本决定书依据《中华人民共和国税收征收管理法》第三十七条、第三十八条、第四十条、第五十五条及《中华人民共和国税收征收管理法实施细则》</w:t>
      </w:r>
      <w:r>
        <w:rPr>
          <w:rFonts w:hint="eastAsia"/>
          <w:color w:val="000000"/>
          <w:kern w:val="2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《中华人民共和国行政强制法》第二十四条、第二十五条设置。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．适用范围：税务机关采取税收保全措施，依法查封、扣押纳税人、扣缴义务人、纳税担保人的价值相当于应纳税款的商品、货物或者其他财产时使用。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．本文书受送达人处填写纳税人、扣缴义务人、纳税担保人名称或者姓名，统一社会信用代码或者有效身份证件号码，没有统一社会信用代码的，填写纳税人识别号。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“鉴于你（单位）（地址：</w:t>
      </w:r>
      <w:r>
        <w:rPr>
          <w:rFonts w:ascii="仿宋_GB2312" w:eastAsia="仿宋_GB2312"/>
          <w:color w:val="000000"/>
          <w:kern w:val="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）</w:t>
      </w:r>
      <w:r>
        <w:rPr>
          <w:rFonts w:ascii="仿宋_GB2312" w:eastAsia="仿宋_GB2312"/>
          <w:color w:val="000000"/>
          <w:kern w:val="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”</w:t>
      </w:r>
      <w:r>
        <w:rPr>
          <w:rFonts w:ascii="仿宋_GB2312" w:eastAsia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地址填写注册登记地址或者有效身份证件上的地址。第二横线处填写查封、扣押理由（根据《中华人民共和国税收征收管理法》第三十七条、第三十八条或第五十五条，结合具体违法情形填写）。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．“</w:t>
      </w:r>
      <w:r>
        <w:rPr>
          <w:rFonts w:eastAsia="仿宋_GB2312" w:hint="eastAsia"/>
          <w:color w:val="000000"/>
          <w:kern w:val="2"/>
          <w:sz w:val="32"/>
          <w:szCs w:val="32"/>
        </w:rPr>
        <w:t>根据《中华人民共和国税收征收管理法》</w:t>
      </w:r>
      <w:r>
        <w:rPr>
          <w:rFonts w:ascii="仿宋_GB2312" w:eastAsia="仿宋_GB2312"/>
          <w:color w:val="000000"/>
          <w:kern w:val="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color w:val="000000"/>
          <w:kern w:val="2"/>
          <w:sz w:val="32"/>
          <w:szCs w:val="32"/>
        </w:rPr>
        <w:t>规定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”横线处分别填写第三十七条、第三十八条、第四十条或第五十五条。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“经</w:t>
      </w:r>
      <w:r>
        <w:rPr>
          <w:rFonts w:ascii="仿宋_GB2312" w:eastAsia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税务局（分局）局长批准”横线处填写符合《中华人民共和国税收征收管理法》规定具有审批权限的税务局（分局）局长所在税务机关具体名称。“</w:t>
      </w:r>
      <w:r>
        <w:rPr>
          <w:rFonts w:eastAsia="仿宋_GB2312" w:hint="eastAsia"/>
          <w:color w:val="000000"/>
          <w:kern w:val="2"/>
          <w:sz w:val="32"/>
          <w:szCs w:val="32"/>
        </w:rPr>
        <w:t>从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</w:t>
      </w:r>
      <w:r>
        <w:rPr>
          <w:rFonts w:eastAsia="仿宋_GB2312" w:hint="eastAsia"/>
          <w:color w:val="000000"/>
          <w:kern w:val="2"/>
          <w:sz w:val="32"/>
          <w:szCs w:val="32"/>
        </w:rPr>
        <w:t>年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</w:t>
      </w:r>
      <w:r>
        <w:rPr>
          <w:rFonts w:eastAsia="仿宋_GB2312" w:hint="eastAsia"/>
          <w:color w:val="000000"/>
          <w:kern w:val="2"/>
          <w:sz w:val="32"/>
          <w:szCs w:val="32"/>
        </w:rPr>
        <w:t>月</w:t>
      </w:r>
      <w:r>
        <w:rPr>
          <w:rFonts w:eastAsia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eastAsia="仿宋_GB2312" w:hint="eastAsia"/>
          <w:color w:val="000000"/>
          <w:kern w:val="2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”填写查封、扣押起止日期。依照税收征管法第五十五条规定，税务机关采取查封、扣押措施的，期限一般不得超过６个月；重大案件需要延长期限的，应当报国家税务总局批准。除上述情形外采取查封、扣押措施的，期限不得超过</w:t>
      </w:r>
      <w:r>
        <w:rPr>
          <w:rFonts w:ascii="仿宋_GB2312" w:eastAsia="仿宋_GB2312"/>
          <w:color w:val="000000"/>
          <w:kern w:val="2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日；情况复杂的，经县以上税务局局长批准，可以延长，但是延长期限不得超过</w:t>
      </w:r>
      <w:r>
        <w:rPr>
          <w:rFonts w:ascii="仿宋_GB2312" w:eastAsia="仿宋_GB2312"/>
          <w:color w:val="000000"/>
          <w:kern w:val="2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日。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．本决定书审批程序和权限依照有关规定办理：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（</w:t>
      </w:r>
      <w:r>
        <w:rPr>
          <w:rFonts w:ascii="仿宋_GB2312" w:eastAsia="仿宋_GB2312"/>
          <w:color w:val="000000"/>
          <w:kern w:val="2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）对未按照规定办理税务登记的从事生产、经营的纳税人以及临时从事经营的纳税人实施扣押的，由税务机关（包括税务所、稽查局）负责人审批，文书正文中可不注明“</w:t>
      </w:r>
      <w:r>
        <w:rPr>
          <w:rFonts w:eastAsia="仿宋_GB2312" w:hint="eastAsia"/>
          <w:color w:val="000000"/>
          <w:kern w:val="2"/>
          <w:sz w:val="32"/>
          <w:szCs w:val="32"/>
        </w:rPr>
        <w:t>经</w:t>
      </w:r>
      <w:r>
        <w:rPr>
          <w:rFonts w:ascii="仿宋_GB2312" w:eastAsia="仿宋_GB2312"/>
          <w:color w:val="000000"/>
          <w:kern w:val="2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color w:val="000000"/>
          <w:kern w:val="2"/>
          <w:sz w:val="32"/>
          <w:szCs w:val="32"/>
        </w:rPr>
        <w:t>税务局（分局）局长批准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”。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（</w:t>
      </w:r>
      <w:r>
        <w:rPr>
          <w:rFonts w:ascii="仿宋_GB2312" w:eastAsia="仿宋_GB2312"/>
          <w:color w:val="000000"/>
          <w:kern w:val="2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）对从事生产、经营的纳税人、扣缴义务人、纳税担保人实施查封、扣押的，由县以上税务局（分局）局长审批。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．个人及其所扶养家属维持生活必需的住房和用品，不在税收保全措施的范围之内。单价</w:t>
      </w:r>
      <w:r>
        <w:rPr>
          <w:rFonts w:ascii="仿宋_GB2312" w:eastAsia="仿宋_GB2312"/>
          <w:color w:val="000000"/>
          <w:kern w:val="2"/>
          <w:sz w:val="32"/>
          <w:szCs w:val="32"/>
        </w:rPr>
        <w:t>5000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元以下的其他生活用品，不采取税收保全措施。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．税务机关扣押商品、货物或者其他财产的价值，参照同类商品的市场价、出厂价或评估价估算。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．税务机关按上述方法确定应查封、扣押的商品、货物或其他财产的价值时，还应当包括滞纳金和拍卖、变卖过程中所发生的费用。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．“对你（单位）的</w:t>
      </w:r>
      <w:r>
        <w:rPr>
          <w:rFonts w:ascii="仿宋_GB2312" w:eastAsia="仿宋_GB2312"/>
          <w:color w:val="000000"/>
          <w:kern w:val="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”横线处填写税务机关查封（扣押）的商品、货物或者其他财产的具体名称及数量。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12.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“向</w:t>
      </w:r>
      <w:r>
        <w:rPr>
          <w:rFonts w:ascii="仿宋_GB2312" w:eastAsia="仿宋_GB2312"/>
          <w:color w:val="000000"/>
          <w:kern w:val="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”横线处填写有权受理行政复议申请的上级税务机关的具体名称。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．本决定书在必要时与《协助执行通知书》、《税务文书送达回证》一并使用，可要求协助执行部门停止办理产权过户手续。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14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．文书字号设为“保封”，稽查局使用设为“稽保封”。</w:t>
      </w:r>
    </w:p>
    <w:p w:rsidR="00126818" w:rsidRDefault="00126818" w:rsidP="005549E6">
      <w:pPr>
        <w:widowControl w:val="0"/>
        <w:adjustRightInd w:val="0"/>
        <w:snapToGrid w:val="0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kern w:val="2"/>
          <w:sz w:val="32"/>
          <w:szCs w:val="32"/>
        </w:rPr>
        <w:t>15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．本决定书为</w:t>
      </w:r>
      <w:r>
        <w:rPr>
          <w:rFonts w:ascii="仿宋_GB2312" w:eastAsia="仿宋_GB2312"/>
          <w:color w:val="000000"/>
          <w:kern w:val="2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竖式，一式三份，一份送纳税人或扣缴义务人，一份送协助执行部门，一份装入卷宗。</w:t>
      </w:r>
    </w:p>
    <w:p w:rsidR="00126818" w:rsidRPr="005549E6" w:rsidRDefault="00126818" w:rsidP="005549E6">
      <w:pPr>
        <w:adjustRightInd w:val="0"/>
        <w:snapToGrid w:val="0"/>
        <w:ind w:firstLine="606"/>
      </w:pPr>
    </w:p>
    <w:sectPr w:rsidR="00126818" w:rsidRPr="005549E6" w:rsidSect="00E0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BE19C0"/>
    <w:rsid w:val="00126818"/>
    <w:rsid w:val="005549E6"/>
    <w:rsid w:val="007C3A37"/>
    <w:rsid w:val="00942E0F"/>
    <w:rsid w:val="00E04FEB"/>
    <w:rsid w:val="52B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EB"/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">
    <w:name w:val="标题 2_0"/>
    <w:basedOn w:val="0"/>
    <w:next w:val="0"/>
    <w:uiPriority w:val="99"/>
    <w:rsid w:val="00E04FEB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customStyle="1" w:styleId="0">
    <w:name w:val="正文_0"/>
    <w:uiPriority w:val="99"/>
    <w:rsid w:val="00E04FEB"/>
    <w:rPr>
      <w:rFonts w:ascii="Times New Roman" w:hAnsi="Times New Roman"/>
      <w:kern w:val="0"/>
      <w:sz w:val="24"/>
      <w:szCs w:val="24"/>
    </w:rPr>
  </w:style>
  <w:style w:type="paragraph" w:customStyle="1" w:styleId="00">
    <w:name w:val="一级标题_0"/>
    <w:basedOn w:val="0"/>
    <w:uiPriority w:val="99"/>
    <w:rsid w:val="00E04FEB"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0"/>
    <w:uiPriority w:val="99"/>
    <w:rsid w:val="00E04FEB"/>
    <w:pPr>
      <w:ind w:firstLine="420"/>
      <w:outlineLvl w:val="3"/>
    </w:pPr>
    <w:rPr>
      <w:rFonts w:ascii="Arial" w:hAnsi="Arial" w:cs="Arial"/>
    </w:rPr>
  </w:style>
  <w:style w:type="paragraph" w:customStyle="1" w:styleId="02">
    <w:name w:val="需求正文_0"/>
    <w:basedOn w:val="0"/>
    <w:uiPriority w:val="99"/>
    <w:rsid w:val="00E04FEB"/>
    <w:pPr>
      <w:ind w:firstLine="420"/>
    </w:pPr>
    <w:rPr>
      <w:rFonts w:ascii="Arial" w:hAnsi="Arial"/>
      <w:kern w:val="2"/>
      <w:sz w:val="21"/>
    </w:rPr>
  </w:style>
  <w:style w:type="paragraph" w:customStyle="1" w:styleId="000">
    <w:name w:val="正文_0_0_0"/>
    <w:uiPriority w:val="99"/>
    <w:rsid w:val="00E04FEB"/>
    <w:rPr>
      <w:rFonts w:ascii="Times New Roman" w:hAnsi="Times New Roman"/>
      <w:sz w:val="24"/>
      <w:szCs w:val="24"/>
    </w:rPr>
  </w:style>
  <w:style w:type="paragraph" w:customStyle="1" w:styleId="bw1">
    <w:name w:val="bw1"/>
    <w:basedOn w:val="Normal"/>
    <w:uiPriority w:val="99"/>
    <w:rsid w:val="005549E6"/>
    <w:pPr>
      <w:widowControl w:val="0"/>
      <w:adjustRightInd w:val="0"/>
      <w:spacing w:line="360" w:lineRule="atLeast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陈莉佳</dc:creator>
  <cp:keywords/>
  <dc:description/>
  <cp:lastModifiedBy>李和丽</cp:lastModifiedBy>
  <cp:revision>2</cp:revision>
  <dcterms:created xsi:type="dcterms:W3CDTF">2019-11-06T02:03:00Z</dcterms:created>
  <dcterms:modified xsi:type="dcterms:W3CDTF">2021-08-17T03:27:00Z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