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rPr>
      </w:pPr>
      <w:r>
        <w:rPr>
          <w:rFonts w:hint="eastAsia" w:ascii="宋体" w:hAnsi="宋体" w:eastAsia="宋体"/>
        </w:rPr>
        <w:t>A10052《关联关系认定表》</w:t>
      </w:r>
    </w:p>
    <w:p>
      <w:pPr>
        <w:pStyle w:val="9"/>
        <w:jc w:val="center"/>
        <w:rPr>
          <w:rFonts w:hint="eastAsia" w:ascii="方正小标宋简体" w:hAnsi="宋体" w:eastAsia="方正小标宋简体"/>
          <w:bCs/>
          <w:color w:val="000000"/>
          <w:sz w:val="44"/>
          <w:szCs w:val="44"/>
        </w:rPr>
      </w:pPr>
      <w:bookmarkStart w:id="0" w:name="_GoBack"/>
      <w:bookmarkEnd w:id="0"/>
      <w:r>
        <w:rPr>
          <w:rFonts w:hint="eastAsia" w:ascii="方正小标宋简体" w:hAnsi="宋体" w:eastAsia="方正小标宋简体" w:cs="黑体"/>
          <w:bCs/>
          <w:color w:val="000000"/>
          <w:sz w:val="44"/>
          <w:szCs w:val="44"/>
        </w:rPr>
        <w:t>关联关系认定表</w:t>
      </w:r>
    </w:p>
    <w:p>
      <w:pPr>
        <w:pStyle w:val="9"/>
        <w:jc w:val="center"/>
        <w:rPr>
          <w:rFonts w:hint="eastAsia" w:ascii="仿宋_GB2312" w:hAnsi="宋体" w:eastAsia="仿宋_GB2312"/>
          <w:bCs/>
          <w:color w:val="000000"/>
        </w:rPr>
      </w:pPr>
      <w:r>
        <w:rPr>
          <w:rFonts w:hint="eastAsia" w:ascii="仿宋_GB2312" w:hAnsi="宋体" w:eastAsia="仿宋_GB2312" w:cs="宋体"/>
          <w:bCs/>
          <w:color w:val="000000"/>
        </w:rPr>
        <w:t>所属年度（</w:t>
      </w:r>
      <w:r>
        <w:rPr>
          <w:rFonts w:hint="eastAsia" w:ascii="仿宋_GB2312" w:hAnsi="宋体" w:eastAsia="仿宋_GB2312"/>
          <w:bCs/>
          <w:color w:val="000000"/>
        </w:rPr>
        <w:t xml:space="preserve">       </w:t>
      </w:r>
      <w:r>
        <w:rPr>
          <w:rFonts w:hint="eastAsia" w:ascii="仿宋_GB2312" w:hAnsi="宋体" w:eastAsia="仿宋_GB2312" w:cs="宋体"/>
          <w:bCs/>
          <w:color w:val="000000"/>
        </w:rPr>
        <w:t>）</w:t>
      </w:r>
    </w:p>
    <w:p>
      <w:pPr>
        <w:pStyle w:val="9"/>
        <w:jc w:val="center"/>
        <w:rPr>
          <w:b/>
          <w:bCs/>
          <w:color w:val="000000"/>
        </w:rPr>
      </w:pPr>
    </w:p>
    <w:p>
      <w:pPr>
        <w:pStyle w:val="9"/>
        <w:rPr>
          <w:rFonts w:hint="eastAsia" w:ascii="仿宋_GB2312" w:eastAsia="仿宋_GB2312"/>
          <w:color w:val="000000"/>
        </w:rPr>
      </w:pPr>
      <w:r>
        <w:rPr>
          <w:rFonts w:hint="eastAsia" w:ascii="仿宋_GB2312" w:eastAsia="仿宋_GB2312" w:cs="宋体"/>
          <w:color w:val="000000"/>
        </w:rPr>
        <w:t>企业名称：</w:t>
      </w:r>
      <w:r>
        <w:rPr>
          <w:rFonts w:hint="eastAsia" w:ascii="仿宋_GB2312" w:eastAsia="仿宋_GB2312"/>
          <w:color w:val="000000"/>
        </w:rPr>
        <w:t xml:space="preserve">        </w:t>
      </w:r>
      <w:r>
        <w:rPr>
          <w:rFonts w:hint="eastAsia" w:ascii="仿宋_GB2312" w:eastAsia="仿宋_GB2312" w:cs="宋体"/>
          <w:color w:val="000000"/>
        </w:rPr>
        <w:t>　　　　　　</w:t>
      </w:r>
      <w:r>
        <w:rPr>
          <w:rFonts w:hint="eastAsia" w:ascii="仿宋_GB2312" w:eastAsia="仿宋_GB2312"/>
          <w:color w:val="000000"/>
        </w:rPr>
        <w:t xml:space="preserve"> </w:t>
      </w:r>
    </w:p>
    <w:p>
      <w:pPr>
        <w:pStyle w:val="9"/>
        <w:rPr>
          <w:rFonts w:hint="eastAsia" w:ascii="仿宋_GB2312" w:eastAsia="仿宋_GB2312"/>
          <w:color w:val="000000"/>
        </w:rPr>
      </w:pPr>
      <w:r>
        <w:rPr>
          <w:rFonts w:hint="eastAsia" w:ascii="仿宋_GB2312" w:hAnsi="宋体" w:eastAsia="仿宋_GB2312" w:cs="宋体"/>
          <w:color w:val="000000"/>
        </w:rPr>
        <w:t xml:space="preserve">纳税人识别号（统一社会信用代码）： </w:t>
      </w:r>
    </w:p>
    <w:tbl>
      <w:tblPr>
        <w:tblStyle w:val="2"/>
        <w:tblW w:w="8347" w:type="dxa"/>
        <w:tblInd w:w="20" w:type="dxa"/>
        <w:tblLayout w:type="fixed"/>
        <w:tblCellMar>
          <w:top w:w="0" w:type="dxa"/>
          <w:left w:w="0" w:type="dxa"/>
          <w:bottom w:w="0" w:type="dxa"/>
          <w:right w:w="0" w:type="dxa"/>
        </w:tblCellMar>
      </w:tblPr>
      <w:tblGrid>
        <w:gridCol w:w="3649"/>
        <w:gridCol w:w="1379"/>
        <w:gridCol w:w="2351"/>
        <w:gridCol w:w="968"/>
      </w:tblGrid>
      <w:tr>
        <w:tblPrEx>
          <w:tblLayout w:type="fixed"/>
          <w:tblCellMar>
            <w:top w:w="0" w:type="dxa"/>
            <w:left w:w="0" w:type="dxa"/>
            <w:bottom w:w="0" w:type="dxa"/>
            <w:right w:w="0" w:type="dxa"/>
          </w:tblCellMar>
        </w:tblPrEx>
        <w:trPr>
          <w:trHeight w:val="567" w:hRule="atLeast"/>
        </w:trPr>
        <w:tc>
          <w:tcPr>
            <w:tcW w:w="364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关联方名称</w:t>
            </w:r>
          </w:p>
        </w:tc>
        <w:tc>
          <w:tcPr>
            <w:tcW w:w="137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szCs w:val="21"/>
              </w:rPr>
            </w:pPr>
            <w:r>
              <w:rPr>
                <w:rFonts w:hint="eastAsia" w:ascii="仿宋_GB2312" w:eastAsia="仿宋_GB2312" w:cs="宋体"/>
                <w:color w:val="000000"/>
                <w:szCs w:val="21"/>
              </w:rPr>
              <w:t>税务机关认定</w:t>
            </w:r>
          </w:p>
          <w:p>
            <w:pPr>
              <w:pStyle w:val="9"/>
              <w:jc w:val="center"/>
              <w:rPr>
                <w:rFonts w:hint="eastAsia" w:ascii="仿宋_GB2312" w:eastAsia="仿宋_GB2312"/>
                <w:color w:val="000000"/>
              </w:rPr>
            </w:pPr>
            <w:r>
              <w:rPr>
                <w:rFonts w:hint="eastAsia" w:ascii="仿宋_GB2312" w:eastAsia="仿宋_GB2312" w:cs="宋体"/>
                <w:color w:val="000000"/>
                <w:szCs w:val="21"/>
              </w:rPr>
              <w:t>关联关系类型</w:t>
            </w:r>
          </w:p>
        </w:tc>
        <w:tc>
          <w:tcPr>
            <w:tcW w:w="235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szCs w:val="21"/>
              </w:rPr>
            </w:pPr>
            <w:r>
              <w:rPr>
                <w:rFonts w:hint="eastAsia" w:ascii="仿宋_GB2312" w:eastAsia="仿宋_GB2312" w:cs="宋体"/>
                <w:color w:val="000000"/>
                <w:szCs w:val="21"/>
              </w:rPr>
              <w:t>与企业年度关联业务往来</w:t>
            </w:r>
          </w:p>
          <w:p>
            <w:pPr>
              <w:pStyle w:val="9"/>
              <w:jc w:val="center"/>
              <w:rPr>
                <w:rFonts w:hint="eastAsia" w:ascii="仿宋_GB2312" w:eastAsia="仿宋_GB2312"/>
                <w:color w:val="000000"/>
              </w:rPr>
            </w:pPr>
            <w:r>
              <w:rPr>
                <w:rFonts w:hint="eastAsia" w:ascii="仿宋_GB2312" w:eastAsia="仿宋_GB2312" w:cs="宋体"/>
                <w:color w:val="000000"/>
                <w:szCs w:val="21"/>
              </w:rPr>
              <w:t>报告是否一致</w:t>
            </w:r>
          </w:p>
        </w:tc>
        <w:tc>
          <w:tcPr>
            <w:tcW w:w="96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备</w:t>
            </w:r>
            <w:r>
              <w:rPr>
                <w:rFonts w:hint="eastAsia" w:ascii="仿宋_GB2312" w:eastAsia="仿宋_GB2312"/>
                <w:color w:val="000000"/>
                <w:szCs w:val="21"/>
              </w:rPr>
              <w:t xml:space="preserve">   </w:t>
            </w:r>
            <w:r>
              <w:rPr>
                <w:rFonts w:hint="eastAsia" w:ascii="仿宋_GB2312" w:eastAsia="仿宋_GB2312" w:cs="宋体"/>
                <w:color w:val="000000"/>
                <w:szCs w:val="21"/>
              </w:rPr>
              <w:t>注</w:t>
            </w: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r>
        <w:tblPrEx>
          <w:tblLayout w:type="fixed"/>
          <w:tblCellMar>
            <w:top w:w="0" w:type="dxa"/>
            <w:left w:w="0" w:type="dxa"/>
            <w:bottom w:w="0" w:type="dxa"/>
            <w:right w:w="0" w:type="dxa"/>
          </w:tblCellMar>
        </w:tblPrEx>
        <w:trPr>
          <w:trHeight w:val="567" w:hRule="atLeast"/>
        </w:trPr>
        <w:tc>
          <w:tcPr>
            <w:tcW w:w="36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137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c>
          <w:tcPr>
            <w:tcW w:w="235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r>
              <w:rPr>
                <w:rFonts w:hint="eastAsia" w:ascii="仿宋_GB2312" w:eastAsia="仿宋_GB2312" w:cs="宋体"/>
                <w:color w:val="000000"/>
                <w:szCs w:val="21"/>
              </w:rPr>
              <w:t>是□　否□　未报告□</w:t>
            </w:r>
          </w:p>
        </w:tc>
        <w:tc>
          <w:tcPr>
            <w:tcW w:w="96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pStyle w:val="9"/>
              <w:jc w:val="center"/>
              <w:rPr>
                <w:rFonts w:hint="eastAsia" w:ascii="仿宋_GB2312" w:eastAsia="仿宋_GB2312"/>
                <w:color w:val="000000"/>
              </w:rPr>
            </w:pPr>
          </w:p>
        </w:tc>
      </w:tr>
    </w:tbl>
    <w:p>
      <w:pPr>
        <w:pStyle w:val="9"/>
        <w:tabs>
          <w:tab w:val="left" w:pos="4401"/>
        </w:tabs>
        <w:rPr>
          <w:rFonts w:hint="eastAsia" w:ascii="仿宋_GB2312" w:eastAsia="仿宋_GB2312"/>
          <w:color w:val="000000"/>
        </w:rPr>
      </w:pPr>
      <w:r>
        <w:rPr>
          <w:rFonts w:hint="eastAsia" w:ascii="仿宋_GB2312" w:eastAsia="仿宋_GB2312" w:cs="宋体"/>
          <w:color w:val="000000"/>
        </w:rPr>
        <w:t>企业负责人确认签章：</w:t>
      </w:r>
      <w:r>
        <w:rPr>
          <w:rFonts w:hint="eastAsia" w:ascii="仿宋_GB2312" w:eastAsia="仿宋_GB2312"/>
          <w:color w:val="000000"/>
        </w:rPr>
        <w:t xml:space="preserve">                  </w:t>
      </w:r>
      <w:r>
        <w:rPr>
          <w:rFonts w:hint="eastAsia" w:ascii="仿宋_GB2312" w:eastAsia="仿宋_GB2312" w:cs="宋体"/>
          <w:color w:val="000000"/>
        </w:rPr>
        <w:t>税务机关调查人员签字：</w:t>
      </w:r>
    </w:p>
    <w:p>
      <w:pPr>
        <w:pStyle w:val="9"/>
        <w:tabs>
          <w:tab w:val="left" w:pos="4401"/>
        </w:tabs>
        <w:rPr>
          <w:rFonts w:hint="eastAsia" w:ascii="仿宋_GB2312" w:eastAsia="仿宋_GB2312" w:cs="宋体"/>
          <w:color w:val="000000"/>
        </w:rPr>
      </w:pPr>
      <w:r>
        <w:rPr>
          <w:rFonts w:hint="eastAsia" w:ascii="仿宋_GB2312" w:eastAsia="仿宋_GB2312" w:cs="宋体"/>
          <w:color w:val="000000"/>
        </w:rPr>
        <w:t>企业拒签理由：</w:t>
      </w:r>
    </w:p>
    <w:p>
      <w:pPr>
        <w:pStyle w:val="6"/>
        <w:widowControl/>
        <w:ind w:firstLine="482" w:firstLineChars="200"/>
        <w:jc w:val="left"/>
        <w:rPr>
          <w:rFonts w:hint="eastAsia" w:ascii="宋体" w:hAnsi="宋体"/>
          <w:kern w:val="0"/>
          <w:sz w:val="24"/>
          <w:szCs w:val="24"/>
        </w:rPr>
      </w:pPr>
      <w:r>
        <w:rPr>
          <w:rFonts w:hint="eastAsia" w:ascii="宋体" w:hAnsi="宋体"/>
          <w:kern w:val="0"/>
          <w:sz w:val="24"/>
          <w:szCs w:val="24"/>
        </w:rPr>
        <w:t>【表单说明】</w:t>
      </w:r>
    </w:p>
    <w:p>
      <w:pPr>
        <w:pStyle w:val="8"/>
        <w:widowControl/>
        <w:ind w:firstLineChars="200"/>
        <w:jc w:val="left"/>
        <w:rPr>
          <w:rFonts w:hint="eastAsia" w:ascii="宋体" w:hAnsi="宋体"/>
          <w:color w:val="000000"/>
        </w:rPr>
      </w:pPr>
      <w:r>
        <w:rPr>
          <w:rFonts w:hint="eastAsia" w:ascii="宋体" w:hAnsi="宋体"/>
          <w:color w:val="000000"/>
        </w:rPr>
        <w:t>一、本表依据《中华人民共和国企业所得税法》及其实施条例和《中华人民共和国税收征收管理法》及其实施细则的有关规定设置。</w:t>
      </w:r>
    </w:p>
    <w:p>
      <w:pPr>
        <w:pStyle w:val="8"/>
        <w:widowControl/>
        <w:ind w:firstLineChars="200"/>
        <w:jc w:val="left"/>
        <w:rPr>
          <w:rFonts w:hint="eastAsia" w:ascii="宋体" w:hAnsi="宋体"/>
          <w:color w:val="000000"/>
        </w:rPr>
      </w:pPr>
      <w:r>
        <w:rPr>
          <w:rFonts w:hint="eastAsia" w:ascii="宋体" w:hAnsi="宋体"/>
          <w:color w:val="000000"/>
        </w:rPr>
        <w:t>二、适用范围：税务机关调查人员对企业与其关联方的关联关系进行审核认定时使用。</w:t>
      </w:r>
    </w:p>
    <w:p>
      <w:pPr>
        <w:pStyle w:val="8"/>
        <w:widowControl/>
        <w:ind w:firstLineChars="200"/>
        <w:jc w:val="left"/>
        <w:rPr>
          <w:rFonts w:hint="eastAsia" w:ascii="宋体" w:hAnsi="宋体"/>
          <w:color w:val="000000"/>
        </w:rPr>
      </w:pPr>
      <w:r>
        <w:rPr>
          <w:rFonts w:hint="eastAsia" w:ascii="宋体" w:hAnsi="宋体"/>
          <w:color w:val="000000"/>
        </w:rPr>
        <w:t>三、“税务机关认定关联关系类型”：应当按以下关联关系认定标准逐条进行审核认定，并选填代码A、B、C等，有多个关联关系类型的，应当选填多个代码。</w:t>
      </w:r>
    </w:p>
    <w:p>
      <w:pPr>
        <w:pStyle w:val="8"/>
        <w:widowControl/>
        <w:ind w:firstLineChars="200"/>
        <w:jc w:val="left"/>
        <w:rPr>
          <w:rFonts w:hint="eastAsia" w:ascii="宋体" w:hAnsi="宋体"/>
          <w:color w:val="000000"/>
        </w:rPr>
      </w:pPr>
      <w:r>
        <w:rPr>
          <w:rFonts w:hint="eastAsia" w:ascii="宋体" w:hAnsi="宋体"/>
          <w:color w:val="000000"/>
        </w:rPr>
        <w:t>A．一方直接或者间接持有另一方的股份总和达到25%以上；双方直接或者间接同为第三方所持有的股份达到25%以上。</w:t>
      </w:r>
    </w:p>
    <w:p>
      <w:pPr>
        <w:pStyle w:val="8"/>
        <w:widowControl/>
        <w:ind w:firstLineChars="200"/>
        <w:jc w:val="left"/>
        <w:rPr>
          <w:rFonts w:hint="eastAsia" w:ascii="宋体" w:hAnsi="宋体"/>
          <w:color w:val="000000"/>
        </w:rPr>
      </w:pPr>
      <w:r>
        <w:rPr>
          <w:rFonts w:hint="eastAsia" w:ascii="宋体" w:hAnsi="宋体"/>
          <w:color w:val="000000"/>
        </w:rPr>
        <w:t>如果一方通过中间方对另一方间接持有股份，只要其对中间方持股比例达到25%以上，则其对另一方的持股比例按照中间方对另一方的持股比例计算。</w:t>
      </w:r>
    </w:p>
    <w:p>
      <w:pPr>
        <w:pStyle w:val="8"/>
        <w:widowControl/>
        <w:ind w:firstLineChars="200"/>
        <w:jc w:val="left"/>
        <w:rPr>
          <w:rFonts w:hint="eastAsia" w:ascii="宋体" w:hAnsi="宋体"/>
          <w:color w:val="000000"/>
        </w:rPr>
      </w:pPr>
      <w:r>
        <w:rPr>
          <w:rFonts w:hint="eastAsia" w:ascii="宋体" w:hAnsi="宋体"/>
          <w:color w:val="000000"/>
        </w:rPr>
        <w:t>两个以上具有夫妻、直系血亲、兄弟姐妹以及其他抚养、赡养关系的自然人共同持股同一企业，在判定关联关系时持股比例合并计算。</w:t>
      </w:r>
    </w:p>
    <w:p>
      <w:pPr>
        <w:pStyle w:val="8"/>
        <w:widowControl/>
        <w:ind w:firstLineChars="200"/>
        <w:jc w:val="left"/>
        <w:rPr>
          <w:rFonts w:hint="eastAsia" w:ascii="宋体" w:hAnsi="宋体"/>
          <w:color w:val="000000"/>
        </w:rPr>
      </w:pPr>
      <w:r>
        <w:rPr>
          <w:rFonts w:hint="eastAsia" w:ascii="宋体" w:hAnsi="宋体"/>
          <w:color w:val="000000"/>
        </w:rPr>
        <w:t>B．双方存在持股关系或者同为第三方持股，虽持股比例未达到本条第A项规定，但双方之间借贷资金总额占任一方实收资本比例达到50%以上，或者一方全部借贷资金总额的10%以上由另一方担保（与独立金融机构之间的借贷或者担保除外）。</w:t>
      </w:r>
    </w:p>
    <w:p>
      <w:pPr>
        <w:pStyle w:val="8"/>
        <w:widowControl/>
        <w:ind w:firstLineChars="200"/>
        <w:jc w:val="left"/>
        <w:rPr>
          <w:rFonts w:hint="eastAsia" w:ascii="宋体" w:hAnsi="宋体"/>
          <w:color w:val="000000"/>
        </w:rPr>
      </w:pPr>
      <w:r>
        <w:rPr>
          <w:rFonts w:hint="eastAsia" w:ascii="宋体" w:hAnsi="宋体"/>
          <w:color w:val="000000"/>
        </w:rPr>
        <w:t>借贷资金总额占实收资本比例＝年度加权平均借贷资金/年度加权平均实收资本，其中：</w:t>
      </w:r>
    </w:p>
    <w:p>
      <w:pPr>
        <w:pStyle w:val="8"/>
        <w:widowControl/>
        <w:ind w:firstLineChars="200"/>
        <w:jc w:val="left"/>
        <w:rPr>
          <w:rFonts w:hint="eastAsia" w:ascii="宋体" w:hAnsi="宋体"/>
          <w:color w:val="000000"/>
        </w:rPr>
      </w:pPr>
      <w:r>
        <w:rPr>
          <w:rFonts w:hint="eastAsia" w:ascii="宋体" w:hAnsi="宋体"/>
          <w:color w:val="000000"/>
        </w:rPr>
        <w:t xml:space="preserve">年度加权平均借贷资金= </w:t>
      </w:r>
      <w:r>
        <w:rPr>
          <w:rFonts w:hint="eastAsia" w:ascii="宋体" w:hAnsi="宋体"/>
          <w:color w:val="000000"/>
        </w:rPr>
        <w:drawing>
          <wp:inline distT="0" distB="0" distL="114300" distR="114300">
            <wp:extent cx="352425" cy="47561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2425" cy="475615"/>
                    </a:xfrm>
                    <a:prstGeom prst="rect">
                      <a:avLst/>
                    </a:prstGeom>
                    <a:noFill/>
                    <a:ln>
                      <a:noFill/>
                    </a:ln>
                  </pic:spPr>
                </pic:pic>
              </a:graphicData>
            </a:graphic>
          </wp:inline>
        </w:drawing>
      </w:r>
      <w:r>
        <w:rPr>
          <w:rFonts w:hint="eastAsia" w:ascii="宋体" w:hAnsi="宋体"/>
          <w:color w:val="000000"/>
        </w:rPr>
        <w:t>i笔借入或者贷出资金账面金额×i笔借入或者贷出资金年度实际占用天数/365</w:t>
      </w:r>
    </w:p>
    <w:p>
      <w:pPr>
        <w:pStyle w:val="8"/>
        <w:widowControl/>
        <w:ind w:firstLineChars="200"/>
        <w:jc w:val="left"/>
        <w:rPr>
          <w:rFonts w:hint="eastAsia" w:ascii="宋体" w:hAnsi="宋体"/>
          <w:color w:val="000000"/>
        </w:rPr>
      </w:pPr>
      <w:r>
        <w:rPr>
          <w:rFonts w:hint="eastAsia" w:ascii="宋体" w:hAnsi="宋体"/>
          <w:color w:val="000000"/>
        </w:rPr>
        <w:t xml:space="preserve">年度加权平均实收资本= </w:t>
      </w:r>
      <w:r>
        <w:rPr>
          <w:rFonts w:hint="eastAsia" w:ascii="宋体" w:hAnsi="宋体"/>
          <w:color w:val="000000"/>
        </w:rPr>
        <w:drawing>
          <wp:inline distT="0" distB="0" distL="114300" distR="114300">
            <wp:extent cx="352425" cy="475615"/>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52425" cy="475615"/>
                    </a:xfrm>
                    <a:prstGeom prst="rect">
                      <a:avLst/>
                    </a:prstGeom>
                    <a:noFill/>
                    <a:ln>
                      <a:noFill/>
                    </a:ln>
                  </pic:spPr>
                </pic:pic>
              </a:graphicData>
            </a:graphic>
          </wp:inline>
        </w:drawing>
      </w:r>
      <w:r>
        <w:rPr>
          <w:rFonts w:hint="eastAsia" w:ascii="宋体" w:hAnsi="宋体"/>
          <w:color w:val="000000"/>
        </w:rPr>
        <w:t>i笔实收资本账面金额×i笔实收资本年度实际占用天数/365</w:t>
      </w:r>
    </w:p>
    <w:p>
      <w:pPr>
        <w:pStyle w:val="8"/>
        <w:widowControl/>
        <w:ind w:firstLineChars="200"/>
        <w:jc w:val="left"/>
        <w:rPr>
          <w:rFonts w:hint="eastAsia" w:ascii="宋体" w:hAnsi="宋体"/>
          <w:color w:val="000000"/>
        </w:rPr>
      </w:pPr>
      <w:r>
        <w:rPr>
          <w:rFonts w:hint="eastAsia" w:ascii="宋体" w:hAnsi="宋体"/>
          <w:color w:val="000000"/>
        </w:rPr>
        <w:t>C．双方存在持股关系或者同为第三方持股，虽持股比例未达到本条第A项规定，但一方的生产经营活动必须由另一方提供专利权、非专利技术、商标权、著作权等特许权才能正常进行。</w:t>
      </w:r>
    </w:p>
    <w:p>
      <w:pPr>
        <w:pStyle w:val="8"/>
        <w:widowControl/>
        <w:ind w:firstLineChars="200"/>
        <w:jc w:val="left"/>
        <w:rPr>
          <w:rFonts w:hint="eastAsia" w:ascii="宋体" w:hAnsi="宋体"/>
          <w:color w:val="000000"/>
        </w:rPr>
      </w:pPr>
      <w:r>
        <w:rPr>
          <w:rFonts w:hint="eastAsia" w:ascii="宋体" w:hAnsi="宋体"/>
          <w:color w:val="000000"/>
        </w:rPr>
        <w:t>D．双方存在持股关系或者同为第三方持股，虽持股比例未达到本条第A项规定，但一方的购买、销售、接受劳务、提供劳务等经营活动由另一方控制。</w:t>
      </w:r>
    </w:p>
    <w:p>
      <w:pPr>
        <w:pStyle w:val="8"/>
        <w:widowControl/>
        <w:ind w:firstLineChars="200"/>
        <w:jc w:val="left"/>
        <w:rPr>
          <w:rFonts w:hint="eastAsia" w:ascii="宋体" w:hAnsi="宋体"/>
          <w:color w:val="000000"/>
        </w:rPr>
      </w:pPr>
      <w:r>
        <w:rPr>
          <w:rFonts w:hint="eastAsia" w:ascii="宋体" w:hAnsi="宋体"/>
          <w:color w:val="000000"/>
        </w:rPr>
        <w:t>上述控制是指一方有权决定另一方的财务和经营政策，并能据以从另一方的经营活动中获取利益。</w:t>
      </w:r>
    </w:p>
    <w:p>
      <w:pPr>
        <w:pStyle w:val="8"/>
        <w:widowControl/>
        <w:ind w:firstLineChars="200"/>
        <w:jc w:val="left"/>
        <w:rPr>
          <w:rFonts w:hint="eastAsia" w:ascii="宋体" w:hAnsi="宋体"/>
          <w:color w:val="000000"/>
        </w:rPr>
      </w:pPr>
      <w:r>
        <w:rPr>
          <w:rFonts w:hint="eastAsia" w:ascii="宋体" w:hAnsi="宋体"/>
          <w:color w:val="000000"/>
        </w:rPr>
        <w:t>E．一方半数以上董事或者半数以上高级管理人员（包括上市公司董事会秘书、经理、副经理、财务负责人和公司章程规定的其他人员）由另一方任命或者委派，或者同时担任另一方的董事或者高级管理人员；或者双方各自半数以上董事或者半数以上高级管理人员同为第三方任命或者委派。</w:t>
      </w:r>
    </w:p>
    <w:p>
      <w:pPr>
        <w:pStyle w:val="8"/>
        <w:widowControl/>
        <w:ind w:firstLineChars="200"/>
        <w:jc w:val="left"/>
        <w:rPr>
          <w:rFonts w:hint="eastAsia" w:ascii="宋体" w:hAnsi="宋体"/>
          <w:color w:val="000000"/>
        </w:rPr>
      </w:pPr>
      <w:r>
        <w:rPr>
          <w:rFonts w:hint="eastAsia" w:ascii="宋体" w:hAnsi="宋体"/>
          <w:color w:val="000000"/>
        </w:rPr>
        <w:t>F．具有夫妻、直系血亲、兄弟姐妹以及其他抚养、赡养关系的两个自然人分别与双方具有本条第A至E项关系之一。</w:t>
      </w:r>
    </w:p>
    <w:p>
      <w:pPr>
        <w:pStyle w:val="8"/>
        <w:widowControl/>
        <w:ind w:firstLineChars="200"/>
        <w:jc w:val="left"/>
        <w:rPr>
          <w:rFonts w:hint="eastAsia" w:ascii="宋体" w:hAnsi="宋体"/>
          <w:color w:val="000000"/>
        </w:rPr>
      </w:pPr>
      <w:r>
        <w:rPr>
          <w:rFonts w:hint="eastAsia" w:ascii="宋体" w:hAnsi="宋体"/>
          <w:color w:val="000000"/>
        </w:rPr>
        <w:t>G．双方在实质上具有其他共同利益。</w:t>
      </w:r>
    </w:p>
    <w:p>
      <w:pPr>
        <w:pStyle w:val="8"/>
        <w:widowControl/>
        <w:ind w:firstLineChars="200"/>
        <w:jc w:val="left"/>
        <w:rPr>
          <w:rFonts w:hint="eastAsia" w:ascii="宋体" w:hAnsi="宋体"/>
          <w:color w:val="000000"/>
        </w:rPr>
      </w:pPr>
      <w:r>
        <w:rPr>
          <w:rFonts w:hint="eastAsia" w:ascii="宋体" w:hAnsi="宋体"/>
          <w:color w:val="000000"/>
        </w:rPr>
        <w:t>除B项规定外，上述关联关系年度内发生变化的，按照关联关系实际存续期间认定。</w:t>
      </w:r>
    </w:p>
    <w:p>
      <w:pPr>
        <w:pStyle w:val="8"/>
        <w:widowControl/>
        <w:ind w:firstLineChars="200"/>
        <w:jc w:val="left"/>
        <w:rPr>
          <w:rFonts w:hint="eastAsia" w:ascii="宋体" w:hAnsi="宋体"/>
          <w:color w:val="000000"/>
        </w:rPr>
      </w:pPr>
      <w:r>
        <w:rPr>
          <w:rFonts w:hint="eastAsia" w:ascii="宋体" w:hAnsi="宋体"/>
          <w:color w:val="000000"/>
        </w:rPr>
        <w:t>仅因国家持股或者由国有资产管理部门委派董事、高级管理人员而存在第A至E项关系的，不构成关联关系。</w:t>
      </w:r>
    </w:p>
    <w:p>
      <w:pPr>
        <w:pStyle w:val="8"/>
        <w:widowControl/>
        <w:ind w:firstLineChars="200"/>
        <w:jc w:val="left"/>
        <w:rPr>
          <w:rFonts w:hint="eastAsia" w:ascii="宋体" w:hAnsi="宋体"/>
          <w:color w:val="000000"/>
        </w:rPr>
      </w:pPr>
      <w:r>
        <w:rPr>
          <w:rFonts w:hint="eastAsia" w:ascii="宋体" w:hAnsi="宋体"/>
          <w:color w:val="000000"/>
        </w:rPr>
        <w:t>四、“与企业年度关联业务往来报告是否一致”： 在相应的方框内勾选。</w:t>
      </w:r>
    </w:p>
    <w:p>
      <w:pPr>
        <w:pStyle w:val="8"/>
        <w:widowControl/>
        <w:ind w:firstLineChars="200"/>
        <w:jc w:val="left"/>
        <w:rPr>
          <w:rFonts w:hint="eastAsia" w:ascii="宋体" w:hAnsi="宋体"/>
          <w:color w:val="000000"/>
        </w:rPr>
      </w:pPr>
      <w:r>
        <w:rPr>
          <w:rFonts w:hint="eastAsia" w:ascii="宋体" w:hAnsi="宋体"/>
          <w:color w:val="000000"/>
        </w:rPr>
        <w:t>五、“备注”：如说明关联关系年度内发生变化情况等。</w:t>
      </w:r>
    </w:p>
    <w:p>
      <w:pPr>
        <w:pStyle w:val="8"/>
        <w:widowControl/>
        <w:ind w:firstLineChars="200"/>
        <w:jc w:val="left"/>
        <w:rPr>
          <w:rFonts w:hint="eastAsia" w:ascii="宋体" w:hAnsi="宋体"/>
          <w:color w:val="000000"/>
        </w:rPr>
      </w:pPr>
      <w:r>
        <w:rPr>
          <w:rFonts w:hint="eastAsia" w:ascii="宋体" w:hAnsi="宋体"/>
          <w:color w:val="000000"/>
        </w:rPr>
        <w:t>六、本表由税务机关调查人员审核认定时填制，并由被调查企业确认签章。被调查企业拒绝确认的，由两名以上调查人员签字，并注明被调查企业拒签理由。</w:t>
      </w:r>
    </w:p>
    <w:p>
      <w:pPr>
        <w:pStyle w:val="8"/>
        <w:widowControl/>
        <w:ind w:firstLineChars="200"/>
        <w:jc w:val="left"/>
        <w:rPr>
          <w:rFonts w:ascii="宋体" w:hAnsi="宋体"/>
          <w:color w:val="000000"/>
        </w:rPr>
        <w:sectPr>
          <w:pgSz w:w="11906" w:h="16838"/>
          <w:pgMar w:top="1440" w:right="1800" w:bottom="1440" w:left="1800" w:header="851" w:footer="992" w:gutter="0"/>
          <w:cols w:space="425" w:num="1"/>
          <w:docGrid w:type="lines" w:linePitch="312" w:charSpace="0"/>
        </w:sectPr>
      </w:pPr>
      <w:r>
        <w:rPr>
          <w:rFonts w:hint="eastAsia" w:ascii="宋体" w:hAnsi="宋体"/>
          <w:color w:val="000000"/>
        </w:rPr>
        <w:t>七、本表为A4竖式，一式一份，由税务机关归档。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2302C"/>
    <w:rsid w:val="5132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qFormat/>
    <w:uiPriority w:val="0"/>
    <w:pPr>
      <w:ind w:firstLine="420"/>
    </w:pPr>
    <w:rPr>
      <w:rFonts w:ascii="Arial" w:hAnsi="Arial"/>
      <w:szCs w:val="24"/>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2019-11-05T02:14:00Z</dcterms:created>
  <dc:creator>陈莉佳</dc:creator>
  <cp:lastModifiedBy>陈莉佳</cp:lastModifiedBy>
  <dcterms:modified xsi:type="dcterms:W3CDTF">2019-11-05T02:14:45Z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