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A10089《特别纳税调整立案审核表》</w:t>
      </w:r>
    </w:p>
    <w:p>
      <w:pPr>
        <w:pStyle w:val="9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特别纳税调整立案审核表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348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第一部分：调查类型</w:t>
            </w:r>
          </w:p>
        </w:tc>
        <w:tc>
          <w:tcPr>
            <w:tcW w:w="4982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第二部分：基本情况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调查期间：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</w:rPr>
              <w:t>年至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纳税人名称：</w:t>
            </w:r>
          </w:p>
        </w:tc>
        <w:tc>
          <w:tcPr>
            <w:tcW w:w="4634" w:type="dxa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纳税人识别号（统一社会信用代码）：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经营地址：</w:t>
            </w:r>
          </w:p>
        </w:tc>
        <w:tc>
          <w:tcPr>
            <w:tcW w:w="4634" w:type="dxa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注册资本：币种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 xml:space="preserve">  金额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华文仿宋" w:eastAsia="仿宋_GB231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登记注册类型：</w:t>
            </w:r>
          </w:p>
        </w:tc>
        <w:tc>
          <w:tcPr>
            <w:tcW w:w="4634" w:type="dxa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开业时间：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</w:rPr>
              <w:t>年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法定代表人：</w:t>
            </w:r>
          </w:p>
        </w:tc>
        <w:tc>
          <w:tcPr>
            <w:tcW w:w="4634" w:type="dxa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财务负责人：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联系电话：</w:t>
            </w:r>
          </w:p>
        </w:tc>
        <w:tc>
          <w:tcPr>
            <w:tcW w:w="4634" w:type="dxa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shd w:val="clear" w:color="auto" w:fill="auto"/>
            <w:noWrap w:val="0"/>
            <w:vAlign w:val="top"/>
          </w:tcPr>
          <w:p>
            <w:pPr>
              <w:pStyle w:val="9"/>
              <w:spacing w:before="60" w:after="6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主管税务机关：</w:t>
            </w:r>
          </w:p>
        </w:tc>
        <w:tc>
          <w:tcPr>
            <w:tcW w:w="4634" w:type="dxa"/>
            <w:shd w:val="clear" w:color="auto" w:fill="auto"/>
            <w:noWrap w:val="0"/>
            <w:vAlign w:val="top"/>
          </w:tcPr>
          <w:p>
            <w:pPr>
              <w:pStyle w:val="9"/>
              <w:spacing w:before="60" w:after="6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所属行业：</w:t>
            </w:r>
            <w:r>
              <w:rPr>
                <w:rFonts w:hint="eastAsia" w:ascii="仿宋_GB2312" w:hAnsi="华文仿宋" w:eastAsia="仿宋_GB2312"/>
              </w:rPr>
              <w:t>行业代码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华文仿宋" w:eastAsia="仿宋_GB2312"/>
              </w:rPr>
              <w:t xml:space="preserve">  行业名称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投资构成 (投资方名称、投资方所在国家地区、投资比例) ：</w:t>
            </w:r>
          </w:p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主营业务范围及享受税收优惠政策：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 xml:space="preserve">中介代理机构： 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</w:t>
            </w:r>
            <w:r>
              <w:rPr>
                <w:rFonts w:hint="eastAsia" w:ascii="仿宋_GB2312" w:hAnsi="华文仿宋" w:eastAsia="仿宋_GB2312"/>
              </w:rPr>
              <w:t xml:space="preserve">  代理人员姓名：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</w:t>
            </w:r>
          </w:p>
          <w:p>
            <w:pPr>
              <w:pStyle w:val="9"/>
              <w:spacing w:before="60" w:after="60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联系电话：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华文仿宋" w:eastAsia="仿宋_GB2312"/>
              </w:rPr>
              <w:t xml:space="preserve">  电子邮箱：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第三部分：案件情况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调查情况简述：</w:t>
            </w:r>
          </w:p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</w:p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主要避税嫌疑：</w:t>
            </w:r>
          </w:p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第四部分：审核情况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主管税务机关意见：</w:t>
            </w:r>
          </w:p>
          <w:p>
            <w:pPr>
              <w:pStyle w:val="9"/>
              <w:spacing w:before="60" w:after="60"/>
              <w:ind w:firstLine="552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华文仿宋" w:eastAsia="仿宋_GB2312"/>
              </w:rPr>
              <w:t>年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地市（州、区）税务机关意见：</w:t>
            </w:r>
          </w:p>
          <w:p>
            <w:pPr>
              <w:pStyle w:val="9"/>
              <w:spacing w:before="60" w:after="60"/>
              <w:ind w:firstLine="540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  <w:u w:val="single"/>
              </w:rPr>
              <w:t xml:space="preserve">          </w:t>
            </w:r>
            <w:r>
              <w:rPr>
                <w:rFonts w:hint="eastAsia" w:ascii="仿宋_GB2312" w:hAnsi="华文仿宋" w:eastAsia="仿宋_GB2312"/>
              </w:rPr>
              <w:t>年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省（自治区、直辖市、计划单列市）税务机关意见：</w:t>
            </w:r>
          </w:p>
          <w:p>
            <w:pPr>
              <w:pStyle w:val="9"/>
              <w:spacing w:before="60" w:after="60"/>
              <w:ind w:firstLine="540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  <w:u w:val="single"/>
              </w:rPr>
              <w:t xml:space="preserve">          </w:t>
            </w:r>
            <w:r>
              <w:rPr>
                <w:rFonts w:hint="eastAsia" w:ascii="仿宋_GB2312" w:hAnsi="华文仿宋" w:eastAsia="仿宋_GB2312"/>
              </w:rPr>
              <w:t>年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税务总局意见：</w:t>
            </w:r>
          </w:p>
          <w:p>
            <w:pPr>
              <w:pStyle w:val="9"/>
              <w:spacing w:before="60" w:after="60"/>
              <w:jc w:val="righ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  <w:u w:val="single"/>
              </w:rPr>
              <w:t xml:space="preserve">          </w:t>
            </w:r>
            <w:r>
              <w:rPr>
                <w:rFonts w:hint="eastAsia" w:ascii="仿宋_GB2312" w:hAnsi="华文仿宋" w:eastAsia="仿宋_GB2312"/>
              </w:rPr>
              <w:t>年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pacing w:before="60" w:after="60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第五部分：附件</w:t>
            </w:r>
          </w:p>
        </w:tc>
      </w:tr>
    </w:tbl>
    <w:p>
      <w:pPr>
        <w:pStyle w:val="6"/>
        <w:ind w:firstLine="422" w:firstLineChars="200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一、本表适用于特别纳税调整的立案审核。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调查类型：分成五大类，分别为“转让定价”“成本分摊协议”“受控外国企业”“资本弱化”“一般反避税”；各大类又分若干小类，具体如下：成本分摊协议分为无形资产、集团采购和集团营销策划；资本弱化分为金融企业和非金融企业；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一般反避税分为滥用税收优惠、滥用税收协定、滥用公司组织形式、利用避税港避税和其他不具有合理商业目的的安排。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三、所属行业按照国民经济标准行业分类码及名称填报。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四、投资构成需要列明各投资方名称、投资方所在国家（地区）和投资比例。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五、代理案件的中介机构情况，如果没有则填无。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六、附件是指与本立案审核表一并上报的其他资料，如立案报告等有关资料。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20B65"/>
    <w:rsid w:val="26C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2019-11-05T02:23:00Z</dcterms:created>
  <dc:creator>陈莉佳</dc:creator>
  <cp:lastModifiedBy>陈莉佳</cp:lastModifiedBy>
  <dcterms:modified xsi:type="dcterms:W3CDTF">2019-11-05T02:23:12Z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