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eastAsia="宋体"/>
        </w:rPr>
      </w:pPr>
      <w:r>
        <w:rPr>
          <w:rFonts w:hint="eastAsia" w:ascii="宋体" w:eastAsia="宋体"/>
        </w:rPr>
        <w:t>A12079《协助执行通知书（一）》</w:t>
      </w:r>
    </w:p>
    <w:p>
      <w:pPr>
        <w:jc w:val="center"/>
        <w:rPr>
          <w:rFonts w:hint="eastAsia" w:ascii="宋体" w:hAnsi="宋体"/>
          <w:b/>
          <w:spacing w:val="20"/>
          <w:sz w:val="44"/>
        </w:rPr>
      </w:pPr>
      <w:bookmarkStart w:id="0" w:name="_GoBack"/>
      <w:bookmarkEnd w:id="0"/>
      <w:r>
        <w:rPr>
          <w:rFonts w:hint="eastAsia" w:ascii="宋体" w:hAnsi="宋体"/>
          <w:b/>
          <w:spacing w:val="20"/>
          <w:sz w:val="44"/>
          <w:u w:val="single"/>
        </w:rPr>
        <w:t xml:space="preserve">             </w:t>
      </w:r>
      <w:r>
        <w:rPr>
          <w:rFonts w:hint="eastAsia" w:ascii="宋体" w:hAnsi="宋体"/>
          <w:b/>
          <w:spacing w:val="20"/>
          <w:sz w:val="44"/>
        </w:rPr>
        <w:t>税务局（稽查局）</w:t>
      </w:r>
    </w:p>
    <w:p>
      <w:pPr>
        <w:jc w:val="center"/>
        <w:rPr>
          <w:rFonts w:hint="eastAsia" w:ascii="宋体" w:hAnsi="宋体"/>
          <w:b/>
          <w:spacing w:val="20"/>
          <w:sz w:val="52"/>
        </w:rPr>
      </w:pPr>
      <w:r>
        <w:rPr>
          <w:rFonts w:hint="eastAsia" w:ascii="宋体" w:hAnsi="宋体"/>
          <w:b/>
          <w:spacing w:val="20"/>
          <w:sz w:val="52"/>
        </w:rPr>
        <w:t>协助执行通知书</w:t>
      </w:r>
    </w:p>
    <w:p>
      <w:pPr>
        <w:pStyle w:val="9"/>
        <w:spacing w:before="80"/>
        <w:jc w:val="center"/>
        <w:rPr>
          <w:color w:val="000000"/>
          <w:sz w:val="21"/>
          <w:szCs w:val="22"/>
        </w:rPr>
      </w:pPr>
      <w:r>
        <w:rPr>
          <w:rFonts w:hint="eastAsia" w:ascii="仿宋_GB2312" w:eastAsia="仿宋_GB2312"/>
          <w:color w:val="000000"/>
          <w:spacing w:val="20"/>
          <w:sz w:val="32"/>
          <w:szCs w:val="32"/>
          <w:u w:val="single"/>
        </w:rPr>
        <w:t xml:space="preserve">     </w:t>
      </w:r>
      <w:r>
        <w:rPr>
          <w:rFonts w:hint="eastAsia" w:ascii="仿宋_GB2312" w:eastAsia="仿宋_GB2312"/>
          <w:color w:val="000000"/>
          <w:spacing w:val="20"/>
          <w:sz w:val="32"/>
          <w:szCs w:val="32"/>
        </w:rPr>
        <w:t>税协一〔    〕  号</w:t>
      </w:r>
    </w:p>
    <w:p>
      <w:pPr>
        <w:pStyle w:val="9"/>
        <w:ind w:left="425" w:hanging="425"/>
        <w:rPr>
          <w:color w:val="000000"/>
          <w:sz w:val="21"/>
          <w:szCs w:val="2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 </w:t>
      </w:r>
    </w:p>
    <w:p>
      <w:pPr>
        <w:pStyle w:val="9"/>
        <w:ind w:left="425" w:hanging="425"/>
        <w:rPr>
          <w:color w:val="000000"/>
          <w:sz w:val="21"/>
          <w:szCs w:val="2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                </w:t>
      </w:r>
      <w:r>
        <w:rPr>
          <w:rFonts w:hint="eastAsia" w:ascii="仿宋_GB2312" w:eastAsia="仿宋_GB2312"/>
          <w:color w:val="000000"/>
          <w:sz w:val="32"/>
          <w:szCs w:val="32"/>
        </w:rPr>
        <w:t> ：</w:t>
      </w:r>
    </w:p>
    <w:p>
      <w:pPr>
        <w:pStyle w:val="9"/>
        <w:spacing w:before="80"/>
        <w:ind w:firstLine="640"/>
        <w:rPr>
          <w:color w:val="000000"/>
          <w:sz w:val="21"/>
          <w:szCs w:val="2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我局已依法对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           </w:t>
      </w:r>
      <w:r>
        <w:rPr>
          <w:rFonts w:hint="eastAsia" w:ascii="仿宋_GB2312" w:eastAsia="仿宋_GB2312"/>
          <w:color w:val="000000"/>
          <w:szCs w:val="22"/>
          <w:u w:val="single"/>
        </w:rPr>
        <w:t>               </w:t>
      </w:r>
      <w:r>
        <w:rPr>
          <w:rFonts w:hint="eastAsia"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                  </w:t>
      </w:r>
      <w:r>
        <w:rPr>
          <w:rFonts w:hint="eastAsia" w:ascii="仿宋_GB2312" w:eastAsia="仿宋_GB2312"/>
          <w:color w:val="000000"/>
          <w:sz w:val="32"/>
          <w:szCs w:val="32"/>
        </w:rPr>
        <w:t>实施查封、扣押。根据《中华人民共和国税收征收管理法实施细则》第六十六条规定，在查封、扣押期间请不再办理该动产或不动产的过户手续。</w:t>
      </w:r>
    </w:p>
    <w:p>
      <w:pPr>
        <w:pStyle w:val="9"/>
        <w:ind w:firstLine="640"/>
        <w:rPr>
          <w:color w:val="000000"/>
          <w:sz w:val="21"/>
          <w:szCs w:val="2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附件：《税收保全措施决定书（查封/扣押适用）》（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    </w:t>
      </w:r>
      <w:r>
        <w:rPr>
          <w:rFonts w:hint="eastAsia" w:ascii="仿宋_GB2312" w:eastAsia="仿宋_GB2312"/>
          <w:color w:val="000000"/>
          <w:sz w:val="32"/>
          <w:szCs w:val="32"/>
        </w:rPr>
        <w:t>税保封〔    〕   号）</w:t>
      </w:r>
    </w:p>
    <w:p>
      <w:pPr>
        <w:pStyle w:val="9"/>
        <w:ind w:left="425" w:hanging="425"/>
        <w:rPr>
          <w:color w:val="000000"/>
          <w:sz w:val="21"/>
          <w:szCs w:val="2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 </w:t>
      </w:r>
    </w:p>
    <w:p>
      <w:pPr>
        <w:pStyle w:val="9"/>
        <w:ind w:left="425" w:hanging="425"/>
        <w:rPr>
          <w:color w:val="000000"/>
          <w:sz w:val="21"/>
          <w:szCs w:val="2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 </w:t>
      </w:r>
    </w:p>
    <w:p>
      <w:pPr>
        <w:pStyle w:val="9"/>
        <w:ind w:left="460" w:firstLine="1280"/>
        <w:rPr>
          <w:color w:val="000000"/>
          <w:sz w:val="21"/>
          <w:szCs w:val="2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                    税务机关（签章）</w:t>
      </w:r>
    </w:p>
    <w:p>
      <w:pPr>
        <w:pStyle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                                        年    月    日</w:t>
      </w:r>
    </w:p>
    <w:p>
      <w:pPr>
        <w:pStyle w:val="6"/>
        <w:ind w:firstLine="422"/>
        <w:rPr>
          <w:rFonts w:hint="eastAsia" w:ascii="宋体" w:eastAsia="宋体"/>
        </w:rPr>
      </w:pPr>
      <w:r>
        <w:rPr>
          <w:rFonts w:hint="eastAsia" w:ascii="宋体" w:eastAsia="宋体"/>
        </w:rPr>
        <w:t>【表单说明】</w:t>
      </w:r>
    </w:p>
    <w:p>
      <w:pPr>
        <w:pStyle w:val="8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1．本通知书依据《中华人民共和国税收征收管理法》第五条、《中华人民共和国税收征收管理法实施细则》第六十六条设置。</w:t>
      </w:r>
    </w:p>
    <w:p>
      <w:pPr>
        <w:pStyle w:val="8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2．适用范围：税务机关在通知有关机关协助执行税收保全、强制执行措施时使用。</w:t>
      </w:r>
    </w:p>
    <w:p>
      <w:pPr>
        <w:pStyle w:val="8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3．抬头：填写应通知的有关机关的具体名称，如：房地产管理、车辆管理等机关。</w:t>
      </w:r>
    </w:p>
    <w:p>
      <w:pPr>
        <w:pStyle w:val="8"/>
        <w:ind w:firstLineChars="200"/>
        <w:rPr>
          <w:rFonts w:ascii="宋体" w:hAnsi="宋体"/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000000"/>
        </w:rPr>
        <w:t>4．“我局已依法对        的        实施查封、扣押”中第一横线处填写被查封、扣押商品、货物或者其他财产的纳税人的具体名称；第二横线处填写被查封、扣押商品、货物或者其他财产的具。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F3276"/>
    <w:rsid w:val="36C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customStyle="1" w:styleId="5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">
    <w:name w:val="一级标题_0"/>
    <w:basedOn w:val="5"/>
    <w:qFormat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7">
    <w:name w:val="二级标题_0"/>
    <w:basedOn w:val="5"/>
    <w:qFormat/>
    <w:uiPriority w:val="0"/>
    <w:pPr>
      <w:ind w:firstLine="420"/>
      <w:outlineLvl w:val="3"/>
    </w:pPr>
    <w:rPr>
      <w:rFonts w:ascii="Arial" w:hAnsi="Arial" w:cs="Arial"/>
    </w:rPr>
  </w:style>
  <w:style w:type="paragraph" w:customStyle="1" w:styleId="8">
    <w:name w:val="需求正文_0"/>
    <w:basedOn w:val="5"/>
    <w:uiPriority w:val="0"/>
    <w:pPr>
      <w:ind w:firstLine="420"/>
    </w:pPr>
    <w:rPr>
      <w:rFonts w:ascii="Arial" w:hAnsi="Arial" w:eastAsia="宋体"/>
      <w:kern w:val="2"/>
      <w:sz w:val="21"/>
    </w:rPr>
  </w:style>
  <w:style w:type="paragraph" w:customStyle="1" w:styleId="9">
    <w:name w:val="正文_0_0_0"/>
    <w:qFormat/>
    <w:uiPriority w:val="0"/>
    <w:rPr>
      <w:rFonts w:ascii="Times New Roman" w:hAnsi="Times New Roman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2019-11-06T02:54:00Z</dcterms:created>
  <dc:creator>陈莉佳</dc:creator>
  <cp:lastModifiedBy>陈莉佳</cp:lastModifiedBy>
  <dcterms:modified xsi:type="dcterms:W3CDTF">2019-11-06T02:55:09Z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