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eastAsia="宋体"/>
        </w:rPr>
      </w:pPr>
      <w:r>
        <w:rPr>
          <w:rFonts w:hint="eastAsia" w:ascii="宋体" w:eastAsia="宋体"/>
        </w:rPr>
        <w:t>A12080《协助执行通知书（二）》</w:t>
      </w:r>
    </w:p>
    <w:p>
      <w:pPr>
        <w:jc w:val="center"/>
        <w:rPr>
          <w:rFonts w:hint="eastAsia" w:ascii="宋体" w:hAnsi="宋体"/>
          <w:b/>
          <w:spacing w:val="20"/>
          <w:sz w:val="44"/>
        </w:rPr>
      </w:pPr>
      <w:bookmarkStart w:id="0" w:name="_GoBack"/>
      <w:bookmarkEnd w:id="0"/>
      <w:r>
        <w:rPr>
          <w:rFonts w:hint="eastAsia" w:ascii="宋体" w:hAnsi="宋体"/>
          <w:b/>
          <w:spacing w:val="20"/>
          <w:sz w:val="44"/>
          <w:u w:val="single"/>
        </w:rPr>
        <w:t xml:space="preserve">        </w:t>
      </w:r>
      <w:r>
        <w:rPr>
          <w:rFonts w:hint="eastAsia" w:ascii="宋体" w:hAnsi="宋体"/>
          <w:b/>
          <w:spacing w:val="20"/>
          <w:sz w:val="44"/>
        </w:rPr>
        <w:t>税务局（稽查局）</w:t>
      </w:r>
    </w:p>
    <w:p>
      <w:pPr>
        <w:jc w:val="center"/>
        <w:rPr>
          <w:rFonts w:hint="eastAsia" w:ascii="宋体" w:hAnsi="宋体"/>
          <w:b/>
          <w:spacing w:val="20"/>
          <w:sz w:val="52"/>
        </w:rPr>
      </w:pPr>
      <w:r>
        <w:rPr>
          <w:rFonts w:hint="eastAsia" w:ascii="宋体" w:hAnsi="宋体"/>
          <w:b/>
          <w:spacing w:val="20"/>
          <w:sz w:val="52"/>
        </w:rPr>
        <w:t>协助执行通知书</w:t>
      </w:r>
    </w:p>
    <w:p>
      <w:pPr>
        <w:pStyle w:val="9"/>
        <w:spacing w:before="80"/>
        <w:jc w:val="center"/>
        <w:rPr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pacing w:val="20"/>
          <w:sz w:val="32"/>
          <w:szCs w:val="32"/>
          <w:u w:val="single"/>
        </w:rPr>
        <w:t xml:space="preserve">     </w:t>
      </w:r>
      <w:r>
        <w:rPr>
          <w:rFonts w:hint="eastAsia" w:ascii="宋体" w:hAnsi="宋体"/>
          <w:color w:val="000000"/>
          <w:spacing w:val="20"/>
          <w:sz w:val="32"/>
          <w:szCs w:val="32"/>
        </w:rPr>
        <w:t>税协二〔    〕  号</w:t>
      </w:r>
    </w:p>
    <w:p>
      <w:pPr>
        <w:pStyle w:val="9"/>
        <w:ind w:left="425" w:hanging="425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 </w:t>
      </w:r>
    </w:p>
    <w:p>
      <w:pPr>
        <w:pStyle w:val="9"/>
        <w:ind w:left="425" w:hanging="425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宋体" w:hAnsi="宋体"/>
          <w:color w:val="000000"/>
          <w:sz w:val="28"/>
          <w:szCs w:val="28"/>
        </w:rPr>
        <w:t> ：</w:t>
      </w:r>
    </w:p>
    <w:p>
      <w:pPr>
        <w:pStyle w:val="9"/>
        <w:ind w:firstLine="576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                                </w:t>
      </w:r>
      <w:r>
        <w:rPr>
          <w:rFonts w:hint="eastAsia" w:ascii="宋体" w:hAnsi="宋体"/>
          <w:color w:val="000000"/>
          <w:sz w:val="28"/>
          <w:szCs w:val="28"/>
        </w:rPr>
        <w:t>规定，我局已依法解除对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                                </w:t>
      </w:r>
      <w:r>
        <w:rPr>
          <w:rFonts w:hint="eastAsia" w:ascii="宋体" w:hAnsi="宋体"/>
          <w:color w:val="000000"/>
          <w:sz w:val="28"/>
          <w:szCs w:val="28"/>
        </w:rPr>
        <w:t>的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               </w:t>
      </w:r>
      <w:r>
        <w:rPr>
          <w:rFonts w:hint="eastAsia" w:ascii="宋体" w:hAnsi="宋体"/>
          <w:color w:val="000000"/>
          <w:sz w:val="28"/>
          <w:szCs w:val="28"/>
        </w:rPr>
        <w:t>实施的查封、扣押，请解除对该动产或不动产的过户限制。</w:t>
      </w:r>
    </w:p>
    <w:p>
      <w:pPr>
        <w:pStyle w:val="9"/>
        <w:ind w:firstLine="64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附件：《解除税收保全措施决定书（查封/扣押适用）》（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    </w:t>
      </w:r>
      <w:r>
        <w:rPr>
          <w:rFonts w:hint="eastAsia" w:ascii="宋体" w:hAnsi="宋体"/>
          <w:color w:val="000000"/>
          <w:sz w:val="28"/>
          <w:szCs w:val="28"/>
        </w:rPr>
        <w:t>税解保封〔    〕   号）</w:t>
      </w:r>
    </w:p>
    <w:p>
      <w:pPr>
        <w:pStyle w:val="9"/>
        <w:ind w:firstLine="640"/>
        <w:rPr>
          <w:rFonts w:ascii="宋体" w:hAnsi="宋体"/>
          <w:color w:val="000000"/>
          <w:sz w:val="28"/>
          <w:szCs w:val="28"/>
        </w:rPr>
      </w:pPr>
    </w:p>
    <w:p>
      <w:pPr>
        <w:pStyle w:val="9"/>
        <w:ind w:firstLine="640"/>
        <w:rPr>
          <w:color w:val="000000"/>
          <w:sz w:val="28"/>
          <w:szCs w:val="28"/>
        </w:rPr>
      </w:pPr>
    </w:p>
    <w:p>
      <w:pPr>
        <w:pStyle w:val="9"/>
        <w:ind w:firstLine="64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税务机关（签章）</w:t>
      </w:r>
    </w:p>
    <w:p>
      <w:pPr>
        <w:pStyle w:val="9"/>
        <w:ind w:firstLine="640"/>
        <w:jc w:val="right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年    月    日</w:t>
      </w:r>
    </w:p>
    <w:p>
      <w:pPr>
        <w:pStyle w:val="6"/>
        <w:ind w:firstLine="422"/>
        <w:rPr>
          <w:rFonts w:hint="eastAsia" w:ascii="宋体" w:eastAsia="宋体"/>
        </w:rPr>
      </w:pPr>
      <w:r>
        <w:rPr>
          <w:rFonts w:hint="eastAsia" w:ascii="宋体" w:eastAsia="宋体"/>
        </w:rPr>
        <w:t>【表单说明】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1．本通知书依据《中华人民共和国税收征收管理法》第五条、《中华人民共和国税收征收管理法实施细则》第六十六条设置。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2．适用范围：税务机关在通知有关机关协助执行解除税收保全措施时使用。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3．抬头填写应通知的有关机关的具体名称，如：房地产管理、车辆管理等机关。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4．“根据        规定”横线处填写解除查封、扣押的法律依据。一般填写《中华人民共和国税收征收管理法》第三十八条、第四十条等条款。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5．“我局已依法解除对        的        实施查封、扣押”中第一横线处填写被查封、扣押商品、货物或者其他财产纳税人的具体名称；第二横线处填写被查封、扣押商品、货物或者其他财产的具体名称。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6．本通知书与《解除税收保全措施决定书（查封/扣押适用）》、《税务文书送达回证》一并使用。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7．文书字轨设为“协二”，稽查局使用设为“稽协二”。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8．本通知书为A4竖式，一式二份，一份随同《解除税收保全措施决定书（查封/扣押适用）》送协助执行机关，一份装入卷宗。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65140"/>
    <w:rsid w:val="3086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2019-11-06T02:55:00Z</dcterms:created>
  <dc:creator>陈莉佳</dc:creator>
  <cp:lastModifiedBy>陈莉佳</cp:lastModifiedBy>
  <dcterms:modified xsi:type="dcterms:W3CDTF">2019-11-06T02:55:55Z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