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center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关于《国家税务总局潮州市税务局</w:t>
      </w:r>
      <w:r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潮州市住房和城乡建设局关于发布潮州市</w:t>
      </w:r>
      <w:r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19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年土地增值税扣除</w:t>
      </w:r>
    </w:p>
    <w:p>
      <w:pPr>
        <w:widowControl/>
        <w:spacing w:line="384" w:lineRule="auto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项目金额标准的公告》的解读</w:t>
      </w:r>
      <w:r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  <w:t xml:space="preserve"> </w:t>
      </w:r>
    </w:p>
    <w:p>
      <w:pPr>
        <w:widowControl/>
        <w:spacing w:after="180" w:line="480" w:lineRule="auto"/>
        <w:ind w:firstLine="48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为便于纳税人和税务机关理解和执行，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现对《国家税务总局潮州市税务局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潮州市住房和城乡建设局关于发布潮州市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年土地增值税扣除项目金额标准的公告》（以下简称《公告》）解读如下：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一、制订《公告》的背景及依据</w:t>
      </w:r>
    </w:p>
    <w:p>
      <w:pPr>
        <w:widowControl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为加强和规范土地增值税清算管理，根据《国家税务总局 建设部关于土地增值税征收管理有关问题的通知》（国税发〔1996〕48号）第二条规定“各级房地产管理部门……按照有关规定严格核算房地产的开发成本和费用，配合税务部门做好土地增值税扣除项目金额的审查工作，防止由于成本费用不实等原因造成土地增值税的流失”，以及《国家税务总局广东省税务局关于发布&lt;国家税务总局广东省税务局土地增值税清算管理规程&gt;的公告》（国家税务总局广东省税务局公告2019年第5号）第五条第三款规定“税务机关可参照当地工程造价指标，结合市场因素，确定前期工程费、建筑安装工程费、基础设施费、开发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接费用的土地增值税扣除项目金额标准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”，国家税务总局潮州市税务局和潮州市住房和城乡建设局联合制发了《公告》。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二、《标准》的适用范围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在土地增值税清算过程中，纳税人符合《中华人民共和国税收征收管理法》第三十五条核定征收条件的，税务机关通过适用本《标准》测算其“土建、安装、装饰装修、市政设施、园林绿化”工程造价，核定纳税人应纳税额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《中华人民共和国税收征收管理法》第三十五条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纳税人有下列情形之一的，税务机关有权核定其应纳税额：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（一）依照法律、行政法规的规定可以不设置账簿的；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（二）依照法律、行政法规的规定应当设置但未设置账簿的；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（三）擅自销毁账簿或者拒不提供纳税资料的；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（四）虽设置账簿，但账目混乱或者成本资料、收入凭证、费用凭证残缺不全，难以查账的；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（五）发生纳税义务，未按照规定的期限办理纳税申报，经税务机关责令限期申报，逾期仍不申报的；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（六）纳税人申报的计税依据明显偏低，又无正当理由的。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三、《标准》的适用时间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税务机关通过本《标准》测算“土建、安装、装饰装修、市政设施、园林绿化”工程造价时，适用房产工程竣工期间所对应年度的《标准》数值。</w:t>
      </w:r>
      <w:r>
        <w:rPr>
          <w:rFonts w:hint="eastAsia" w:ascii="仿宋_GB2312" w:eastAsia="仿宋_GB2312"/>
          <w:sz w:val="32"/>
          <w:szCs w:val="32"/>
        </w:rPr>
        <w:t>如竣工验收时间无对应工程造价的，按竣工验收年度向前追溯的原则，以最接近一个年度工程造价为准。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四、争议解决机制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纳税人对税务机关按照《标准》核定应纳税额有异议的，应当提供相关证据材料，经税务机关认定后，予以调整。上述相关证据材料包括但不限于设计（施工）图、工程量清单、装饰材料清单、绿化苗木清单等。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五、《公告》的执行时间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本公告自公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之日起施行。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1FF"/>
    <w:rsid w:val="000045C8"/>
    <w:rsid w:val="00013112"/>
    <w:rsid w:val="000C3AB5"/>
    <w:rsid w:val="000E77B3"/>
    <w:rsid w:val="000F011D"/>
    <w:rsid w:val="00133AC8"/>
    <w:rsid w:val="001A4623"/>
    <w:rsid w:val="001C746A"/>
    <w:rsid w:val="0025174A"/>
    <w:rsid w:val="00277D95"/>
    <w:rsid w:val="0028514D"/>
    <w:rsid w:val="00294C59"/>
    <w:rsid w:val="00351D5A"/>
    <w:rsid w:val="003B37A4"/>
    <w:rsid w:val="003C7906"/>
    <w:rsid w:val="00497AC2"/>
    <w:rsid w:val="004B1C9C"/>
    <w:rsid w:val="00515AA5"/>
    <w:rsid w:val="00604940"/>
    <w:rsid w:val="0062133F"/>
    <w:rsid w:val="006B5740"/>
    <w:rsid w:val="006D27EF"/>
    <w:rsid w:val="007401EE"/>
    <w:rsid w:val="007A12B3"/>
    <w:rsid w:val="007F33D8"/>
    <w:rsid w:val="0080524C"/>
    <w:rsid w:val="00813050"/>
    <w:rsid w:val="00835921"/>
    <w:rsid w:val="008452B6"/>
    <w:rsid w:val="008527B7"/>
    <w:rsid w:val="00867B6E"/>
    <w:rsid w:val="0087505D"/>
    <w:rsid w:val="008B5222"/>
    <w:rsid w:val="008F53C6"/>
    <w:rsid w:val="00961878"/>
    <w:rsid w:val="009732E5"/>
    <w:rsid w:val="00A24795"/>
    <w:rsid w:val="00A94245"/>
    <w:rsid w:val="00AB1C46"/>
    <w:rsid w:val="00AB4938"/>
    <w:rsid w:val="00B247CB"/>
    <w:rsid w:val="00BB7011"/>
    <w:rsid w:val="00C1772F"/>
    <w:rsid w:val="00C925C3"/>
    <w:rsid w:val="00CB1B04"/>
    <w:rsid w:val="00D33422"/>
    <w:rsid w:val="00D503CE"/>
    <w:rsid w:val="00D65136"/>
    <w:rsid w:val="00D87FBE"/>
    <w:rsid w:val="00DE68E8"/>
    <w:rsid w:val="00E03433"/>
    <w:rsid w:val="00E5104D"/>
    <w:rsid w:val="00EA7C5B"/>
    <w:rsid w:val="00ED3D77"/>
    <w:rsid w:val="00EE41FF"/>
    <w:rsid w:val="00F272A4"/>
    <w:rsid w:val="00F336A2"/>
    <w:rsid w:val="00F404F4"/>
    <w:rsid w:val="00F54743"/>
    <w:rsid w:val="00F96BE1"/>
    <w:rsid w:val="00FF5116"/>
    <w:rsid w:val="13A03CC3"/>
    <w:rsid w:val="191967F1"/>
    <w:rsid w:val="1BA01009"/>
    <w:rsid w:val="3CD3599E"/>
    <w:rsid w:val="3D894A93"/>
    <w:rsid w:val="4A2A3D67"/>
    <w:rsid w:val="735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llcs1"/>
    <w:basedOn w:val="5"/>
    <w:qFormat/>
    <w:uiPriority w:val="99"/>
    <w:rPr>
      <w:rFonts w:cs="Times New Roman"/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166</Words>
  <Characters>948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2019-01-16T01:21:00Z</dcterms:created>
  <dc:creator> </dc:creator>
  <cp:lastModifiedBy>蔡云唐</cp:lastModifiedBy>
  <cp:lastPrinted>2019-01-16T03:06:00Z</cp:lastPrinted>
  <dcterms:modified xsi:type="dcterms:W3CDTF">2022-04-27T02:02:36Z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