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textAlignment w:val="auto"/>
        <w:rPr>
          <w:rFonts w:ascii="华文中宋" w:hAnsi="华文中宋" w:eastAsia="华文中宋"/>
          <w:color w:val="auto"/>
          <w:sz w:val="48"/>
          <w:szCs w:val="48"/>
          <w:highlight w:val="none"/>
          <w:u w:val="none"/>
        </w:rPr>
      </w:pPr>
      <w:r>
        <w:rPr>
          <w:rFonts w:hint="eastAsia" w:ascii="华文中宋" w:hAnsi="华文中宋" w:eastAsia="华文中宋"/>
          <w:color w:val="auto"/>
          <w:sz w:val="48"/>
          <w:szCs w:val="48"/>
          <w:highlight w:val="none"/>
          <w:u w:val="none"/>
        </w:rPr>
        <w:t>国家税务总局</w:t>
      </w:r>
      <w:r>
        <w:rPr>
          <w:rFonts w:hint="eastAsia" w:ascii="华文中宋" w:hAnsi="华文中宋" w:eastAsia="华文中宋"/>
          <w:color w:val="auto"/>
          <w:sz w:val="48"/>
          <w:szCs w:val="48"/>
          <w:highlight w:val="none"/>
          <w:u w:val="none"/>
          <w:lang w:eastAsia="zh-CN"/>
        </w:rPr>
        <w:t>东莞市</w:t>
      </w:r>
      <w:r>
        <w:rPr>
          <w:rFonts w:hint="eastAsia" w:ascii="华文中宋" w:hAnsi="华文中宋" w:eastAsia="华文中宋"/>
          <w:color w:val="auto"/>
          <w:sz w:val="48"/>
          <w:szCs w:val="48"/>
          <w:highlight w:val="none"/>
          <w:u w:val="none"/>
        </w:rPr>
        <w:t>税务局</w:t>
      </w:r>
      <w:r>
        <w:rPr>
          <w:rFonts w:hint="eastAsia" w:ascii="华文中宋" w:hAnsi="华文中宋" w:eastAsia="华文中宋"/>
          <w:color w:val="auto"/>
          <w:sz w:val="48"/>
          <w:szCs w:val="48"/>
          <w:highlight w:val="none"/>
          <w:u w:val="none"/>
          <w:lang w:eastAsia="zh-CN"/>
        </w:rPr>
        <w:t>第二</w:t>
      </w:r>
      <w:r>
        <w:rPr>
          <w:rFonts w:hint="eastAsia" w:ascii="华文中宋" w:hAnsi="华文中宋" w:eastAsia="华文中宋"/>
          <w:color w:val="auto"/>
          <w:sz w:val="48"/>
          <w:szCs w:val="48"/>
          <w:highlight w:val="none"/>
          <w:u w:val="none"/>
        </w:rPr>
        <w:t>稽查局</w:t>
      </w:r>
    </w:p>
    <w:p>
      <w:pPr>
        <w:pStyle w:val="6"/>
        <w:keepNext w:val="0"/>
        <w:keepLines w:val="0"/>
        <w:pageBreakBefore w:val="0"/>
        <w:kinsoku/>
        <w:wordWrap/>
        <w:overflowPunct/>
        <w:topLinePunct w:val="0"/>
        <w:autoSpaceDE/>
        <w:autoSpaceDN/>
        <w:bidi w:val="0"/>
        <w:adjustRightInd/>
        <w:snapToGrid/>
        <w:textAlignment w:val="auto"/>
        <w:rPr>
          <w:rFonts w:hint="eastAsia" w:ascii="华文中宋" w:hAnsi="华文中宋" w:eastAsia="华文中宋"/>
          <w:color w:val="auto"/>
          <w:sz w:val="72"/>
          <w:szCs w:val="72"/>
          <w:highlight w:val="none"/>
          <w:u w:val="none"/>
        </w:rPr>
      </w:pPr>
      <w:r>
        <w:rPr>
          <w:rFonts w:hint="eastAsia" w:ascii="华文中宋" w:hAnsi="华文中宋" w:eastAsia="华文中宋"/>
          <w:color w:val="auto"/>
          <w:sz w:val="72"/>
          <w:szCs w:val="72"/>
          <w:highlight w:val="none"/>
          <w:u w:val="none"/>
        </w:rPr>
        <w:t>税务事项通知书</w:t>
      </w:r>
    </w:p>
    <w:p>
      <w:pPr>
        <w:pStyle w:val="6"/>
        <w:keepNext w:val="0"/>
        <w:keepLines w:val="0"/>
        <w:pageBreakBefore w:val="0"/>
        <w:kinsoku/>
        <w:wordWrap/>
        <w:overflowPunct/>
        <w:topLinePunct w:val="0"/>
        <w:autoSpaceDE/>
        <w:autoSpaceDN/>
        <w:bidi w:val="0"/>
        <w:adjustRightInd/>
        <w:snapToGrid/>
        <w:textAlignment w:val="auto"/>
        <w:rPr>
          <w:rFonts w:hint="eastAsia" w:ascii="华文中宋" w:hAnsi="华文中宋" w:eastAsia="华文中宋"/>
          <w:color w:val="auto"/>
          <w:sz w:val="36"/>
          <w:szCs w:val="36"/>
          <w:highlight w:val="none"/>
          <w:u w:val="none"/>
          <w:lang w:eastAsia="zh-CN"/>
        </w:rPr>
      </w:pPr>
      <w:r>
        <w:rPr>
          <w:rFonts w:hint="eastAsia" w:ascii="华文中宋" w:hAnsi="华文中宋" w:eastAsia="华文中宋"/>
          <w:color w:val="auto"/>
          <w:sz w:val="36"/>
          <w:szCs w:val="36"/>
          <w:highlight w:val="none"/>
          <w:u w:val="none"/>
          <w:lang w:eastAsia="zh-CN"/>
        </w:rPr>
        <w:t>（重大税收违法失信主体确定适用）</w:t>
      </w:r>
    </w:p>
    <w:p>
      <w:pPr>
        <w:pStyle w:val="6"/>
        <w:keepNext w:val="0"/>
        <w:keepLines w:val="0"/>
        <w:pageBreakBefore w:val="0"/>
        <w:kinsoku/>
        <w:wordWrap/>
        <w:overflowPunct/>
        <w:topLinePunct w:val="0"/>
        <w:autoSpaceDE/>
        <w:autoSpaceDN/>
        <w:bidi w:val="0"/>
        <w:adjustRightInd/>
        <w:snapToGrid/>
        <w:jc w:val="center"/>
        <w:textAlignment w:val="auto"/>
        <w:rPr>
          <w:rFonts w:hint="eastAsia" w:ascii="仿宋_GB2312" w:hAnsi="仿宋" w:eastAsia="仿宋_GB2312"/>
          <w:b w:val="0"/>
          <w:color w:val="000000"/>
          <w:kern w:val="2"/>
          <w:sz w:val="32"/>
          <w:szCs w:val="24"/>
          <w:highlight w:val="none"/>
        </w:rPr>
      </w:pPr>
      <w:r>
        <w:rPr>
          <w:rFonts w:hint="eastAsia" w:ascii="仿宋_GB2312" w:hAnsi="仿宋" w:eastAsia="仿宋_GB2312"/>
          <w:b/>
          <w:color w:val="000000"/>
          <w:kern w:val="2"/>
          <w:sz w:val="32"/>
          <w:szCs w:val="24"/>
          <w:highlight w:val="non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387350</wp:posOffset>
                </wp:positionV>
                <wp:extent cx="6181725" cy="18415"/>
                <wp:effectExtent l="0" t="0" r="9525" b="19685"/>
                <wp:wrapNone/>
                <wp:docPr id="1" name="直接连接符 1"/>
                <wp:cNvGraphicFramePr/>
                <a:graphic xmlns:a="http://schemas.openxmlformats.org/drawingml/2006/main">
                  <a:graphicData uri="http://schemas.microsoft.com/office/word/2010/wordprocessingShape">
                    <wps:wsp>
                      <wps:cNvCnPr/>
                      <wps:spPr>
                        <a:xfrm flipV="1">
                          <a:off x="0" y="0"/>
                          <a:ext cx="6181725" cy="18415"/>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30.5pt;height:1.45pt;width:486.75pt;z-index:251659264;mso-width-relative:page;mso-height-relative:page;" filled="f" stroked="t" coordsize="21600,21600" o:gfxdata="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QkyE1AAAAAcBAAAPAAAAAAAAAAEAIAAAACIAAABkcnMvZG93bnJldi54&#10;bWxQSwECFAAUAAAACACHTuJAPFq1S/4BAADzAwAADgAAAAAAAAABACAAAAAjAQAAZHJzL2Uyb0Rv&#10;Yy54bWxQSwUGAAAAAAYABgBZAQAAkwUAAAAA&#10;">
                <v:fill on="f" focussize="0,0"/>
                <v:stroke weight="3pt" color="#000000" joinstyle="round"/>
                <v:imagedata o:title=""/>
                <o:lock v:ext="edit" aspectratio="f"/>
              </v:line>
            </w:pict>
          </mc:Fallback>
        </mc:AlternateContent>
      </w:r>
      <w:r>
        <w:rPr>
          <w:rFonts w:hint="eastAsia" w:ascii="仿宋_GB2312" w:hAnsi="Calibri" w:eastAsia="仿宋_GB2312" w:cs="Times New Roman"/>
          <w:b w:val="0"/>
          <w:kern w:val="2"/>
          <w:sz w:val="32"/>
          <w:szCs w:val="32"/>
          <w:u w:val="none"/>
          <w:lang w:val="en-US" w:eastAsia="zh-CN" w:bidi="ar-SA"/>
        </w:rPr>
        <w:t>东税二稽税通〔2024〕Z72号</w:t>
      </w:r>
    </w:p>
    <w:p>
      <w:pPr>
        <w:spacing w:line="640" w:lineRule="exact"/>
        <w:contextualSpacing/>
        <w:rPr>
          <w:rFonts w:hint="eastAsia" w:ascii="仿宋_GB2312" w:hAnsi="仿宋" w:eastAsia="仿宋_GB2312"/>
          <w:sz w:val="32"/>
          <w:szCs w:val="32"/>
          <w:lang w:val="en-US" w:eastAsia="zh-CN"/>
        </w:rPr>
      </w:pPr>
      <w:bookmarkStart w:id="0" w:name="OLE_LINK1"/>
      <w:r>
        <w:rPr>
          <w:rFonts w:hint="eastAsia" w:ascii="仿宋_GB2312" w:hAnsi="仿宋" w:eastAsia="仿宋_GB2312"/>
          <w:sz w:val="32"/>
          <w:szCs w:val="32"/>
          <w:lang w:val="en-US" w:eastAsia="zh-CN"/>
        </w:rPr>
        <w:t>东莞市迪伦妮娅服饰有限公司</w:t>
      </w:r>
      <w:r>
        <w:rPr>
          <w:rFonts w:hint="default" w:ascii="仿宋_GB2312" w:hAnsi="仿宋"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10160</wp:posOffset>
                </wp:positionV>
                <wp:extent cx="6107430" cy="5715"/>
                <wp:effectExtent l="0" t="4445" r="3810" b="35560"/>
                <wp:wrapNone/>
                <wp:docPr id="2" name="直接箭头连接符 2"/>
                <wp:cNvGraphicFramePr/>
                <a:graphic xmlns:a="http://schemas.openxmlformats.org/drawingml/2006/main">
                  <a:graphicData uri="http://schemas.microsoft.com/office/word/2010/wordprocessingShape">
                    <wps:wsp>
                      <wps:cNvCnPr/>
                      <wps:spPr>
                        <a:xfrm flipV="1">
                          <a:off x="0" y="0"/>
                          <a:ext cx="6107430" cy="5715"/>
                        </a:xfrm>
                        <a:prstGeom prst="straightConnector1">
                          <a:avLst/>
                        </a:prstGeom>
                        <a:ln w="412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0.35pt;margin-top:0.8pt;height:0.45pt;width:480.9pt;z-index:251660288;mso-width-relative:page;mso-height-relative:page;" filled="f" stroked="t" coordsize="21600,21600" o:gfxdata="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&#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svN0gAAAAQBAAAPAAAAAAAAAAEAIAAAACIAAABk&#10;cnMvZG93bnJldi54bWxQSwECFAAUAAAACACHTuJAdRDZhAwCAAAEBAAADgAAAAAAAAABACAAAAAh&#10;AQAAZHJzL2Uyb0RvYy54bWxQSwUGAAAAAAYABgBZAQAAnwUAAAAA&#10;">
                <v:fill on="f" focussize="0,0"/>
                <v:stroke weight="3.25pt" color="#000000" joinstyle="round"/>
                <v:imagedata o:title=""/>
                <o:lock v:ext="edit" aspectratio="f"/>
              </v:shape>
            </w:pict>
          </mc:Fallback>
        </mc:AlternateContent>
      </w:r>
      <w:r>
        <w:rPr>
          <w:rFonts w:hint="eastAsia" w:ascii="仿宋_GB2312" w:hAnsi="仿宋" w:eastAsia="仿宋_GB2312"/>
          <w:sz w:val="32"/>
          <w:szCs w:val="32"/>
          <w:lang w:val="en-US" w:eastAsia="zh-CN"/>
        </w:rPr>
        <w:t>：（纳税人识别号：</w:t>
      </w:r>
      <w:bookmarkStart w:id="1" w:name="nsrsbh"/>
      <w:bookmarkEnd w:id="1"/>
      <w:r>
        <w:rPr>
          <w:rFonts w:hint="eastAsia" w:ascii="仿宋_GB2312" w:hAnsi="仿宋" w:eastAsia="仿宋_GB2312"/>
          <w:sz w:val="32"/>
          <w:szCs w:val="32"/>
          <w:lang w:val="en-US" w:eastAsia="zh-CN"/>
        </w:rPr>
        <w:t>91441900079568714A）</w:t>
      </w:r>
    </w:p>
    <w:p>
      <w:pPr>
        <w:ind w:firstLine="640" w:firstLineChars="200"/>
        <w:jc w:val="left"/>
        <w:rPr>
          <w:rFonts w:hint="eastAsia" w:ascii="仿宋" w:hAnsi="仿宋" w:eastAsia="仿宋"/>
          <w:color w:val="000000"/>
          <w:spacing w:val="-20"/>
          <w:kern w:val="10"/>
          <w:sz w:val="32"/>
          <w:szCs w:val="32"/>
        </w:rPr>
      </w:pPr>
      <w:r>
        <w:rPr>
          <w:rFonts w:hint="eastAsia" w:ascii="仿宋" w:hAnsi="仿宋" w:eastAsia="仿宋"/>
          <w:color w:val="000000"/>
          <w:sz w:val="32"/>
          <w:szCs w:val="32"/>
        </w:rPr>
        <w:t>事由：</w:t>
      </w:r>
      <w:bookmarkStart w:id="2" w:name="sy"/>
      <w:bookmarkEnd w:id="2"/>
      <w:r>
        <w:rPr>
          <w:rFonts w:hint="eastAsia" w:ascii="仿宋" w:hAnsi="仿宋" w:eastAsia="仿宋"/>
          <w:color w:val="000000"/>
          <w:sz w:val="32"/>
          <w:szCs w:val="32"/>
        </w:rPr>
        <w:t>将你单位确定为重大税收违法失信主体。</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依据：</w:t>
      </w:r>
      <w:bookmarkStart w:id="3" w:name="yj"/>
      <w:bookmarkEnd w:id="3"/>
      <w:r>
        <w:rPr>
          <w:rFonts w:hint="eastAsia" w:ascii="仿宋" w:hAnsi="仿宋" w:eastAsia="仿宋"/>
          <w:color w:val="000000"/>
          <w:sz w:val="32"/>
          <w:szCs w:val="32"/>
        </w:rPr>
        <w:t>《重大税收违法失信主体信息公布管理办法》（国家税务总局令2021年第54号）第十条等规定。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24"/>
          <w:highlight w:val="none"/>
          <w:u w:val="none"/>
          <w:lang w:eastAsia="zh-CN"/>
        </w:rPr>
      </w:pPr>
      <w:r>
        <w:rPr>
          <w:rFonts w:hint="eastAsia" w:ascii="仿宋_GB2312" w:hAnsi="宋体" w:eastAsia="仿宋_GB2312"/>
          <w:color w:val="auto"/>
          <w:sz w:val="32"/>
          <w:szCs w:val="24"/>
          <w:highlight w:val="none"/>
          <w:u w:val="none"/>
          <w:lang w:eastAsia="zh-CN"/>
        </w:rPr>
        <w:t>你单位符合《重大税收违法失信主体信息公布管理办法》（国家税务总局令第54号）第六条相关规定，我局将你单位确定为重大税收违法失信主体，向社会公布失信信息（详细信息见附件），将你单位失信信息在国家公共信用信息中心“信用中国”网站公示，并推送至参与联合惩戒部门依法依规采取惩戒措施，税务机关适用 D 级纳税人管理措施（由税务机关纳税信用管理部门按纳税信用相关制度执行）。</w:t>
      </w:r>
    </w:p>
    <w:p>
      <w:pPr>
        <w:ind w:firstLine="640" w:firstLineChars="200"/>
        <w:jc w:val="left"/>
        <w:rPr>
          <w:rFonts w:hint="eastAsia" w:ascii="仿宋_GB2312" w:hAnsi="仿宋" w:eastAsia="仿宋_GB2312"/>
          <w:sz w:val="32"/>
        </w:rPr>
      </w:pPr>
      <w:r>
        <w:rPr>
          <w:rFonts w:hint="eastAsia" w:ascii="仿宋_GB2312" w:hAnsi="仿宋" w:eastAsia="仿宋_GB2312"/>
          <w:sz w:val="32"/>
        </w:rPr>
        <w:t>你单位如对本通知书不服，可以自收到本通知书之日起六十日内依法向国家税务总局东莞市税务局申请行政复议，或者自收到本通知书之日起六个月内依法向人民法院起诉。</w:t>
      </w:r>
    </w:p>
    <w:p>
      <w:pPr>
        <w:ind w:firstLine="640" w:firstLineChars="200"/>
        <w:jc w:val="left"/>
        <w:rPr>
          <w:rFonts w:hint="eastAsia" w:ascii="仿宋_GB2312" w:hAnsi="仿宋" w:eastAsia="仿宋_GB2312"/>
          <w:sz w:val="32"/>
        </w:rPr>
      </w:pPr>
    </w:p>
    <w:p>
      <w:pPr>
        <w:ind w:firstLine="640" w:firstLineChars="200"/>
        <w:jc w:val="left"/>
        <w:rPr>
          <w:rFonts w:hint="eastAsia" w:ascii="仿宋" w:hAnsi="仿宋" w:eastAsia="仿宋"/>
          <w:color w:val="000000"/>
          <w:sz w:val="32"/>
          <w:szCs w:val="32"/>
        </w:rPr>
      </w:pPr>
      <w:r>
        <w:rPr>
          <w:rFonts w:hint="eastAsia" w:ascii="仿宋_GB2312" w:hAnsi="仿宋" w:eastAsia="仿宋_GB2312"/>
          <w:sz w:val="32"/>
        </w:rPr>
        <w:t>附件：公布的失信信息</w:t>
      </w:r>
      <w:r>
        <w:rPr>
          <w:rFonts w:ascii="仿宋" w:hAnsi="仿宋" w:eastAsia="仿宋"/>
          <w:color w:val="000000"/>
          <w:sz w:val="24"/>
        </w:rPr>
        <w:t xml:space="preserve">          </w:t>
      </w:r>
    </w:p>
    <w:p>
      <w:pPr>
        <w:jc w:val="right"/>
        <w:rPr>
          <w:rFonts w:hint="eastAsia" w:ascii="仿宋" w:hAnsi="仿宋" w:eastAsia="仿宋"/>
          <w:color w:val="000000"/>
          <w:sz w:val="32"/>
          <w:szCs w:val="32"/>
        </w:rPr>
      </w:pPr>
      <w:r>
        <w:rPr>
          <w:rFonts w:hint="eastAsia" w:ascii="仿宋" w:hAnsi="仿宋" w:eastAsia="仿宋"/>
          <w:color w:val="000000"/>
          <w:sz w:val="32"/>
          <w:szCs w:val="32"/>
        </w:rPr>
        <w:t xml:space="preserve">国家税务总局东莞市税务局第二稽查局 </w:t>
      </w:r>
    </w:p>
    <w:p>
      <w:pPr>
        <w:wordWrap w:val="0"/>
        <w:ind w:right="55"/>
        <w:jc w:val="right"/>
        <w:rPr>
          <w:rFonts w:hint="eastAsia" w:ascii="仿宋" w:hAnsi="仿宋" w:eastAsia="仿宋"/>
          <w:color w:val="000000"/>
          <w:sz w:val="32"/>
          <w:szCs w:val="32"/>
        </w:rPr>
      </w:pPr>
      <w:bookmarkStart w:id="4" w:name="qsrq"/>
      <w:bookmarkEnd w:id="4"/>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w:t>
      </w:r>
      <w:r>
        <w:rPr>
          <w:rFonts w:hint="eastAsia" w:ascii="仿宋" w:hAnsi="仿宋" w:eastAsia="仿宋"/>
          <w:color w:val="000000"/>
          <w:sz w:val="32"/>
          <w:szCs w:val="32"/>
          <w:highlight w:val="none"/>
          <w:lang w:val="en-US" w:eastAsia="zh-CN"/>
        </w:rPr>
        <w:t>4</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22</w:t>
      </w:r>
      <w:r>
        <w:rPr>
          <w:rFonts w:hint="eastAsia" w:ascii="仿宋" w:hAnsi="仿宋" w:eastAsia="仿宋"/>
          <w:color w:val="000000"/>
          <w:sz w:val="32"/>
          <w:szCs w:val="32"/>
        </w:rPr>
        <w:t xml:space="preserve">日     </w:t>
      </w:r>
    </w:p>
    <w:p>
      <w:pPr>
        <w:ind w:right="55"/>
        <w:rPr>
          <w:rFonts w:hint="eastAsia" w:ascii="黑体" w:hAnsi="黑体" w:eastAsia="黑体" w:cs="黑体"/>
          <w:color w:val="000000"/>
          <w:sz w:val="30"/>
          <w:szCs w:val="30"/>
        </w:rPr>
      </w:pPr>
      <w:r>
        <w:rPr>
          <w:rFonts w:ascii="仿宋" w:hAnsi="仿宋" w:eastAsia="仿宋"/>
          <w:color w:val="000000"/>
          <w:sz w:val="32"/>
          <w:szCs w:val="32"/>
        </w:rPr>
        <w:br w:type="page"/>
      </w:r>
      <w:r>
        <w:rPr>
          <w:rFonts w:hint="eastAsia" w:ascii="黑体" w:hAnsi="黑体" w:eastAsia="黑体" w:cs="黑体"/>
          <w:color w:val="000000"/>
          <w:sz w:val="30"/>
          <w:szCs w:val="30"/>
        </w:rPr>
        <w:t>附件：</w:t>
      </w:r>
    </w:p>
    <w:p>
      <w:pPr>
        <w:pStyle w:val="2"/>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公布的失信信息</w:t>
      </w:r>
    </w:p>
    <w:p>
      <w:pPr>
        <w:numPr>
          <w:ilvl w:val="0"/>
          <w:numId w:val="0"/>
        </w:numPr>
        <w:wordWrap/>
        <w:ind w:right="55" w:rightChars="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val="en-US" w:eastAsia="zh-CN"/>
        </w:rPr>
        <w:t>一、基本情况</w:t>
      </w:r>
    </w:p>
    <w:p>
      <w:pPr>
        <w:spacing w:line="640" w:lineRule="exact"/>
        <w:ind w:firstLine="640" w:firstLineChars="200"/>
        <w:contextualSpacing/>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纳税人名称:东莞市迪伦妮娅服饰有限公司             </w:t>
      </w:r>
    </w:p>
    <w:p>
      <w:pPr>
        <w:spacing w:line="640" w:lineRule="exact"/>
        <w:ind w:firstLine="640" w:firstLineChars="200"/>
        <w:contextualSpacing/>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统一社会信用代码（纳税人识别号）: 91441900079568714A  </w:t>
      </w:r>
    </w:p>
    <w:p>
      <w:pPr>
        <w:spacing w:line="640" w:lineRule="exact"/>
        <w:ind w:firstLine="640" w:firstLineChars="200"/>
        <w:contextualSpacing/>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注册地址: 广东省</w:t>
      </w:r>
      <w:bookmarkStart w:id="5" w:name="OLE_LINK2"/>
      <w:r>
        <w:rPr>
          <w:rFonts w:hint="eastAsia" w:ascii="仿宋_GB2312" w:hAnsi="仿宋" w:eastAsia="仿宋_GB2312"/>
          <w:sz w:val="32"/>
          <w:szCs w:val="32"/>
          <w:lang w:val="en-US" w:eastAsia="zh-CN"/>
        </w:rPr>
        <w:t>东莞市大朗镇竹山社区竹园西11号</w:t>
      </w:r>
    </w:p>
    <w:p>
      <w:pPr>
        <w:spacing w:line="640" w:lineRule="exact"/>
        <w:ind w:firstLine="640" w:firstLineChars="200"/>
        <w:contextualSpacing/>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法定代表人:</w:t>
      </w:r>
      <w:bookmarkEnd w:id="5"/>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"http://86.16.73.2/kfzptweb/" \l "/sygx"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t>莫士奔</w:t>
      </w:r>
      <w:r>
        <w:rPr>
          <w:rFonts w:hint="eastAsia" w:ascii="仿宋_GB2312" w:hAnsi="仿宋" w:eastAsia="仿宋_GB2312"/>
          <w:sz w:val="32"/>
          <w:szCs w:val="32"/>
          <w:lang w:val="en-US" w:eastAsia="zh-CN"/>
        </w:rPr>
        <w:fldChar w:fldCharType="end"/>
      </w:r>
      <w:r>
        <w:rPr>
          <w:rFonts w:hint="eastAsia" w:ascii="仿宋_GB2312" w:hAnsi="仿宋" w:eastAsia="仿宋_GB2312"/>
          <w:sz w:val="32"/>
          <w:szCs w:val="32"/>
          <w:lang w:val="en-US" w:eastAsia="zh-CN"/>
        </w:rPr>
        <w:t>，男性，身份证件号码:452701****</w:t>
      </w:r>
      <w:bookmarkStart w:id="6" w:name="_GoBack"/>
      <w:bookmarkEnd w:id="6"/>
      <w:r>
        <w:rPr>
          <w:rFonts w:hint="eastAsia" w:ascii="仿宋_GB2312" w:hAnsi="仿宋" w:eastAsia="仿宋_GB2312"/>
          <w:sz w:val="32"/>
          <w:szCs w:val="32"/>
          <w:lang w:val="en-US" w:eastAsia="zh-CN"/>
        </w:rPr>
        <w:t>****0513</w:t>
      </w:r>
    </w:p>
    <w:p>
      <w:pPr>
        <w:numPr>
          <w:ilvl w:val="0"/>
          <w:numId w:val="0"/>
        </w:numPr>
        <w:wordWrap/>
        <w:ind w:right="55" w:rightChars="0"/>
        <w:jc w:val="both"/>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highlight w:val="none"/>
          <w:lang w:val="en-US" w:eastAsia="zh-CN"/>
        </w:rPr>
        <w:t>、案件性质</w:t>
      </w:r>
    </w:p>
    <w:p>
      <w:pPr>
        <w:numPr>
          <w:ilvl w:val="0"/>
          <w:numId w:val="0"/>
        </w:numPr>
        <w:wordWrap/>
        <w:ind w:right="55" w:rightChars="0" w:firstLine="64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虚开增值税专用发票或者虚开用于骗取出口退税、抵扣税款的其他发票</w:t>
      </w:r>
    </w:p>
    <w:p>
      <w:pPr>
        <w:numPr>
          <w:ilvl w:val="0"/>
          <w:numId w:val="0"/>
        </w:numPr>
        <w:wordWrap/>
        <w:ind w:right="55" w:rightChars="0" w:firstLine="64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三、主要违法事实</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both"/>
        <w:textAlignment w:val="auto"/>
        <w:rPr>
          <w:rFonts w:hint="eastAsia" w:ascii="仿宋_GB2312" w:hAnsi="仿宋_GB2312" w:eastAsia="仿宋_GB2312" w:cs="仿宋_GB2312"/>
          <w:b w:val="0"/>
          <w:bCs w:val="0"/>
          <w:color w:val="000000"/>
          <w:sz w:val="32"/>
          <w:szCs w:val="32"/>
          <w:highlight w:val="none"/>
          <w:u w:val="none"/>
          <w:lang w:val="en-US" w:eastAsia="zh-CN"/>
        </w:rPr>
      </w:pPr>
      <w:r>
        <w:rPr>
          <w:rFonts w:hint="eastAsia" w:ascii="仿宋_GB2312" w:hAnsi="仿宋_GB2312" w:eastAsia="仿宋_GB2312" w:cs="仿宋_GB2312"/>
          <w:b w:val="0"/>
          <w:bCs w:val="0"/>
          <w:color w:val="000000"/>
          <w:sz w:val="32"/>
          <w:szCs w:val="32"/>
          <w:highlight w:val="none"/>
          <w:u w:val="none"/>
          <w:lang w:eastAsia="zh-CN"/>
        </w:rPr>
        <w:t>经国家税务总局东莞市税务局第二稽查局检查，发现其在2017年1月1日至2018年12月31日期间，主要存在以下问题：为他人（为自己）开具与实际经营业务情况不符的增值税专用发票586份，金额</w:t>
      </w:r>
      <w:r>
        <w:rPr>
          <w:rFonts w:hint="eastAsia" w:ascii="仿宋_GB2312" w:hAnsi="仿宋_GB2312" w:eastAsia="仿宋_GB2312" w:cs="仿宋_GB2312"/>
          <w:b w:val="0"/>
          <w:bCs w:val="0"/>
          <w:color w:val="000000"/>
          <w:sz w:val="32"/>
          <w:szCs w:val="32"/>
          <w:highlight w:val="none"/>
          <w:u w:val="none"/>
          <w:lang w:val="en-US" w:eastAsia="zh-CN"/>
        </w:rPr>
        <w:t>5</w:t>
      </w:r>
      <w:r>
        <w:rPr>
          <w:rFonts w:hint="default" w:ascii="仿宋_GB2312" w:hAnsi="仿宋_GB2312" w:eastAsia="仿宋_GB2312" w:cs="仿宋_GB2312"/>
          <w:b w:val="0"/>
          <w:bCs w:val="0"/>
          <w:color w:val="000000"/>
          <w:sz w:val="32"/>
          <w:szCs w:val="32"/>
          <w:highlight w:val="none"/>
          <w:u w:val="none"/>
          <w:lang w:val="en-US" w:eastAsia="zh-CN"/>
        </w:rPr>
        <w:t>,</w:t>
      </w:r>
      <w:r>
        <w:rPr>
          <w:rFonts w:hint="eastAsia" w:ascii="仿宋_GB2312" w:hAnsi="仿宋_GB2312" w:eastAsia="仿宋_GB2312" w:cs="仿宋_GB2312"/>
          <w:b w:val="0"/>
          <w:bCs w:val="0"/>
          <w:color w:val="000000"/>
          <w:sz w:val="32"/>
          <w:szCs w:val="32"/>
          <w:highlight w:val="none"/>
          <w:u w:val="none"/>
          <w:lang w:val="en-US" w:eastAsia="zh-CN"/>
        </w:rPr>
        <w:t>487.91万</w:t>
      </w:r>
      <w:r>
        <w:rPr>
          <w:rFonts w:hint="eastAsia" w:ascii="仿宋_GB2312" w:hAnsi="仿宋_GB2312" w:eastAsia="仿宋_GB2312" w:cs="仿宋_GB2312"/>
          <w:b w:val="0"/>
          <w:bCs w:val="0"/>
          <w:color w:val="000000"/>
          <w:sz w:val="32"/>
          <w:szCs w:val="32"/>
          <w:highlight w:val="none"/>
          <w:u w:val="none"/>
          <w:lang w:eastAsia="zh-CN"/>
        </w:rPr>
        <w:t>元，税额</w:t>
      </w:r>
      <w:r>
        <w:rPr>
          <w:rFonts w:hint="eastAsia" w:ascii="仿宋_GB2312" w:hAnsi="仿宋_GB2312" w:eastAsia="仿宋_GB2312" w:cs="仿宋_GB2312"/>
          <w:b w:val="0"/>
          <w:bCs w:val="0"/>
          <w:color w:val="000000"/>
          <w:sz w:val="32"/>
          <w:szCs w:val="32"/>
          <w:highlight w:val="none"/>
          <w:u w:val="none"/>
          <w:lang w:val="en-US" w:eastAsia="zh-CN"/>
        </w:rPr>
        <w:t>932.93万</w:t>
      </w:r>
      <w:r>
        <w:rPr>
          <w:rFonts w:hint="eastAsia" w:ascii="仿宋_GB2312" w:hAnsi="仿宋_GB2312" w:eastAsia="仿宋_GB2312" w:cs="仿宋_GB2312"/>
          <w:b w:val="0"/>
          <w:bCs w:val="0"/>
          <w:color w:val="000000"/>
          <w:sz w:val="32"/>
          <w:szCs w:val="32"/>
          <w:highlight w:val="none"/>
          <w:u w:val="none"/>
          <w:lang w:eastAsia="zh-CN"/>
        </w:rPr>
        <w:t>元。</w:t>
      </w:r>
    </w:p>
    <w:p>
      <w:pPr>
        <w:widowControl w:val="0"/>
        <w:numPr>
          <w:ilvl w:val="0"/>
          <w:numId w:val="0"/>
        </w:numPr>
        <w:wordWrap/>
        <w:ind w:right="55" w:rightChars="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四、相关法律依据及税务处理处罚情况</w:t>
      </w:r>
    </w:p>
    <w:p>
      <w:pPr>
        <w:ind w:firstLine="420" w:firstLineChars="200"/>
        <w:rPr>
          <w:rFonts w:hint="eastAsia" w:ascii="仿宋_GB2312" w:hAnsi="仿宋_GB2312" w:eastAsia="仿宋_GB2312" w:cs="仿宋_GB2312"/>
          <w:b w:val="0"/>
          <w:bCs w:val="0"/>
          <w:color w:val="000000"/>
          <w:sz w:val="32"/>
          <w:szCs w:val="32"/>
          <w:highlight w:val="none"/>
          <w:u w:val="none"/>
          <w:lang w:eastAsia="zh-CN"/>
        </w:rPr>
      </w:pPr>
      <w:r>
        <w:rPr>
          <w:lang w:val="en-US"/>
        </w:rPr>
        <w:t xml:space="preserve">  </w:t>
      </w:r>
      <w:r>
        <w:rPr>
          <w:rFonts w:hint="eastAsia" w:ascii="仿宋_GB2312" w:hAnsi="仿宋_GB2312" w:eastAsia="仿宋_GB2312" w:cs="仿宋_GB2312"/>
          <w:b w:val="0"/>
          <w:bCs w:val="0"/>
          <w:color w:val="000000"/>
          <w:sz w:val="32"/>
          <w:szCs w:val="32"/>
          <w:highlight w:val="none"/>
          <w:u w:val="none"/>
          <w:lang w:eastAsia="zh-CN"/>
        </w:rPr>
        <w:t>依照《中华人民共和国税收征收管理法》等相关法律法规的有关规定，依法移送司法机关。</w:t>
      </w:r>
    </w:p>
    <w:p>
      <w:pPr>
        <w:ind w:firstLine="640" w:firstLineChars="200"/>
        <w:rPr>
          <w:rFonts w:hint="eastAsia" w:ascii="仿宋_GB2312" w:hAnsi="仿宋_GB2312" w:eastAsia="仿宋_GB2312" w:cs="仿宋_GB2312"/>
          <w:b w:val="0"/>
          <w:bCs w:val="0"/>
          <w:color w:val="000000"/>
          <w:sz w:val="32"/>
          <w:szCs w:val="32"/>
          <w:highlight w:val="none"/>
          <w:u w:val="none"/>
          <w:lang w:eastAsia="zh-CN"/>
        </w:rPr>
      </w:pPr>
    </w:p>
    <w:p>
      <w:pPr>
        <w:rPr>
          <w:lang w:val="en-US"/>
        </w:rPr>
      </w:pP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PAGE  \* ArabicDash  \* MERGEFORMAT </w:instrText>
    </w:r>
    <w:r>
      <w:rPr>
        <w:rFonts w:ascii="仿宋" w:hAnsi="仿宋" w:eastAsia="仿宋"/>
        <w:sz w:val="32"/>
        <w:szCs w:val="32"/>
      </w:rPr>
      <w:fldChar w:fldCharType="separate"/>
    </w:r>
    <w:r>
      <w:rPr>
        <w:rFonts w:ascii="仿宋" w:hAnsi="仿宋" w:eastAsia="仿宋"/>
        <w:sz w:val="32"/>
        <w:szCs w:val="32"/>
      </w:rPr>
      <w:t>- 1 -</w:t>
    </w:r>
    <w:r>
      <w:rPr>
        <w:rFonts w:ascii="仿宋" w:hAnsi="仿宋" w:eastAsia="仿宋"/>
        <w:sz w:val="32"/>
        <w:szCs w:val="32"/>
      </w:rPr>
      <w:fldChar w:fldCharType="end"/>
    </w:r>
    <w:r>
      <w:rPr>
        <w:rFonts w:hint="eastAsia" w:ascii="仿宋" w:hAnsi="仿宋" w:eastAsia="仿宋"/>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60" w:firstLineChars="5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PAGE  \* ArabicDash  \* MERGEFORMAT </w:instrText>
    </w:r>
    <w:r>
      <w:rPr>
        <w:rFonts w:ascii="仿宋" w:hAnsi="仿宋" w:eastAsia="仿宋"/>
        <w:sz w:val="32"/>
        <w:szCs w:val="32"/>
      </w:rPr>
      <w:fldChar w:fldCharType="separate"/>
    </w:r>
    <w:r>
      <w:rPr>
        <w:rFonts w:ascii="仿宋" w:hAnsi="仿宋" w:eastAsia="仿宋"/>
        <w:sz w:val="32"/>
        <w:szCs w:val="32"/>
      </w:rPr>
      <w:t>- 2 -</w:t>
    </w:r>
    <w:r>
      <w:rPr>
        <w:rFonts w:ascii="仿宋" w:hAnsi="仿宋" w:eastAsia="仿宋"/>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6607"/>
    <w:rsid w:val="000F3AC7"/>
    <w:rsid w:val="01953BC1"/>
    <w:rsid w:val="0198662E"/>
    <w:rsid w:val="022954C5"/>
    <w:rsid w:val="025561B3"/>
    <w:rsid w:val="029A69C9"/>
    <w:rsid w:val="02E826B4"/>
    <w:rsid w:val="03660FD9"/>
    <w:rsid w:val="037D3E44"/>
    <w:rsid w:val="03AB7CCD"/>
    <w:rsid w:val="03DB15C1"/>
    <w:rsid w:val="0486245D"/>
    <w:rsid w:val="04CF30D8"/>
    <w:rsid w:val="04E41065"/>
    <w:rsid w:val="04EB7E92"/>
    <w:rsid w:val="050C1DC9"/>
    <w:rsid w:val="050D53C5"/>
    <w:rsid w:val="05B26BE1"/>
    <w:rsid w:val="05F826AE"/>
    <w:rsid w:val="06696D9A"/>
    <w:rsid w:val="06B171A5"/>
    <w:rsid w:val="06C16F2E"/>
    <w:rsid w:val="071C12EF"/>
    <w:rsid w:val="07375A03"/>
    <w:rsid w:val="07390E64"/>
    <w:rsid w:val="0763782F"/>
    <w:rsid w:val="07915F47"/>
    <w:rsid w:val="079507A7"/>
    <w:rsid w:val="09B30542"/>
    <w:rsid w:val="0A672EA7"/>
    <w:rsid w:val="0A874DDE"/>
    <w:rsid w:val="0A920265"/>
    <w:rsid w:val="0B315018"/>
    <w:rsid w:val="0B602EAB"/>
    <w:rsid w:val="0B633998"/>
    <w:rsid w:val="0B760595"/>
    <w:rsid w:val="0BF35654"/>
    <w:rsid w:val="0C1E5918"/>
    <w:rsid w:val="0C247E15"/>
    <w:rsid w:val="0C445DE3"/>
    <w:rsid w:val="0C8E3B4B"/>
    <w:rsid w:val="0CB86833"/>
    <w:rsid w:val="0D68579F"/>
    <w:rsid w:val="0F2F11D2"/>
    <w:rsid w:val="0F32269A"/>
    <w:rsid w:val="0F5264B9"/>
    <w:rsid w:val="0F8631E8"/>
    <w:rsid w:val="0FC2416E"/>
    <w:rsid w:val="0FD6621D"/>
    <w:rsid w:val="0FDA6F04"/>
    <w:rsid w:val="0FEB3C39"/>
    <w:rsid w:val="1024055D"/>
    <w:rsid w:val="10BD79BF"/>
    <w:rsid w:val="10DB1FA2"/>
    <w:rsid w:val="11D47BAC"/>
    <w:rsid w:val="11D75932"/>
    <w:rsid w:val="127A050C"/>
    <w:rsid w:val="12B95C1A"/>
    <w:rsid w:val="12F94BE4"/>
    <w:rsid w:val="14312802"/>
    <w:rsid w:val="14D25A70"/>
    <w:rsid w:val="15A4424C"/>
    <w:rsid w:val="15BD4C41"/>
    <w:rsid w:val="15DD136A"/>
    <w:rsid w:val="162A2832"/>
    <w:rsid w:val="16532178"/>
    <w:rsid w:val="166E34F3"/>
    <w:rsid w:val="16717230"/>
    <w:rsid w:val="169D4567"/>
    <w:rsid w:val="16F5127F"/>
    <w:rsid w:val="17362B7D"/>
    <w:rsid w:val="17890909"/>
    <w:rsid w:val="17FE0D19"/>
    <w:rsid w:val="18016709"/>
    <w:rsid w:val="18977A73"/>
    <w:rsid w:val="196F0A21"/>
    <w:rsid w:val="19A32D26"/>
    <w:rsid w:val="19A47509"/>
    <w:rsid w:val="19D03D59"/>
    <w:rsid w:val="19E6285A"/>
    <w:rsid w:val="19F66E02"/>
    <w:rsid w:val="1A6A2B5D"/>
    <w:rsid w:val="1AA57BC2"/>
    <w:rsid w:val="1B37670D"/>
    <w:rsid w:val="1BF947B2"/>
    <w:rsid w:val="1C0A0726"/>
    <w:rsid w:val="1C1E25A3"/>
    <w:rsid w:val="1C553C8C"/>
    <w:rsid w:val="1C7E4CBF"/>
    <w:rsid w:val="1CAA4A03"/>
    <w:rsid w:val="1CE53CD1"/>
    <w:rsid w:val="1D8463BE"/>
    <w:rsid w:val="1D86501C"/>
    <w:rsid w:val="1D89007D"/>
    <w:rsid w:val="1DA17FFB"/>
    <w:rsid w:val="1DFB23AB"/>
    <w:rsid w:val="1E626EF3"/>
    <w:rsid w:val="1E700035"/>
    <w:rsid w:val="1EC64B18"/>
    <w:rsid w:val="1F305DFE"/>
    <w:rsid w:val="208D2408"/>
    <w:rsid w:val="20A90950"/>
    <w:rsid w:val="20EB794E"/>
    <w:rsid w:val="21361207"/>
    <w:rsid w:val="213926E4"/>
    <w:rsid w:val="219F6B7D"/>
    <w:rsid w:val="2299584C"/>
    <w:rsid w:val="22A016A8"/>
    <w:rsid w:val="22AF64DD"/>
    <w:rsid w:val="23377450"/>
    <w:rsid w:val="23430921"/>
    <w:rsid w:val="23657690"/>
    <w:rsid w:val="239472E4"/>
    <w:rsid w:val="249A5B85"/>
    <w:rsid w:val="24AC0F35"/>
    <w:rsid w:val="24CA10F6"/>
    <w:rsid w:val="2509703D"/>
    <w:rsid w:val="254E1DEB"/>
    <w:rsid w:val="255B6F69"/>
    <w:rsid w:val="258C4271"/>
    <w:rsid w:val="25B71287"/>
    <w:rsid w:val="25E5429E"/>
    <w:rsid w:val="26A96E3F"/>
    <w:rsid w:val="272419FD"/>
    <w:rsid w:val="27351F75"/>
    <w:rsid w:val="274008C9"/>
    <w:rsid w:val="2777650A"/>
    <w:rsid w:val="27923084"/>
    <w:rsid w:val="27A24021"/>
    <w:rsid w:val="27A33924"/>
    <w:rsid w:val="28553E95"/>
    <w:rsid w:val="2894445C"/>
    <w:rsid w:val="28FD726C"/>
    <w:rsid w:val="299335ED"/>
    <w:rsid w:val="29B14B5E"/>
    <w:rsid w:val="2A192D5E"/>
    <w:rsid w:val="2ADD6977"/>
    <w:rsid w:val="2BE90E6E"/>
    <w:rsid w:val="2BF7523F"/>
    <w:rsid w:val="2C0E51F5"/>
    <w:rsid w:val="2C146F22"/>
    <w:rsid w:val="2CF931B0"/>
    <w:rsid w:val="2D3A490D"/>
    <w:rsid w:val="2D874900"/>
    <w:rsid w:val="2E3B479C"/>
    <w:rsid w:val="2E695468"/>
    <w:rsid w:val="2EE8711C"/>
    <w:rsid w:val="2F276B07"/>
    <w:rsid w:val="2F3A5995"/>
    <w:rsid w:val="2F8752B6"/>
    <w:rsid w:val="30540C7E"/>
    <w:rsid w:val="30586577"/>
    <w:rsid w:val="30781158"/>
    <w:rsid w:val="30914CE1"/>
    <w:rsid w:val="310169F5"/>
    <w:rsid w:val="310B4D8E"/>
    <w:rsid w:val="311B4F1A"/>
    <w:rsid w:val="31A36CDE"/>
    <w:rsid w:val="31A71D82"/>
    <w:rsid w:val="31AB3E36"/>
    <w:rsid w:val="32023B4B"/>
    <w:rsid w:val="320B072C"/>
    <w:rsid w:val="32115B6C"/>
    <w:rsid w:val="323A65E8"/>
    <w:rsid w:val="32683876"/>
    <w:rsid w:val="32853306"/>
    <w:rsid w:val="328A1BB3"/>
    <w:rsid w:val="33411124"/>
    <w:rsid w:val="33520935"/>
    <w:rsid w:val="337C66D5"/>
    <w:rsid w:val="33935F82"/>
    <w:rsid w:val="33E07BA7"/>
    <w:rsid w:val="34221994"/>
    <w:rsid w:val="34376FFF"/>
    <w:rsid w:val="344207B6"/>
    <w:rsid w:val="3442166A"/>
    <w:rsid w:val="344D6707"/>
    <w:rsid w:val="346606F7"/>
    <w:rsid w:val="34B22ECA"/>
    <w:rsid w:val="34C50D79"/>
    <w:rsid w:val="353C377B"/>
    <w:rsid w:val="356F2B6C"/>
    <w:rsid w:val="35A574BD"/>
    <w:rsid w:val="360B373F"/>
    <w:rsid w:val="363714A3"/>
    <w:rsid w:val="364E5275"/>
    <w:rsid w:val="36657E49"/>
    <w:rsid w:val="366958D4"/>
    <w:rsid w:val="37227227"/>
    <w:rsid w:val="37485817"/>
    <w:rsid w:val="392C3686"/>
    <w:rsid w:val="39F36C56"/>
    <w:rsid w:val="3A3B7551"/>
    <w:rsid w:val="3A983927"/>
    <w:rsid w:val="3AEB3F22"/>
    <w:rsid w:val="3B3E3A10"/>
    <w:rsid w:val="3B770E3B"/>
    <w:rsid w:val="3BE637CF"/>
    <w:rsid w:val="3C0813C9"/>
    <w:rsid w:val="3CAB4BEC"/>
    <w:rsid w:val="3CB907C6"/>
    <w:rsid w:val="3CC104FF"/>
    <w:rsid w:val="3E3426AB"/>
    <w:rsid w:val="3E7D3A95"/>
    <w:rsid w:val="3F1F0221"/>
    <w:rsid w:val="3F2D57B8"/>
    <w:rsid w:val="3F826BE9"/>
    <w:rsid w:val="3F8771F8"/>
    <w:rsid w:val="3FA142BD"/>
    <w:rsid w:val="40B175B9"/>
    <w:rsid w:val="41114F48"/>
    <w:rsid w:val="41174CE7"/>
    <w:rsid w:val="4145232A"/>
    <w:rsid w:val="415E692E"/>
    <w:rsid w:val="41781A4F"/>
    <w:rsid w:val="41D64413"/>
    <w:rsid w:val="41E73C9A"/>
    <w:rsid w:val="420B5EF6"/>
    <w:rsid w:val="429728CC"/>
    <w:rsid w:val="42E27949"/>
    <w:rsid w:val="431F09D3"/>
    <w:rsid w:val="437A4171"/>
    <w:rsid w:val="43A07617"/>
    <w:rsid w:val="43C81F7E"/>
    <w:rsid w:val="43DA7D15"/>
    <w:rsid w:val="44D37E64"/>
    <w:rsid w:val="44E97913"/>
    <w:rsid w:val="45431DA6"/>
    <w:rsid w:val="45791061"/>
    <w:rsid w:val="460B7FAA"/>
    <w:rsid w:val="46B82289"/>
    <w:rsid w:val="470F7E35"/>
    <w:rsid w:val="471C08E1"/>
    <w:rsid w:val="474B4872"/>
    <w:rsid w:val="48253CBA"/>
    <w:rsid w:val="483223A9"/>
    <w:rsid w:val="4851708A"/>
    <w:rsid w:val="491D4EBE"/>
    <w:rsid w:val="49F43ACF"/>
    <w:rsid w:val="4A317BA6"/>
    <w:rsid w:val="4A537E18"/>
    <w:rsid w:val="4A974569"/>
    <w:rsid w:val="4A9A0879"/>
    <w:rsid w:val="4B133AD3"/>
    <w:rsid w:val="4B2A39BF"/>
    <w:rsid w:val="4B7D2616"/>
    <w:rsid w:val="4BC35724"/>
    <w:rsid w:val="4BE36F86"/>
    <w:rsid w:val="4BEF37DD"/>
    <w:rsid w:val="4C307F90"/>
    <w:rsid w:val="4C715C4C"/>
    <w:rsid w:val="4C875F96"/>
    <w:rsid w:val="4C9D34CA"/>
    <w:rsid w:val="4CE24893"/>
    <w:rsid w:val="4CEC2EA6"/>
    <w:rsid w:val="4D811204"/>
    <w:rsid w:val="4D900305"/>
    <w:rsid w:val="4DD42556"/>
    <w:rsid w:val="4E496187"/>
    <w:rsid w:val="4E6D7FE8"/>
    <w:rsid w:val="4EAF2479"/>
    <w:rsid w:val="4EBB1DBD"/>
    <w:rsid w:val="4ECF0BD2"/>
    <w:rsid w:val="4EE47C84"/>
    <w:rsid w:val="4EF90317"/>
    <w:rsid w:val="4F564BE1"/>
    <w:rsid w:val="4FE45C2A"/>
    <w:rsid w:val="4FE97BB9"/>
    <w:rsid w:val="4FF8280A"/>
    <w:rsid w:val="5054496F"/>
    <w:rsid w:val="50B43A22"/>
    <w:rsid w:val="51542199"/>
    <w:rsid w:val="51701681"/>
    <w:rsid w:val="517D43A6"/>
    <w:rsid w:val="51865581"/>
    <w:rsid w:val="51BB4AB9"/>
    <w:rsid w:val="51FE42C1"/>
    <w:rsid w:val="524C7E23"/>
    <w:rsid w:val="526340A5"/>
    <w:rsid w:val="528A708C"/>
    <w:rsid w:val="533B0BB2"/>
    <w:rsid w:val="533C6BDE"/>
    <w:rsid w:val="53AD7192"/>
    <w:rsid w:val="53DF12EF"/>
    <w:rsid w:val="54072797"/>
    <w:rsid w:val="544B06A6"/>
    <w:rsid w:val="5460239F"/>
    <w:rsid w:val="54A63C19"/>
    <w:rsid w:val="54AB6DDB"/>
    <w:rsid w:val="55F21747"/>
    <w:rsid w:val="562F46FD"/>
    <w:rsid w:val="56EF64DD"/>
    <w:rsid w:val="570C2420"/>
    <w:rsid w:val="579035FE"/>
    <w:rsid w:val="589B4E2B"/>
    <w:rsid w:val="58F33CED"/>
    <w:rsid w:val="58F805AC"/>
    <w:rsid w:val="5A631133"/>
    <w:rsid w:val="5AC1056E"/>
    <w:rsid w:val="5AE43F69"/>
    <w:rsid w:val="5B096199"/>
    <w:rsid w:val="5B3033EC"/>
    <w:rsid w:val="5B504359"/>
    <w:rsid w:val="5B676685"/>
    <w:rsid w:val="5B9165EA"/>
    <w:rsid w:val="5BA14D64"/>
    <w:rsid w:val="5BC141BB"/>
    <w:rsid w:val="5C0453AD"/>
    <w:rsid w:val="5C875DF2"/>
    <w:rsid w:val="5CDE43B2"/>
    <w:rsid w:val="5DB51230"/>
    <w:rsid w:val="5DCD0757"/>
    <w:rsid w:val="5E1C0B35"/>
    <w:rsid w:val="5E414096"/>
    <w:rsid w:val="5E524054"/>
    <w:rsid w:val="5E9474D1"/>
    <w:rsid w:val="5ECE2AA6"/>
    <w:rsid w:val="5EDF5092"/>
    <w:rsid w:val="5F6520BB"/>
    <w:rsid w:val="5F7377E2"/>
    <w:rsid w:val="5FC42EAD"/>
    <w:rsid w:val="612528E6"/>
    <w:rsid w:val="6147327E"/>
    <w:rsid w:val="614A6FFF"/>
    <w:rsid w:val="615015FD"/>
    <w:rsid w:val="61890508"/>
    <w:rsid w:val="618A5D0F"/>
    <w:rsid w:val="623C3C97"/>
    <w:rsid w:val="624F52E7"/>
    <w:rsid w:val="630D5A89"/>
    <w:rsid w:val="63FC0DE7"/>
    <w:rsid w:val="641563A0"/>
    <w:rsid w:val="644916F3"/>
    <w:rsid w:val="644D14BE"/>
    <w:rsid w:val="645A56B7"/>
    <w:rsid w:val="64674E55"/>
    <w:rsid w:val="64DB7BB1"/>
    <w:rsid w:val="653B3EA9"/>
    <w:rsid w:val="656B2515"/>
    <w:rsid w:val="656F549E"/>
    <w:rsid w:val="65AC67C0"/>
    <w:rsid w:val="661D19B9"/>
    <w:rsid w:val="667B726B"/>
    <w:rsid w:val="66F60B3A"/>
    <w:rsid w:val="671F2057"/>
    <w:rsid w:val="672B6E18"/>
    <w:rsid w:val="678B0E88"/>
    <w:rsid w:val="67965F52"/>
    <w:rsid w:val="67AC57EA"/>
    <w:rsid w:val="67B53FDB"/>
    <w:rsid w:val="68020DC5"/>
    <w:rsid w:val="683716E4"/>
    <w:rsid w:val="68442840"/>
    <w:rsid w:val="68465B46"/>
    <w:rsid w:val="685D4006"/>
    <w:rsid w:val="6873170F"/>
    <w:rsid w:val="688A5062"/>
    <w:rsid w:val="68D305FC"/>
    <w:rsid w:val="68FD76C8"/>
    <w:rsid w:val="6935404D"/>
    <w:rsid w:val="6A703750"/>
    <w:rsid w:val="6A942A2A"/>
    <w:rsid w:val="6ACE39C4"/>
    <w:rsid w:val="6AF85695"/>
    <w:rsid w:val="6B213F70"/>
    <w:rsid w:val="6B3A1ECA"/>
    <w:rsid w:val="6B3C06B1"/>
    <w:rsid w:val="6B4F0B99"/>
    <w:rsid w:val="6B532F38"/>
    <w:rsid w:val="6B6E438F"/>
    <w:rsid w:val="6B8D7850"/>
    <w:rsid w:val="6BC82AA0"/>
    <w:rsid w:val="6C0F7CC2"/>
    <w:rsid w:val="6C442851"/>
    <w:rsid w:val="6C782814"/>
    <w:rsid w:val="6C7A6EFB"/>
    <w:rsid w:val="6CA356D5"/>
    <w:rsid w:val="6CD75ECB"/>
    <w:rsid w:val="6D310787"/>
    <w:rsid w:val="6DD016DC"/>
    <w:rsid w:val="6DF05EB5"/>
    <w:rsid w:val="6E032F37"/>
    <w:rsid w:val="6E085B00"/>
    <w:rsid w:val="6E207EBF"/>
    <w:rsid w:val="6E6871BD"/>
    <w:rsid w:val="6E7A4CAE"/>
    <w:rsid w:val="6E7E1A53"/>
    <w:rsid w:val="6ED569B0"/>
    <w:rsid w:val="6F262158"/>
    <w:rsid w:val="6F551FCA"/>
    <w:rsid w:val="6F5D3CCF"/>
    <w:rsid w:val="6FD11BBC"/>
    <w:rsid w:val="702763CC"/>
    <w:rsid w:val="70656392"/>
    <w:rsid w:val="70A34551"/>
    <w:rsid w:val="70F001DE"/>
    <w:rsid w:val="70FA0C8A"/>
    <w:rsid w:val="713F774A"/>
    <w:rsid w:val="717B1C49"/>
    <w:rsid w:val="718A72F5"/>
    <w:rsid w:val="71AE2D56"/>
    <w:rsid w:val="72305A9E"/>
    <w:rsid w:val="727175B1"/>
    <w:rsid w:val="72A447E8"/>
    <w:rsid w:val="72CF2E20"/>
    <w:rsid w:val="730134C1"/>
    <w:rsid w:val="73754A2C"/>
    <w:rsid w:val="73AD57D3"/>
    <w:rsid w:val="73E9040F"/>
    <w:rsid w:val="74041B32"/>
    <w:rsid w:val="76507BDA"/>
    <w:rsid w:val="76690397"/>
    <w:rsid w:val="76942495"/>
    <w:rsid w:val="769E097F"/>
    <w:rsid w:val="76A47B03"/>
    <w:rsid w:val="76B359BC"/>
    <w:rsid w:val="77247EEA"/>
    <w:rsid w:val="778A7760"/>
    <w:rsid w:val="788D6702"/>
    <w:rsid w:val="78BB48D8"/>
    <w:rsid w:val="78DC7735"/>
    <w:rsid w:val="79011FFC"/>
    <w:rsid w:val="794202CB"/>
    <w:rsid w:val="79735F5F"/>
    <w:rsid w:val="7B1301D0"/>
    <w:rsid w:val="7B167B61"/>
    <w:rsid w:val="7BDC2CC6"/>
    <w:rsid w:val="7BE65B33"/>
    <w:rsid w:val="7C447CCA"/>
    <w:rsid w:val="7C512B57"/>
    <w:rsid w:val="7C846908"/>
    <w:rsid w:val="7C917D60"/>
    <w:rsid w:val="7CD12BE0"/>
    <w:rsid w:val="7D451CD8"/>
    <w:rsid w:val="7D5431B4"/>
    <w:rsid w:val="7DA81C2F"/>
    <w:rsid w:val="7DCD7867"/>
    <w:rsid w:val="7E4D4829"/>
    <w:rsid w:val="7E9C2077"/>
    <w:rsid w:val="7F1F44E1"/>
    <w:rsid w:val="7F626833"/>
    <w:rsid w:val="7FC77195"/>
    <w:rsid w:val="7FD0069C"/>
    <w:rsid w:val="7FE1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表单名称"/>
    <w:basedOn w:val="1"/>
    <w:qFormat/>
    <w:uiPriority w:val="0"/>
    <w:pPr>
      <w:widowControl/>
      <w:spacing w:line="360" w:lineRule="auto"/>
      <w:jc w:val="center"/>
    </w:pPr>
    <w:rPr>
      <w:rFonts w:ascii="宋体" w:hAnsi="宋体"/>
      <w:b/>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2022-03-24T07:13:00Z</dcterms:created>
  <dc:creator>Administrator</dc:creator>
  <cp:lastModifiedBy>马秀峰</cp:lastModifiedBy>
  <cp:lastPrinted>2023-05-30T02:00:00Z</cp:lastPrinted>
  <dcterms:modified xsi:type="dcterms:W3CDTF">2024-04-22T07:17:41Z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