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1D" w:rsidRDefault="00ED561D" w:rsidP="00ED561D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税务</w:t>
      </w:r>
      <w:proofErr w:type="spellStart"/>
      <w:r>
        <w:rPr>
          <w:rFonts w:ascii="黑体" w:eastAsia="黑体" w:hAnsi="黑体" w:hint="eastAsia"/>
          <w:sz w:val="32"/>
          <w:szCs w:val="32"/>
        </w:rPr>
        <w:t>Ukey</w:t>
      </w:r>
      <w:proofErr w:type="spellEnd"/>
      <w:r w:rsidR="003B70A7">
        <w:rPr>
          <w:rFonts w:ascii="黑体" w:eastAsia="黑体" w:hAnsi="黑体" w:hint="eastAsia"/>
          <w:sz w:val="32"/>
          <w:szCs w:val="32"/>
        </w:rPr>
        <w:t>申领</w:t>
      </w:r>
      <w:r>
        <w:rPr>
          <w:rFonts w:ascii="黑体" w:eastAsia="黑体" w:hAnsi="黑体" w:hint="eastAsia"/>
          <w:sz w:val="32"/>
          <w:szCs w:val="32"/>
        </w:rPr>
        <w:t>操作指引</w:t>
      </w:r>
      <w:r w:rsidR="003B70A7">
        <w:rPr>
          <w:rFonts w:ascii="黑体" w:eastAsia="黑体" w:hAnsi="黑体" w:hint="eastAsia"/>
          <w:sz w:val="32"/>
          <w:szCs w:val="32"/>
        </w:rPr>
        <w:t>（纳税人端）</w:t>
      </w:r>
    </w:p>
    <w:p w:rsidR="00446371" w:rsidRDefault="00446371" w:rsidP="00ED561D">
      <w:pPr>
        <w:widowControl/>
        <w:shd w:val="clear" w:color="auto" w:fill="FFFFFF"/>
        <w:jc w:val="left"/>
        <w:rPr>
          <w:rFonts w:ascii="仿宋_GB2312" w:eastAsia="仿宋_GB2312" w:hAnsi="Arial" w:cs="Arial" w:hint="eastAsia"/>
          <w:b/>
          <w:color w:val="333333"/>
          <w:spacing w:val="14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color w:val="333333"/>
          <w:spacing w:val="14"/>
          <w:kern w:val="0"/>
          <w:sz w:val="30"/>
          <w:szCs w:val="30"/>
        </w:rPr>
        <w:t>一、新办纳税人申领税务</w:t>
      </w:r>
      <w:proofErr w:type="spellStart"/>
      <w:r>
        <w:rPr>
          <w:rFonts w:ascii="仿宋_GB2312" w:eastAsia="仿宋_GB2312" w:hAnsi="Arial" w:cs="Arial" w:hint="eastAsia"/>
          <w:b/>
          <w:color w:val="333333"/>
          <w:spacing w:val="14"/>
          <w:kern w:val="0"/>
          <w:sz w:val="30"/>
          <w:szCs w:val="30"/>
        </w:rPr>
        <w:t>Ukey</w:t>
      </w:r>
      <w:proofErr w:type="spellEnd"/>
    </w:p>
    <w:p w:rsidR="00315B09" w:rsidRPr="00331753" w:rsidRDefault="00446371" w:rsidP="00ED561D">
      <w:pPr>
        <w:widowControl/>
        <w:shd w:val="clear" w:color="auto" w:fill="FFFFFF"/>
        <w:jc w:val="left"/>
        <w:rPr>
          <w:rFonts w:ascii="仿宋_GB2312" w:eastAsia="仿宋_GB2312" w:hAnsi="Arial" w:cs="Arial"/>
          <w:b/>
          <w:color w:val="333333"/>
          <w:spacing w:val="14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color w:val="333333"/>
          <w:spacing w:val="14"/>
          <w:kern w:val="0"/>
          <w:sz w:val="30"/>
          <w:szCs w:val="30"/>
        </w:rPr>
        <w:t>（</w:t>
      </w:r>
      <w:r w:rsidR="00331753">
        <w:rPr>
          <w:rFonts w:ascii="仿宋_GB2312" w:eastAsia="仿宋_GB2312" w:hAnsi="Arial" w:cs="Arial" w:hint="eastAsia"/>
          <w:b/>
          <w:color w:val="333333"/>
          <w:spacing w:val="14"/>
          <w:kern w:val="0"/>
          <w:sz w:val="30"/>
          <w:szCs w:val="30"/>
        </w:rPr>
        <w:t>一</w:t>
      </w:r>
      <w:r>
        <w:rPr>
          <w:rFonts w:ascii="仿宋_GB2312" w:eastAsia="仿宋_GB2312" w:hAnsi="Arial" w:cs="Arial" w:hint="eastAsia"/>
          <w:b/>
          <w:color w:val="333333"/>
          <w:spacing w:val="14"/>
          <w:kern w:val="0"/>
          <w:sz w:val="30"/>
          <w:szCs w:val="30"/>
        </w:rPr>
        <w:t>）</w:t>
      </w:r>
      <w:r w:rsidR="00315B09" w:rsidRPr="00331753">
        <w:rPr>
          <w:rFonts w:ascii="仿宋_GB2312" w:eastAsia="仿宋_GB2312" w:hAnsi="Arial" w:cs="Arial" w:hint="eastAsia"/>
          <w:b/>
          <w:color w:val="333333"/>
          <w:spacing w:val="14"/>
          <w:kern w:val="0"/>
          <w:sz w:val="30"/>
          <w:szCs w:val="30"/>
        </w:rPr>
        <w:t>网页版</w:t>
      </w:r>
    </w:p>
    <w:p w:rsidR="00ED561D" w:rsidRPr="00331753" w:rsidRDefault="00315B09" w:rsidP="00ED561D">
      <w:pPr>
        <w:widowControl/>
        <w:shd w:val="clear" w:color="auto" w:fill="FFFFFF"/>
        <w:jc w:val="left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1、登陆</w:t>
      </w:r>
      <w:r w:rsidR="00ED561D"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广东省电子税务局</w:t>
      </w:r>
      <w:r w:rsidR="00ED561D"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br/>
        <w:t>https://www.etax-gd.gov.cn/xxmh/html/index.html</w:t>
      </w:r>
      <w:r w:rsidR="00ED561D"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br/>
        <w:t>以企业身份进入，依次选择【我要办税】--&gt;【发票使用】--&gt;【发票票种核定】，进入“票种核定”界面。</w:t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noProof/>
          <w:color w:val="333333"/>
          <w:spacing w:val="14"/>
          <w:kern w:val="0"/>
          <w:sz w:val="30"/>
          <w:szCs w:val="30"/>
        </w:rPr>
        <w:lastRenderedPageBreak/>
        <w:drawing>
          <wp:inline distT="0" distB="0" distL="0" distR="0" wp14:anchorId="533D2EC2" wp14:editId="6D3797D3">
            <wp:extent cx="10287000" cy="5467350"/>
            <wp:effectExtent l="0" t="0" r="0" b="0"/>
            <wp:docPr id="10" name="图片 10" descr="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2、进入发票票种核定申请表界面，填写您单位的相关信息后，点击增行，选择您所需要的票种，填写申请每月最高领票数量、登记</w:t>
      </w:r>
      <w:proofErr w:type="gramStart"/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购票员</w:t>
      </w:r>
      <w:proofErr w:type="gramEnd"/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的信息。</w:t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noProof/>
          <w:color w:val="333333"/>
          <w:spacing w:val="14"/>
          <w:kern w:val="0"/>
          <w:sz w:val="30"/>
          <w:szCs w:val="30"/>
        </w:rPr>
        <w:lastRenderedPageBreak/>
        <w:drawing>
          <wp:inline distT="0" distB="0" distL="0" distR="0" wp14:anchorId="08C86135" wp14:editId="0A45E2EF">
            <wp:extent cx="7974419" cy="4163487"/>
            <wp:effectExtent l="0" t="0" r="7620" b="8890"/>
            <wp:docPr id="9" name="图片 9" descr="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8" cy="417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3、首次申领增值税发票的纳税人，点击上方【增值税税控系统专用设备申购】标签页。</w:t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noProof/>
          <w:color w:val="333333"/>
          <w:spacing w:val="14"/>
          <w:kern w:val="0"/>
          <w:sz w:val="30"/>
          <w:szCs w:val="30"/>
        </w:rPr>
        <w:lastRenderedPageBreak/>
        <w:drawing>
          <wp:inline distT="0" distB="0" distL="0" distR="0" wp14:anchorId="361F928A" wp14:editId="744575F2">
            <wp:extent cx="10287000" cy="1933575"/>
            <wp:effectExtent l="0" t="0" r="0" b="9525"/>
            <wp:docPr id="8" name="图片 8" descr="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4、点击“申请及支付方式”，选择“免费税务</w:t>
      </w:r>
      <w:proofErr w:type="spellStart"/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Ukey</w:t>
      </w:r>
      <w:proofErr w:type="spellEnd"/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”，此时会弹出一个温馨提醒，点击确定。</w:t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 </w:t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5、选择“领取方式”，若选择税务机关领取则自动带出领取地点及电话，若选择邮政快递领取则需填写收件地址。</w:t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noProof/>
          <w:color w:val="333333"/>
          <w:spacing w:val="14"/>
          <w:kern w:val="0"/>
          <w:sz w:val="30"/>
          <w:szCs w:val="30"/>
        </w:rPr>
        <w:lastRenderedPageBreak/>
        <w:drawing>
          <wp:inline distT="0" distB="0" distL="0" distR="0" wp14:anchorId="27CABF80" wp14:editId="28214B46">
            <wp:extent cx="10287000" cy="1876425"/>
            <wp:effectExtent l="0" t="0" r="0" b="9525"/>
            <wp:docPr id="6" name="图片 6" descr="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noProof/>
          <w:color w:val="333333"/>
          <w:spacing w:val="14"/>
          <w:kern w:val="0"/>
          <w:sz w:val="30"/>
          <w:szCs w:val="30"/>
        </w:rPr>
        <w:drawing>
          <wp:inline distT="0" distB="0" distL="0" distR="0" wp14:anchorId="205171A2" wp14:editId="6F8105FA">
            <wp:extent cx="10287000" cy="2533650"/>
            <wp:effectExtent l="0" t="0" r="0" b="0"/>
            <wp:docPr id="5" name="图片 5" descr="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 </w:t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lastRenderedPageBreak/>
        <w:t>6、点击下一步，上传发票专用章印模，点击提交。</w:t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noProof/>
          <w:color w:val="333333"/>
          <w:spacing w:val="14"/>
          <w:kern w:val="0"/>
          <w:sz w:val="30"/>
          <w:szCs w:val="30"/>
        </w:rPr>
        <w:lastRenderedPageBreak/>
        <w:drawing>
          <wp:inline distT="0" distB="0" distL="0" distR="0" wp14:anchorId="43CF3584" wp14:editId="7F44DFCB">
            <wp:extent cx="10287000" cy="5743575"/>
            <wp:effectExtent l="0" t="0" r="0" b="9525"/>
            <wp:docPr id="4" name="图片 4" descr="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7、接下来请等待税务机关</w:t>
      </w:r>
      <w:proofErr w:type="gramStart"/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审核您</w:t>
      </w:r>
      <w:proofErr w:type="gramEnd"/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的票种核定并</w:t>
      </w:r>
      <w:proofErr w:type="gramStart"/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发行您</w:t>
      </w:r>
      <w:proofErr w:type="gramEnd"/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的税务</w:t>
      </w:r>
      <w:proofErr w:type="spellStart"/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Ukey</w:t>
      </w:r>
      <w:proofErr w:type="spellEnd"/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。您可通过【我要办税】--&gt;【事项办理】--&gt;【事项进度管理】查看审核进度。税务机关审核确认后，您可以申请领用增值税发票。收到税务</w:t>
      </w:r>
      <w:proofErr w:type="spellStart"/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Ukey</w:t>
      </w:r>
      <w:proofErr w:type="spellEnd"/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和发票后，就可以开具发票。</w:t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 </w:t>
      </w:r>
    </w:p>
    <w:p w:rsidR="00ED561D" w:rsidRPr="00331753" w:rsidRDefault="00ED561D" w:rsidP="00ED561D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331753"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</w:p>
    <w:p w:rsidR="00ED561D" w:rsidRPr="00331753" w:rsidRDefault="00ED561D" w:rsidP="00ED561D">
      <w:pPr>
        <w:widowControl/>
        <w:jc w:val="left"/>
        <w:rPr>
          <w:rFonts w:ascii="仿宋_GB2312" w:eastAsia="仿宋_GB2312" w:hAnsi="宋体" w:cs="宋体"/>
          <w:color w:val="FFFFFF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宋体" w:cs="宋体" w:hint="eastAsia"/>
          <w:b/>
          <w:bCs/>
          <w:color w:val="FFFFFF"/>
          <w:spacing w:val="14"/>
          <w:kern w:val="0"/>
          <w:sz w:val="30"/>
          <w:szCs w:val="30"/>
        </w:rPr>
        <w:t>移动端</w:t>
      </w:r>
    </w:p>
    <w:p w:rsidR="00ED561D" w:rsidRPr="00331753" w:rsidRDefault="00ED561D" w:rsidP="00ED561D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331753">
        <w:rPr>
          <w:rFonts w:ascii="仿宋_GB2312" w:eastAsia="仿宋_GB2312" w:hAnsi="宋体" w:cs="宋体" w:hint="eastAsia"/>
          <w:kern w:val="0"/>
          <w:sz w:val="30"/>
          <w:szCs w:val="30"/>
        </w:rPr>
        <w:br/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</w:p>
    <w:p w:rsidR="00331753" w:rsidRPr="00331753" w:rsidRDefault="00331753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</w:p>
    <w:p w:rsidR="00331753" w:rsidRPr="00331753" w:rsidRDefault="00446371" w:rsidP="00ED561D">
      <w:pPr>
        <w:widowControl/>
        <w:shd w:val="clear" w:color="auto" w:fill="FFFFFF"/>
        <w:rPr>
          <w:rFonts w:ascii="仿宋_GB2312" w:eastAsia="仿宋_GB2312" w:hAnsi="Arial" w:cs="Arial"/>
          <w:b/>
          <w:color w:val="333333"/>
          <w:spacing w:val="14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b/>
          <w:color w:val="333333"/>
          <w:spacing w:val="14"/>
          <w:kern w:val="0"/>
          <w:sz w:val="30"/>
          <w:szCs w:val="30"/>
        </w:rPr>
        <w:lastRenderedPageBreak/>
        <w:t>（</w:t>
      </w:r>
      <w:r w:rsidR="00331753" w:rsidRPr="00331753">
        <w:rPr>
          <w:rFonts w:ascii="仿宋_GB2312" w:eastAsia="仿宋_GB2312" w:hAnsi="Arial" w:cs="Arial" w:hint="eastAsia"/>
          <w:b/>
          <w:color w:val="333333"/>
          <w:spacing w:val="14"/>
          <w:kern w:val="0"/>
          <w:sz w:val="30"/>
          <w:szCs w:val="30"/>
        </w:rPr>
        <w:t>二</w:t>
      </w:r>
      <w:r>
        <w:rPr>
          <w:rFonts w:ascii="仿宋_GB2312" w:eastAsia="仿宋_GB2312" w:hAnsi="Arial" w:cs="Arial" w:hint="eastAsia"/>
          <w:b/>
          <w:color w:val="333333"/>
          <w:spacing w:val="14"/>
          <w:kern w:val="0"/>
          <w:sz w:val="30"/>
          <w:szCs w:val="30"/>
        </w:rPr>
        <w:t>）</w:t>
      </w:r>
      <w:r w:rsidR="00331753" w:rsidRPr="00331753">
        <w:rPr>
          <w:rFonts w:ascii="仿宋_GB2312" w:eastAsia="仿宋_GB2312" w:hAnsi="Arial" w:cs="Arial" w:hint="eastAsia"/>
          <w:b/>
          <w:color w:val="333333"/>
          <w:spacing w:val="14"/>
          <w:kern w:val="0"/>
          <w:sz w:val="30"/>
          <w:szCs w:val="30"/>
        </w:rPr>
        <w:t>APP版</w:t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1、打开“广东税务APP”,点击登录，点击【企业进入】，选择【办税】--&gt; 【事项办理】--&gt; 【发票票种核定】。</w:t>
      </w:r>
    </w:p>
    <w:p w:rsidR="00ED561D" w:rsidRPr="00331753" w:rsidRDefault="00ED561D" w:rsidP="00ED561D">
      <w:pPr>
        <w:widowControl/>
        <w:shd w:val="clear" w:color="auto" w:fill="FFFFFF"/>
        <w:jc w:val="center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noProof/>
          <w:color w:val="333333"/>
          <w:spacing w:val="14"/>
          <w:kern w:val="0"/>
          <w:sz w:val="30"/>
          <w:szCs w:val="30"/>
        </w:rPr>
        <w:lastRenderedPageBreak/>
        <w:drawing>
          <wp:inline distT="0" distB="0" distL="0" distR="0" wp14:anchorId="104A5C98" wp14:editId="0FCEF1CA">
            <wp:extent cx="3657600" cy="7753350"/>
            <wp:effectExtent l="0" t="0" r="0" b="0"/>
            <wp:docPr id="3" name="图片 3" descr="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1D" w:rsidRPr="00331753" w:rsidRDefault="00ED561D" w:rsidP="00ED561D">
      <w:pPr>
        <w:widowControl/>
        <w:shd w:val="clear" w:color="auto" w:fill="FFFFFF"/>
        <w:jc w:val="center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2、点击【新增】增加票种信息或者</w:t>
      </w:r>
      <w:proofErr w:type="gramStart"/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购票员信息</w:t>
      </w:r>
      <w:proofErr w:type="gramEnd"/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。</w:t>
      </w: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br/>
      </w:r>
    </w:p>
    <w:p w:rsidR="00ED561D" w:rsidRPr="00331753" w:rsidRDefault="00ED561D" w:rsidP="00ED561D">
      <w:pPr>
        <w:widowControl/>
        <w:shd w:val="clear" w:color="auto" w:fill="FFFFFF"/>
        <w:jc w:val="center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noProof/>
          <w:color w:val="333333"/>
          <w:spacing w:val="14"/>
          <w:kern w:val="0"/>
          <w:sz w:val="30"/>
          <w:szCs w:val="30"/>
        </w:rPr>
        <w:lastRenderedPageBreak/>
        <w:drawing>
          <wp:inline distT="0" distB="0" distL="0" distR="0" wp14:anchorId="111E7933" wp14:editId="591C5073">
            <wp:extent cx="4371975" cy="9467850"/>
            <wp:effectExtent l="0" t="0" r="9525" b="0"/>
            <wp:docPr id="2" name="图片 2" descr="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1D" w:rsidRPr="00331753" w:rsidRDefault="00ED561D" w:rsidP="00ED561D">
      <w:pPr>
        <w:widowControl/>
        <w:shd w:val="clear" w:color="auto" w:fill="FFFFFF"/>
        <w:jc w:val="center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</w:p>
    <w:p w:rsidR="00ED561D" w:rsidRPr="00331753" w:rsidRDefault="00ED561D" w:rsidP="00ED561D">
      <w:pPr>
        <w:widowControl/>
        <w:shd w:val="clear" w:color="auto" w:fill="FFFFFF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3、与网页端相同，首次申领增值税发票，可选择申领税控设备，选择“申请及支付方式”为【税务</w:t>
      </w:r>
      <w:proofErr w:type="spellStart"/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Ukey</w:t>
      </w:r>
      <w:proofErr w:type="spellEnd"/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】和“领取方式”后，补充填</w:t>
      </w:r>
      <w:r w:rsid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写表格其他内容，点击下一步，按要求上传附件后，即可提交完成申请</w:t>
      </w:r>
      <w:r w:rsidRPr="00331753">
        <w:rPr>
          <w:rFonts w:ascii="仿宋_GB2312" w:eastAsia="仿宋_GB2312" w:hAnsi="Arial" w:cs="Arial" w:hint="eastAsia"/>
          <w:color w:val="333333"/>
          <w:spacing w:val="14"/>
          <w:kern w:val="0"/>
          <w:sz w:val="30"/>
          <w:szCs w:val="30"/>
        </w:rPr>
        <w:t>。</w:t>
      </w:r>
    </w:p>
    <w:p w:rsidR="00ED561D" w:rsidRPr="00331753" w:rsidRDefault="00ED561D" w:rsidP="00ED561D">
      <w:pPr>
        <w:widowControl/>
        <w:shd w:val="clear" w:color="auto" w:fill="FFFFFF"/>
        <w:jc w:val="center"/>
        <w:rPr>
          <w:rFonts w:ascii="仿宋_GB2312" w:eastAsia="仿宋_GB2312" w:hAnsi="Arial" w:cs="Arial"/>
          <w:color w:val="333333"/>
          <w:spacing w:val="14"/>
          <w:kern w:val="0"/>
          <w:sz w:val="30"/>
          <w:szCs w:val="30"/>
        </w:rPr>
      </w:pPr>
      <w:r w:rsidRPr="00331753">
        <w:rPr>
          <w:rFonts w:ascii="仿宋_GB2312" w:eastAsia="仿宋_GB2312" w:hAnsi="Arial" w:cs="Arial" w:hint="eastAsia"/>
          <w:noProof/>
          <w:color w:val="333333"/>
          <w:spacing w:val="14"/>
          <w:kern w:val="0"/>
          <w:sz w:val="30"/>
          <w:szCs w:val="30"/>
        </w:rPr>
        <w:lastRenderedPageBreak/>
        <w:drawing>
          <wp:inline distT="0" distB="0" distL="0" distR="0" wp14:anchorId="2E472B16" wp14:editId="7B4CC6A0">
            <wp:extent cx="4314825" cy="9344025"/>
            <wp:effectExtent l="0" t="0" r="9525" b="9525"/>
            <wp:docPr id="1" name="图片 1" descr="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71" w:rsidRPr="00446371" w:rsidRDefault="00446371" w:rsidP="00446371">
      <w:pPr>
        <w:rPr>
          <w:rFonts w:ascii="仿宋_GB2312" w:eastAsia="仿宋_GB2312" w:hint="eastAsia"/>
          <w:b/>
          <w:sz w:val="32"/>
          <w:szCs w:val="32"/>
        </w:rPr>
      </w:pPr>
      <w:r w:rsidRPr="00446371">
        <w:rPr>
          <w:rFonts w:ascii="仿宋_GB2312" w:eastAsia="仿宋_GB2312" w:hint="eastAsia"/>
          <w:b/>
          <w:sz w:val="32"/>
          <w:szCs w:val="32"/>
        </w:rPr>
        <w:lastRenderedPageBreak/>
        <w:t>二、纳税人换领税务</w:t>
      </w:r>
      <w:proofErr w:type="spellStart"/>
      <w:r w:rsidRPr="00446371">
        <w:rPr>
          <w:rFonts w:ascii="仿宋_GB2312" w:eastAsia="仿宋_GB2312" w:hint="eastAsia"/>
          <w:b/>
          <w:sz w:val="32"/>
          <w:szCs w:val="32"/>
        </w:rPr>
        <w:t>Ukey</w:t>
      </w:r>
      <w:proofErr w:type="spellEnd"/>
    </w:p>
    <w:p w:rsidR="00446371" w:rsidRPr="00446371" w:rsidRDefault="00446371" w:rsidP="00446371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46371">
        <w:rPr>
          <w:rFonts w:ascii="仿宋_GB2312" w:eastAsia="仿宋_GB2312" w:hint="eastAsia"/>
          <w:sz w:val="30"/>
          <w:szCs w:val="30"/>
        </w:rPr>
        <w:t>电子税务局关于纳税人换领税务</w:t>
      </w:r>
      <w:proofErr w:type="spellStart"/>
      <w:r w:rsidRPr="00446371">
        <w:rPr>
          <w:rFonts w:ascii="仿宋_GB2312" w:eastAsia="仿宋_GB2312" w:hint="eastAsia"/>
          <w:sz w:val="30"/>
          <w:szCs w:val="30"/>
        </w:rPr>
        <w:t>Ukey</w:t>
      </w:r>
      <w:proofErr w:type="spellEnd"/>
      <w:r w:rsidRPr="00446371">
        <w:rPr>
          <w:rFonts w:ascii="仿宋_GB2312" w:eastAsia="仿宋_GB2312" w:hint="eastAsia"/>
          <w:sz w:val="30"/>
          <w:szCs w:val="30"/>
        </w:rPr>
        <w:t>相关功能正在开发，暂无电子税务局端的操作指引，如</w:t>
      </w:r>
      <w:bookmarkStart w:id="0" w:name="_GoBack"/>
      <w:bookmarkEnd w:id="0"/>
      <w:r w:rsidRPr="00446371">
        <w:rPr>
          <w:rFonts w:ascii="仿宋_GB2312" w:eastAsia="仿宋_GB2312" w:hint="eastAsia"/>
          <w:sz w:val="30"/>
          <w:szCs w:val="30"/>
        </w:rPr>
        <w:t>纳税人需换领税务</w:t>
      </w:r>
      <w:proofErr w:type="spellStart"/>
      <w:r w:rsidRPr="00446371">
        <w:rPr>
          <w:rFonts w:ascii="仿宋_GB2312" w:eastAsia="仿宋_GB2312" w:hint="eastAsia"/>
          <w:sz w:val="30"/>
          <w:szCs w:val="30"/>
        </w:rPr>
        <w:t>Ukey</w:t>
      </w:r>
      <w:proofErr w:type="spellEnd"/>
      <w:r w:rsidRPr="00446371">
        <w:rPr>
          <w:rFonts w:ascii="仿宋_GB2312" w:eastAsia="仿宋_GB2312" w:hint="eastAsia"/>
          <w:sz w:val="30"/>
          <w:szCs w:val="30"/>
        </w:rPr>
        <w:t>请到主管税务机关办税服务厅办理。</w:t>
      </w:r>
    </w:p>
    <w:p w:rsidR="00446371" w:rsidRPr="00446371" w:rsidRDefault="00446371" w:rsidP="00446371">
      <w:pPr>
        <w:rPr>
          <w:rFonts w:ascii="仿宋_GB2312" w:eastAsia="仿宋_GB2312" w:hint="eastAsia"/>
          <w:sz w:val="30"/>
          <w:szCs w:val="30"/>
        </w:rPr>
      </w:pPr>
      <w:r w:rsidRPr="00446371">
        <w:rPr>
          <w:rFonts w:ascii="仿宋_GB2312" w:eastAsia="仿宋_GB2312" w:hint="eastAsia"/>
          <w:sz w:val="30"/>
          <w:szCs w:val="30"/>
        </w:rPr>
        <w:t>1、在办税服务厅申请换领税务</w:t>
      </w:r>
      <w:proofErr w:type="spellStart"/>
      <w:r w:rsidRPr="00446371">
        <w:rPr>
          <w:rFonts w:ascii="仿宋_GB2312" w:eastAsia="仿宋_GB2312" w:hint="eastAsia"/>
          <w:sz w:val="30"/>
          <w:szCs w:val="30"/>
        </w:rPr>
        <w:t>Ukey</w:t>
      </w:r>
      <w:proofErr w:type="spellEnd"/>
      <w:r w:rsidRPr="00446371">
        <w:rPr>
          <w:rFonts w:ascii="仿宋_GB2312" w:eastAsia="仿宋_GB2312" w:hint="eastAsia"/>
          <w:sz w:val="30"/>
          <w:szCs w:val="30"/>
        </w:rPr>
        <w:t>。所需资料：《增值税发票税控系统专用设备注销发行登记表》、经办人（代理人）身份证件、金税盘或税控盘。</w:t>
      </w:r>
    </w:p>
    <w:p w:rsidR="00446371" w:rsidRPr="00446371" w:rsidRDefault="00446371" w:rsidP="00446371">
      <w:pPr>
        <w:rPr>
          <w:rFonts w:ascii="仿宋_GB2312" w:eastAsia="仿宋_GB2312" w:hint="eastAsia"/>
          <w:sz w:val="30"/>
          <w:szCs w:val="30"/>
        </w:rPr>
      </w:pPr>
      <w:r w:rsidRPr="00446371">
        <w:rPr>
          <w:rFonts w:ascii="仿宋_GB2312" w:eastAsia="仿宋_GB2312" w:hint="eastAsia"/>
          <w:sz w:val="30"/>
          <w:szCs w:val="30"/>
        </w:rPr>
        <w:t>2、待税务机关完成税控设备注销发行并完成税务</w:t>
      </w:r>
      <w:proofErr w:type="spellStart"/>
      <w:r w:rsidRPr="00446371">
        <w:rPr>
          <w:rFonts w:ascii="仿宋_GB2312" w:eastAsia="仿宋_GB2312" w:hint="eastAsia"/>
          <w:sz w:val="30"/>
          <w:szCs w:val="30"/>
        </w:rPr>
        <w:t>Ukey</w:t>
      </w:r>
      <w:proofErr w:type="spellEnd"/>
      <w:r w:rsidRPr="00446371">
        <w:rPr>
          <w:rFonts w:ascii="仿宋_GB2312" w:eastAsia="仿宋_GB2312" w:hint="eastAsia"/>
          <w:sz w:val="30"/>
          <w:szCs w:val="30"/>
        </w:rPr>
        <w:t>发行后，即可领回使用。</w:t>
      </w:r>
    </w:p>
    <w:p w:rsidR="009C6449" w:rsidRPr="00446371" w:rsidRDefault="009C6449">
      <w:pPr>
        <w:rPr>
          <w:rFonts w:ascii="仿宋_GB2312" w:eastAsia="仿宋_GB2312"/>
          <w:sz w:val="30"/>
          <w:szCs w:val="30"/>
        </w:rPr>
      </w:pPr>
    </w:p>
    <w:sectPr w:rsidR="009C6449" w:rsidRPr="00446371" w:rsidSect="00ED56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51B" w:rsidRDefault="0050751B" w:rsidP="00ED561D">
      <w:r>
        <w:separator/>
      </w:r>
    </w:p>
  </w:endnote>
  <w:endnote w:type="continuationSeparator" w:id="0">
    <w:p w:rsidR="0050751B" w:rsidRDefault="0050751B" w:rsidP="00ED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51B" w:rsidRDefault="0050751B" w:rsidP="00ED561D">
      <w:r>
        <w:separator/>
      </w:r>
    </w:p>
  </w:footnote>
  <w:footnote w:type="continuationSeparator" w:id="0">
    <w:p w:rsidR="0050751B" w:rsidRDefault="0050751B" w:rsidP="00ED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11EF"/>
    <w:multiLevelType w:val="hybridMultilevel"/>
    <w:tmpl w:val="99EEDCF0"/>
    <w:lvl w:ilvl="0" w:tplc="6EA2D8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9F6B73"/>
    <w:multiLevelType w:val="hybridMultilevel"/>
    <w:tmpl w:val="EDAED102"/>
    <w:lvl w:ilvl="0" w:tplc="3D6E0D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E0"/>
    <w:rsid w:val="00086888"/>
    <w:rsid w:val="00315B09"/>
    <w:rsid w:val="00331753"/>
    <w:rsid w:val="003B70A7"/>
    <w:rsid w:val="00446371"/>
    <w:rsid w:val="0050751B"/>
    <w:rsid w:val="006B61E3"/>
    <w:rsid w:val="0093287C"/>
    <w:rsid w:val="009C6449"/>
    <w:rsid w:val="00B11ED9"/>
    <w:rsid w:val="00E7318F"/>
    <w:rsid w:val="00ED561D"/>
    <w:rsid w:val="00F53FE0"/>
    <w:rsid w:val="00F75046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87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1D"/>
    <w:pPr>
      <w:ind w:firstLineChars="200" w:firstLine="420"/>
    </w:pPr>
  </w:style>
  <w:style w:type="paragraph" w:styleId="a4">
    <w:name w:val="header"/>
    <w:basedOn w:val="a"/>
    <w:link w:val="Char"/>
    <w:rsid w:val="00ED5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561D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ED5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561D"/>
    <w:rPr>
      <w:rFonts w:ascii="Calibri" w:hAnsi="Calibri" w:cs="黑体"/>
      <w:kern w:val="2"/>
      <w:sz w:val="18"/>
      <w:szCs w:val="18"/>
    </w:rPr>
  </w:style>
  <w:style w:type="paragraph" w:styleId="a6">
    <w:name w:val="Balloon Text"/>
    <w:basedOn w:val="a"/>
    <w:link w:val="Char1"/>
    <w:rsid w:val="00ED561D"/>
    <w:rPr>
      <w:sz w:val="18"/>
      <w:szCs w:val="18"/>
    </w:rPr>
  </w:style>
  <w:style w:type="character" w:customStyle="1" w:styleId="Char1">
    <w:name w:val="批注框文本 Char"/>
    <w:basedOn w:val="a0"/>
    <w:link w:val="a6"/>
    <w:rsid w:val="00ED561D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87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1D"/>
    <w:pPr>
      <w:ind w:firstLineChars="200" w:firstLine="420"/>
    </w:pPr>
  </w:style>
  <w:style w:type="paragraph" w:styleId="a4">
    <w:name w:val="header"/>
    <w:basedOn w:val="a"/>
    <w:link w:val="Char"/>
    <w:rsid w:val="00ED5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561D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ED5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561D"/>
    <w:rPr>
      <w:rFonts w:ascii="Calibri" w:hAnsi="Calibri" w:cs="黑体"/>
      <w:kern w:val="2"/>
      <w:sz w:val="18"/>
      <w:szCs w:val="18"/>
    </w:rPr>
  </w:style>
  <w:style w:type="paragraph" w:styleId="a6">
    <w:name w:val="Balloon Text"/>
    <w:basedOn w:val="a"/>
    <w:link w:val="Char1"/>
    <w:rsid w:val="00ED561D"/>
    <w:rPr>
      <w:sz w:val="18"/>
      <w:szCs w:val="18"/>
    </w:rPr>
  </w:style>
  <w:style w:type="character" w:customStyle="1" w:styleId="Char1">
    <w:name w:val="批注框文本 Char"/>
    <w:basedOn w:val="a0"/>
    <w:link w:val="a6"/>
    <w:rsid w:val="00ED561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136</Words>
  <Characters>778</Characters>
  <Application>Microsoft Office Word</Application>
  <DocSecurity>0</DocSecurity>
  <Lines>6</Lines>
  <Paragraphs>1</Paragraphs>
  <ScaleCrop>false</ScaleCrop>
  <Company>省局货劳处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朱雯洁</dc:creator>
  <cp:keywords/>
  <dc:description/>
  <cp:lastModifiedBy>朱雯洁</cp:lastModifiedBy>
  <cp:revision>5</cp:revision>
  <dcterms:created xsi:type="dcterms:W3CDTF">2020-03-30T02:05:00Z</dcterms:created>
  <dcterms:modified xsi:type="dcterms:W3CDTF">2020-03-30T08:53:00Z</dcterms:modified>
</cp:coreProperties>
</file>