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lang w:eastAsia="zh-CN"/>
        </w:rPr>
      </w:pPr>
      <w:r>
        <w:rPr>
          <w:rFonts w:hint="eastAsia" w:ascii="黑体" w:hAnsi="黑体" w:eastAsia="黑体" w:cs="黑体"/>
          <w:color w:val="auto"/>
          <w:kern w:val="0"/>
          <w:sz w:val="32"/>
          <w:szCs w:val="32"/>
          <w:highlight w:val="none"/>
          <w:lang w:val="en" w:eastAsia="zh-CN" w:bidi="ar"/>
        </w:rPr>
        <w:t>附件</w:t>
      </w:r>
      <w:r>
        <w:rPr>
          <w:rFonts w:hint="eastAsia" w:ascii="黑体" w:hAnsi="黑体" w:eastAsia="黑体" w:cs="黑体"/>
          <w:color w:val="auto"/>
          <w:kern w:val="0"/>
          <w:sz w:val="32"/>
          <w:szCs w:val="32"/>
          <w:highlight w:val="none"/>
          <w:lang w:val="en-US" w:eastAsia="zh-CN" w:bidi="ar"/>
        </w:rPr>
        <w:t>1</w:t>
      </w:r>
    </w:p>
    <w:p>
      <w:pPr>
        <w:pStyle w:val="3"/>
        <w:pageBreakBefore w:val="0"/>
        <w:widowControl w:val="0"/>
        <w:kinsoku/>
        <w:wordWrap/>
        <w:overflowPunct/>
        <w:topLinePunct w:val="0"/>
        <w:autoSpaceDE/>
        <w:autoSpaceDN/>
        <w:bidi w:val="0"/>
        <w:adjustRightInd/>
        <w:snapToGrid/>
        <w:spacing w:line="560" w:lineRule="exact"/>
        <w:textAlignment w:val="auto"/>
        <w:rPr>
          <w:rFonts w:hint="eastAsia"/>
          <w:lang w:eastAsia="zh-CN"/>
        </w:rPr>
      </w:pPr>
      <w:r>
        <w:rPr>
          <w:rFonts w:hint="eastAsia"/>
          <w:lang w:eastAsia="zh-CN"/>
        </w:rPr>
        <w:t>佛山市税费征管保障办法</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cs="仿宋_GB2312"/>
          <w:color w:val="auto"/>
          <w:sz w:val="32"/>
          <w:szCs w:val="32"/>
          <w:lang w:eastAsia="zh-CN"/>
        </w:rPr>
        <w:t>（</w:t>
      </w:r>
      <w:r>
        <w:rPr>
          <w:rFonts w:hint="eastAsia" w:ascii="仿宋_GB2312" w:hAnsi="仿宋_GB2312" w:cs="仿宋_GB2312"/>
          <w:color w:val="auto"/>
          <w:sz w:val="32"/>
          <w:szCs w:val="32"/>
          <w:lang w:val="en-US" w:eastAsia="zh-CN"/>
        </w:rPr>
        <w:t>征求意见稿</w:t>
      </w:r>
      <w:r>
        <w:rPr>
          <w:rFonts w:hint="eastAsia" w:ascii="仿宋_GB2312" w:hAnsi="仿宋_GB2312" w:cs="仿宋_GB2312"/>
          <w:color w:val="auto"/>
          <w:sz w:val="32"/>
          <w:szCs w:val="32"/>
          <w:lang w:eastAsia="zh-CN"/>
        </w:rPr>
        <w:t>）</w:t>
      </w:r>
    </w:p>
    <w:p>
      <w:pPr>
        <w:pageBreakBefore w:val="0"/>
        <w:widowControl w:val="0"/>
        <w:kinsoku/>
        <w:wordWrap/>
        <w:overflowPunct/>
        <w:topLinePunct w:val="0"/>
        <w:autoSpaceDE/>
        <w:autoSpaceDN/>
        <w:bidi w:val="0"/>
        <w:adjustRightInd/>
        <w:snapToGrid/>
        <w:spacing w:line="560" w:lineRule="exact"/>
        <w:ind w:firstLine="0" w:firstLineChars="0"/>
        <w:jc w:val="center"/>
        <w:textAlignment w:val="auto"/>
        <w:outlineLvl w:val="0"/>
        <w:rPr>
          <w:rFonts w:hint="eastAsia" w:ascii="黑体" w:hAnsi="黑体" w:eastAsia="黑体" w:cs="黑体"/>
          <w:lang w:eastAsia="zh-CN"/>
        </w:rPr>
      </w:pPr>
    </w:p>
    <w:p>
      <w:pPr>
        <w:pageBreakBefore w:val="0"/>
        <w:widowControl w:val="0"/>
        <w:kinsoku/>
        <w:wordWrap/>
        <w:overflowPunct/>
        <w:topLinePunct w:val="0"/>
        <w:autoSpaceDE/>
        <w:autoSpaceDN/>
        <w:bidi w:val="0"/>
        <w:adjustRightInd/>
        <w:snapToGrid/>
        <w:spacing w:line="560" w:lineRule="exact"/>
        <w:ind w:firstLine="0" w:firstLineChars="0"/>
        <w:jc w:val="center"/>
        <w:textAlignment w:val="auto"/>
        <w:outlineLvl w:val="0"/>
        <w:rPr>
          <w:rFonts w:hint="eastAsia" w:ascii="黑体" w:hAnsi="黑体" w:eastAsia="黑体" w:cs="黑体"/>
          <w:lang w:val="en-US" w:eastAsia="zh-CN"/>
        </w:rPr>
      </w:pPr>
      <w:r>
        <w:rPr>
          <w:rFonts w:hint="eastAsia" w:ascii="黑体" w:hAnsi="黑体" w:eastAsia="黑体" w:cs="黑体"/>
          <w:lang w:eastAsia="zh-CN"/>
        </w:rPr>
        <w:t>第一章</w:t>
      </w:r>
      <w:r>
        <w:rPr>
          <w:rFonts w:hint="eastAsia" w:ascii="黑体" w:hAnsi="黑体" w:eastAsia="黑体" w:cs="黑体"/>
          <w:lang w:val="en-US" w:eastAsia="zh-CN"/>
        </w:rPr>
        <w:t xml:space="preserve"> 总则</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eastAsia="zh-CN"/>
        </w:rPr>
        <w:t>第</w:t>
      </w:r>
      <w:r>
        <w:rPr>
          <w:rFonts w:hint="eastAsia" w:ascii="仿宋_GB2312" w:hAnsi="仿宋_GB2312" w:cs="仿宋_GB2312"/>
          <w:b/>
          <w:bCs/>
          <w:color w:val="auto"/>
          <w:sz w:val="32"/>
          <w:szCs w:val="32"/>
          <w:lang w:eastAsia="zh-CN"/>
        </w:rPr>
        <w:t>一</w:t>
      </w:r>
      <w:r>
        <w:rPr>
          <w:rFonts w:hint="eastAsia" w:ascii="仿宋_GB2312" w:hAnsi="仿宋_GB2312" w:eastAsia="仿宋_GB2312" w:cs="仿宋_GB2312"/>
          <w:b/>
          <w:bCs/>
          <w:color w:val="auto"/>
          <w:sz w:val="32"/>
          <w:szCs w:val="32"/>
          <w:lang w:eastAsia="zh-CN"/>
        </w:rPr>
        <w:t>条</w:t>
      </w:r>
      <w:r>
        <w:rPr>
          <w:rFonts w:hint="eastAsia"/>
          <w:b/>
          <w:bCs/>
          <w:highlight w:val="none"/>
          <w:lang w:val="en-US" w:eastAsia="zh-CN"/>
        </w:rPr>
        <w:t xml:space="preserve">  </w:t>
      </w:r>
      <w:r>
        <w:rPr>
          <w:rFonts w:hint="eastAsia" w:ascii="仿宋_GB2312" w:hAnsi="仿宋_GB2312" w:eastAsia="仿宋_GB2312" w:cs="仿宋_GB2312"/>
          <w:color w:val="auto"/>
          <w:sz w:val="32"/>
          <w:szCs w:val="32"/>
          <w:lang w:eastAsia="zh-CN"/>
        </w:rPr>
        <w:t>为</w:t>
      </w:r>
      <w:r>
        <w:rPr>
          <w:rFonts w:hint="eastAsia" w:ascii="仿宋_GB2312" w:hAnsi="仿宋_GB2312" w:cs="仿宋_GB2312"/>
          <w:color w:val="auto"/>
          <w:sz w:val="32"/>
          <w:szCs w:val="32"/>
          <w:lang w:eastAsia="zh-CN"/>
        </w:rPr>
        <w:t>深入贯彻落实</w:t>
      </w:r>
      <w:r>
        <w:rPr>
          <w:rFonts w:hint="eastAsia" w:ascii="仿宋_GB2312" w:hAnsi="仿宋_GB2312" w:eastAsia="仿宋_GB2312" w:cs="仿宋_GB2312"/>
          <w:color w:val="auto"/>
          <w:sz w:val="32"/>
          <w:szCs w:val="32"/>
          <w:lang w:eastAsia="zh-CN"/>
        </w:rPr>
        <w:t>《广东省税费征管保障办法》</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lang w:eastAsia="zh-CN"/>
        </w:rPr>
        <w:t>加强税费征收管理，保障税费收入安全，保护纳税人缴费人合法权益，深化拓展税收共治格局，促进</w:t>
      </w:r>
      <w:r>
        <w:rPr>
          <w:rFonts w:hint="eastAsia" w:ascii="仿宋_GB2312" w:hAnsi="仿宋_GB2312" w:cs="仿宋_GB2312"/>
          <w:color w:val="auto"/>
          <w:sz w:val="32"/>
          <w:szCs w:val="32"/>
          <w:lang w:eastAsia="zh-CN"/>
        </w:rPr>
        <w:t>我是</w:t>
      </w:r>
      <w:r>
        <w:rPr>
          <w:rFonts w:hint="eastAsia" w:ascii="仿宋_GB2312" w:hAnsi="仿宋_GB2312" w:eastAsia="仿宋_GB2312" w:cs="仿宋_GB2312"/>
          <w:color w:val="auto"/>
          <w:sz w:val="32"/>
          <w:szCs w:val="32"/>
          <w:lang w:eastAsia="zh-CN"/>
        </w:rPr>
        <w:t>经济社会高质量发展，根据《中华人民共和国税收征收管理法》《中华人民共和国社会保险法》</w:t>
      </w:r>
      <w:r>
        <w:rPr>
          <w:rFonts w:hint="eastAsia" w:ascii="仿宋_GB2312" w:hAnsi="仿宋_GB2312" w:cs="仿宋_GB2312"/>
          <w:color w:val="auto"/>
          <w:sz w:val="32"/>
          <w:szCs w:val="32"/>
          <w:lang w:eastAsia="zh-CN"/>
        </w:rPr>
        <w:t>和</w:t>
      </w:r>
      <w:r>
        <w:rPr>
          <w:rFonts w:hint="eastAsia" w:ascii="仿宋_GB2312" w:hAnsi="仿宋_GB2312" w:eastAsia="仿宋_GB2312" w:cs="仿宋_GB2312"/>
          <w:color w:val="auto"/>
          <w:sz w:val="32"/>
          <w:szCs w:val="32"/>
          <w:lang w:eastAsia="zh-CN"/>
        </w:rPr>
        <w:t>非税收入征收管理等相关法律、法规规定，结合本市实际，制定本办法。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第</w:t>
      </w:r>
      <w:r>
        <w:rPr>
          <w:rFonts w:hint="eastAsia" w:ascii="仿宋_GB2312" w:hAnsi="仿宋_GB2312" w:cs="仿宋_GB2312"/>
          <w:b/>
          <w:bCs/>
          <w:color w:val="auto"/>
          <w:sz w:val="32"/>
          <w:szCs w:val="32"/>
          <w:lang w:val="en-US" w:eastAsia="zh-CN"/>
        </w:rPr>
        <w:t>二</w:t>
      </w:r>
      <w:r>
        <w:rPr>
          <w:rFonts w:hint="eastAsia" w:ascii="仿宋_GB2312" w:hAnsi="仿宋_GB2312" w:eastAsia="仿宋_GB2312" w:cs="仿宋_GB2312"/>
          <w:b/>
          <w:bCs/>
          <w:color w:val="auto"/>
          <w:sz w:val="32"/>
          <w:szCs w:val="32"/>
          <w:lang w:eastAsia="zh-CN"/>
        </w:rPr>
        <w:t>条</w:t>
      </w:r>
      <w:r>
        <w:rPr>
          <w:rFonts w:hint="eastAsia"/>
          <w:b/>
          <w:bCs/>
          <w:highlight w:val="none"/>
          <w:lang w:val="en-US" w:eastAsia="zh-CN"/>
        </w:rPr>
        <w:t xml:space="preserve">  </w:t>
      </w:r>
      <w:r>
        <w:rPr>
          <w:rFonts w:hint="eastAsia" w:ascii="仿宋_GB2312" w:hAnsi="仿宋_GB2312" w:eastAsia="仿宋_GB2312" w:cs="仿宋_GB2312"/>
          <w:color w:val="auto"/>
          <w:sz w:val="32"/>
          <w:szCs w:val="32"/>
          <w:lang w:eastAsia="zh-CN"/>
        </w:rPr>
        <w:t>本市</w:t>
      </w:r>
      <w:r>
        <w:rPr>
          <w:rFonts w:hint="eastAsia" w:ascii="仿宋_GB2312" w:hAnsi="仿宋_GB2312" w:cs="仿宋_GB2312"/>
          <w:color w:val="auto"/>
          <w:sz w:val="32"/>
          <w:szCs w:val="32"/>
          <w:lang w:eastAsia="zh-CN"/>
        </w:rPr>
        <w:t>各级</w:t>
      </w:r>
      <w:r>
        <w:rPr>
          <w:rFonts w:hint="eastAsia" w:ascii="仿宋_GB2312" w:hAnsi="仿宋_GB2312" w:eastAsia="仿宋_GB2312" w:cs="仿宋_GB2312"/>
          <w:color w:val="auto"/>
          <w:sz w:val="32"/>
          <w:szCs w:val="32"/>
          <w:lang w:eastAsia="zh-CN"/>
        </w:rPr>
        <w:t>人民政府、税务机关和有关部门、单位、社会组织及个人，为保障税费收入安全、</w:t>
      </w:r>
      <w:bookmarkStart w:id="0" w:name="_GoBack"/>
      <w:bookmarkEnd w:id="0"/>
      <w:r>
        <w:rPr>
          <w:rFonts w:hint="eastAsia" w:ascii="仿宋_GB2312" w:hAnsi="仿宋_GB2312" w:eastAsia="仿宋_GB2312" w:cs="仿宋_GB2312"/>
          <w:color w:val="auto"/>
          <w:sz w:val="32"/>
          <w:szCs w:val="32"/>
          <w:lang w:eastAsia="zh-CN"/>
        </w:rPr>
        <w:t>保护纳税人缴费人合法权益，所采取的信息共享、服务支持、征缴协助、监管协作、执法</w:t>
      </w:r>
      <w:r>
        <w:rPr>
          <w:rFonts w:hint="eastAsia" w:ascii="仿宋_GB2312" w:hAnsi="仿宋_GB2312" w:cs="仿宋_GB2312"/>
          <w:color w:val="auto"/>
          <w:sz w:val="32"/>
          <w:szCs w:val="32"/>
          <w:lang w:eastAsia="zh-CN"/>
        </w:rPr>
        <w:t>协助</w:t>
      </w:r>
      <w:r>
        <w:rPr>
          <w:rFonts w:hint="eastAsia" w:ascii="仿宋_GB2312" w:hAnsi="仿宋_GB2312" w:eastAsia="仿宋_GB2312" w:cs="仿宋_GB2312"/>
          <w:color w:val="auto"/>
          <w:sz w:val="32"/>
          <w:szCs w:val="32"/>
          <w:lang w:eastAsia="zh-CN"/>
        </w:rPr>
        <w:t>等税费征管保障措施，适用本办法。法律、法规、规章另有规定的，从其规定。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前款所称税费是指佛山市行政区域范围内由税务机关负责征收或者征收管理（以下简称征管）的各项税收、社会保险费和非税收入的总称。</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eastAsia="zh-CN"/>
        </w:rPr>
        <w:t>第</w:t>
      </w:r>
      <w:r>
        <w:rPr>
          <w:rFonts w:hint="eastAsia" w:ascii="仿宋_GB2312" w:hAnsi="仿宋_GB2312" w:cs="仿宋_GB2312"/>
          <w:b/>
          <w:bCs/>
          <w:color w:val="auto"/>
          <w:sz w:val="32"/>
          <w:szCs w:val="32"/>
          <w:lang w:eastAsia="zh-CN"/>
        </w:rPr>
        <w:t>三</w:t>
      </w:r>
      <w:r>
        <w:rPr>
          <w:rFonts w:hint="eastAsia" w:ascii="仿宋_GB2312" w:hAnsi="仿宋_GB2312" w:eastAsia="仿宋_GB2312" w:cs="仿宋_GB2312"/>
          <w:b/>
          <w:bCs/>
          <w:color w:val="auto"/>
          <w:sz w:val="32"/>
          <w:szCs w:val="32"/>
          <w:lang w:eastAsia="zh-CN"/>
        </w:rPr>
        <w:t>条</w:t>
      </w:r>
      <w:r>
        <w:rPr>
          <w:rFonts w:hint="eastAsia"/>
          <w:b/>
          <w:bCs/>
          <w:highlight w:val="none"/>
          <w:lang w:val="en-US" w:eastAsia="zh-CN"/>
        </w:rPr>
        <w:t xml:space="preserve">  </w:t>
      </w:r>
      <w:r>
        <w:rPr>
          <w:rFonts w:hint="eastAsia" w:ascii="仿宋_GB2312" w:hAnsi="仿宋_GB2312" w:cs="仿宋_GB2312"/>
          <w:color w:val="auto"/>
          <w:sz w:val="32"/>
          <w:szCs w:val="32"/>
          <w:lang w:eastAsia="zh-CN"/>
        </w:rPr>
        <w:t>税费征管保障工作应当</w:t>
      </w:r>
      <w:r>
        <w:rPr>
          <w:rFonts w:hint="eastAsia" w:ascii="仿宋_GB2312" w:hAnsi="仿宋_GB2312" w:eastAsia="仿宋_GB2312" w:cs="仿宋_GB2312"/>
          <w:color w:val="auto"/>
          <w:sz w:val="32"/>
          <w:szCs w:val="32"/>
          <w:lang w:eastAsia="zh-CN"/>
        </w:rPr>
        <w:t>坚持党的领导，构建政府主导、税务主责、部门合作、社会协同、公众参与</w:t>
      </w:r>
      <w:r>
        <w:rPr>
          <w:rFonts w:hint="eastAsia" w:ascii="仿宋_GB2312" w:hAnsi="仿宋_GB2312" w:cs="仿宋_GB2312"/>
          <w:color w:val="auto"/>
          <w:sz w:val="32"/>
          <w:szCs w:val="32"/>
          <w:lang w:eastAsia="zh-CN"/>
        </w:rPr>
        <w:t>的工作原则</w:t>
      </w:r>
      <w:r>
        <w:rPr>
          <w:rFonts w:hint="eastAsia" w:ascii="仿宋_GB2312" w:hAnsi="仿宋_GB2312" w:eastAsia="仿宋_GB2312" w:cs="仿宋_GB2312"/>
          <w:color w:val="auto"/>
          <w:sz w:val="32"/>
          <w:szCs w:val="32"/>
          <w:lang w:eastAsia="zh-CN"/>
        </w:rPr>
        <w:t>。</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jc w:val="center"/>
        <w:textAlignment w:val="auto"/>
        <w:outlineLvl w:val="0"/>
        <w:rPr>
          <w:rFonts w:hint="eastAsia"/>
          <w:lang w:eastAsia="zh-CN"/>
        </w:rPr>
      </w:pPr>
      <w:r>
        <w:rPr>
          <w:rFonts w:hint="eastAsia"/>
          <w:lang w:eastAsia="zh-CN"/>
        </w:rPr>
        <w:t>第二章</w:t>
      </w:r>
      <w:r>
        <w:rPr>
          <w:rFonts w:hint="eastAsia"/>
          <w:lang w:val="en-US" w:eastAsia="zh-CN"/>
        </w:rPr>
        <w:t xml:space="preserve">  税务机关职责</w:t>
      </w:r>
    </w:p>
    <w:p>
      <w:pPr>
        <w:pStyle w:val="12"/>
        <w:pageBreakBefore w:val="0"/>
        <w:kinsoku/>
        <w:wordWrap/>
        <w:overflowPunct/>
        <w:topLinePunct w:val="0"/>
        <w:autoSpaceDE/>
        <w:autoSpaceDN/>
        <w:bidi w:val="0"/>
        <w:adjustRightInd/>
        <w:snapToGrid/>
        <w:spacing w:line="560" w:lineRule="exact"/>
        <w:ind w:firstLine="640"/>
        <w:textAlignment w:val="auto"/>
        <w:rPr>
          <w:rFonts w:hint="eastAsia"/>
          <w:lang w:eastAsia="zh-CN"/>
        </w:rPr>
      </w:pPr>
      <w:r>
        <w:rPr>
          <w:rFonts w:hint="eastAsia"/>
          <w:b/>
          <w:bCs/>
          <w:lang w:eastAsia="zh-CN"/>
        </w:rPr>
        <w:t>第</w:t>
      </w:r>
      <w:r>
        <w:rPr>
          <w:rFonts w:hint="eastAsia"/>
          <w:b/>
          <w:bCs/>
          <w:lang w:val="en-US" w:eastAsia="zh-CN"/>
        </w:rPr>
        <w:t xml:space="preserve">四条  </w:t>
      </w:r>
      <w:r>
        <w:rPr>
          <w:rFonts w:hint="eastAsia"/>
          <w:b w:val="0"/>
          <w:bCs w:val="0"/>
          <w:lang w:val="en-US" w:eastAsia="zh-CN"/>
        </w:rPr>
        <w:t>税务机关</w:t>
      </w:r>
      <w:r>
        <w:rPr>
          <w:rFonts w:hint="eastAsia"/>
        </w:rPr>
        <w:t>按照法律、法规</w:t>
      </w:r>
      <w:r>
        <w:rPr>
          <w:rFonts w:hint="eastAsia"/>
          <w:lang w:eastAsia="zh-CN"/>
        </w:rPr>
        <w:t>、规章，以及国家和省有关规定负责税费征收管理和服务工作。</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val="en-US" w:eastAsia="zh-CN"/>
        </w:rPr>
        <w:t>五</w:t>
      </w:r>
      <w:r>
        <w:rPr>
          <w:rFonts w:hint="eastAsia"/>
          <w:b/>
          <w:bCs/>
        </w:rPr>
        <w:t>条</w:t>
      </w:r>
      <w:r>
        <w:rPr>
          <w:rFonts w:hint="eastAsia"/>
          <w:b/>
          <w:bCs/>
          <w:highlight w:val="none"/>
          <w:lang w:val="en-US" w:eastAsia="zh-CN"/>
        </w:rPr>
        <w:t xml:space="preserve">  </w:t>
      </w:r>
      <w:r>
        <w:rPr>
          <w:rFonts w:hint="eastAsia"/>
        </w:rPr>
        <w:t>税务机关应当及时、足额征收应征的税费收入</w:t>
      </w:r>
      <w:r>
        <w:rPr>
          <w:rFonts w:hint="eastAsia"/>
          <w:lang w:eastAsia="zh-CN"/>
        </w:rPr>
        <w:t>，</w:t>
      </w:r>
      <w:r>
        <w:rPr>
          <w:rFonts w:hint="eastAsia"/>
          <w:highlight w:val="none"/>
          <w:lang w:eastAsia="zh-CN"/>
        </w:rPr>
        <w:t>不得违反法律、行政法规规定开征、停征、多征、少征、提前征收、延缓征收或者摊派税费，</w:t>
      </w:r>
      <w:r>
        <w:rPr>
          <w:rFonts w:hint="eastAsia"/>
          <w:lang w:eastAsia="zh-CN"/>
        </w:rPr>
        <w:t>并</w:t>
      </w:r>
      <w:r>
        <w:rPr>
          <w:rFonts w:hint="eastAsia"/>
        </w:rPr>
        <w:t>根据当地经济社会发展水平和税源费源情况科学预测税费收入。</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b/>
          <w:bCs/>
          <w:lang w:eastAsia="zh-CN"/>
        </w:rPr>
        <w:t>第</w:t>
      </w:r>
      <w:r>
        <w:rPr>
          <w:rFonts w:hint="eastAsia"/>
          <w:b/>
          <w:bCs/>
          <w:lang w:val="en-US" w:eastAsia="zh-CN"/>
        </w:rPr>
        <w:t>六条</w:t>
      </w:r>
      <w:r>
        <w:rPr>
          <w:rFonts w:hint="eastAsia"/>
          <w:b/>
          <w:bCs/>
          <w:highlight w:val="none"/>
          <w:lang w:val="en-US" w:eastAsia="zh-CN"/>
        </w:rPr>
        <w:t xml:space="preserve">  </w:t>
      </w:r>
      <w:r>
        <w:rPr>
          <w:rFonts w:hint="eastAsia" w:ascii="仿宋_GB2312" w:hAnsi="仿宋_GB2312" w:eastAsia="仿宋_GB2312" w:cs="仿宋_GB2312"/>
          <w:sz w:val="32"/>
          <w:szCs w:val="32"/>
          <w:lang w:eastAsia="zh-CN"/>
        </w:rPr>
        <w:t>税务机关</w:t>
      </w:r>
      <w:r>
        <w:rPr>
          <w:rFonts w:hint="eastAsia" w:ascii="仿宋_GB2312" w:hAnsi="仿宋_GB2312" w:cs="仿宋_GB2312"/>
          <w:sz w:val="32"/>
          <w:szCs w:val="32"/>
          <w:lang w:eastAsia="zh-CN"/>
        </w:rPr>
        <w:t>应积极主动与地方</w:t>
      </w:r>
      <w:r>
        <w:rPr>
          <w:rFonts w:hint="eastAsia" w:ascii="仿宋_GB2312" w:hAnsi="仿宋_GB2312" w:eastAsia="仿宋_GB2312" w:cs="仿宋_GB2312"/>
          <w:sz w:val="32"/>
          <w:szCs w:val="32"/>
          <w:lang w:eastAsia="zh-CN"/>
        </w:rPr>
        <w:t>人民政府</w:t>
      </w:r>
      <w:r>
        <w:rPr>
          <w:rFonts w:hint="eastAsia" w:ascii="仿宋_GB2312" w:hAnsi="仿宋_GB2312" w:cs="仿宋_GB2312"/>
          <w:sz w:val="32"/>
          <w:szCs w:val="32"/>
          <w:lang w:eastAsia="zh-CN"/>
        </w:rPr>
        <w:t>、</w:t>
      </w:r>
      <w:r>
        <w:rPr>
          <w:rFonts w:hint="eastAsia" w:ascii="仿宋_GB2312" w:hAnsi="仿宋_GB2312" w:eastAsia="仿宋_GB2312" w:cs="仿宋_GB2312"/>
          <w:sz w:val="32"/>
          <w:szCs w:val="32"/>
          <w:lang w:eastAsia="zh-CN"/>
        </w:rPr>
        <w:t>有关部门和机构加强在税费申报、税费优惠、</w:t>
      </w:r>
      <w:r>
        <w:rPr>
          <w:rFonts w:hint="eastAsia" w:ascii="仿宋_GB2312" w:hAnsi="仿宋_GB2312" w:eastAsia="仿宋_GB2312" w:cs="仿宋_GB2312"/>
          <w:sz w:val="32"/>
          <w:szCs w:val="32"/>
          <w:highlight w:val="none"/>
          <w:lang w:eastAsia="zh-CN"/>
        </w:rPr>
        <w:t>委托代征</w:t>
      </w:r>
      <w:r>
        <w:rPr>
          <w:rFonts w:hint="eastAsia" w:ascii="仿宋_GB2312" w:hAnsi="仿宋_GB2312" w:eastAsia="仿宋_GB2312" w:cs="仿宋_GB2312"/>
          <w:sz w:val="32"/>
          <w:szCs w:val="32"/>
          <w:lang w:eastAsia="zh-CN"/>
        </w:rPr>
        <w:t>、缴款入库、行政强制、破产注销、违法查处、争议救济等税费征收管理环节的协同。</w:t>
      </w:r>
    </w:p>
    <w:p>
      <w:pPr>
        <w:pStyle w:val="12"/>
        <w:pageBreakBefore w:val="0"/>
        <w:kinsoku/>
        <w:wordWrap/>
        <w:overflowPunct/>
        <w:topLinePunct w:val="0"/>
        <w:autoSpaceDE/>
        <w:autoSpaceDN/>
        <w:bidi w:val="0"/>
        <w:adjustRightInd/>
        <w:snapToGrid/>
        <w:spacing w:line="560" w:lineRule="exact"/>
        <w:ind w:firstLine="640"/>
        <w:textAlignment w:val="auto"/>
        <w:rPr>
          <w:rFonts w:hint="eastAsia"/>
          <w:lang w:eastAsia="zh-CN"/>
        </w:rPr>
      </w:pPr>
      <w:r>
        <w:rPr>
          <w:rFonts w:hint="eastAsia"/>
          <w:b/>
          <w:bCs/>
          <w:lang w:eastAsia="zh-CN"/>
        </w:rPr>
        <w:t>第七条</w:t>
      </w:r>
      <w:r>
        <w:rPr>
          <w:rFonts w:hint="eastAsia"/>
          <w:b/>
          <w:bCs/>
          <w:highlight w:val="none"/>
          <w:lang w:val="en-US" w:eastAsia="zh-CN"/>
        </w:rPr>
        <w:t xml:space="preserve">  </w:t>
      </w:r>
      <w:r>
        <w:rPr>
          <w:rFonts w:hint="eastAsia"/>
          <w:lang w:eastAsia="zh-CN"/>
        </w:rPr>
        <w:t>税务机关应当会同有关部门和机构建立健全税费优惠政策便捷享受机制，提高税费优惠政策落实效率，精准落实税费优惠政策，保障纳税人缴费人充分享受税费优惠。</w:t>
      </w:r>
      <w:r>
        <w:rPr>
          <w:rFonts w:hint="eastAsia"/>
          <w:highlight w:val="none"/>
          <w:lang w:eastAsia="zh-CN"/>
        </w:rPr>
        <w:t>税务机关应当围绕引导和规范新技术、新业态、新模式健康发展，及时发布涉税费政策指引</w:t>
      </w:r>
      <w:r>
        <w:rPr>
          <w:rFonts w:hint="eastAsia"/>
          <w:highlight w:val="none"/>
        </w:rPr>
        <w:t>。</w:t>
      </w:r>
    </w:p>
    <w:p>
      <w:pPr>
        <w:pStyle w:val="12"/>
        <w:pageBreakBefore w:val="0"/>
        <w:kinsoku/>
        <w:wordWrap/>
        <w:overflowPunct/>
        <w:topLinePunct w:val="0"/>
        <w:autoSpaceDE/>
        <w:autoSpaceDN/>
        <w:bidi w:val="0"/>
        <w:adjustRightInd/>
        <w:snapToGrid/>
        <w:spacing w:line="560" w:lineRule="exact"/>
        <w:ind w:firstLine="643"/>
        <w:textAlignment w:val="auto"/>
        <w:rPr>
          <w:rFonts w:hint="eastAsia" w:eastAsia="仿宋_GB2312"/>
          <w:highlight w:val="none"/>
          <w:lang w:eastAsia="zh-CN"/>
        </w:rPr>
      </w:pPr>
      <w:r>
        <w:rPr>
          <w:rFonts w:hint="eastAsia"/>
          <w:b/>
          <w:bCs/>
          <w:highlight w:val="none"/>
          <w:lang w:eastAsia="zh-CN"/>
        </w:rPr>
        <w:t>第</w:t>
      </w:r>
      <w:r>
        <w:rPr>
          <w:rFonts w:hint="eastAsia"/>
          <w:b/>
          <w:bCs/>
          <w:highlight w:val="none"/>
          <w:lang w:val="en-US" w:eastAsia="zh-CN"/>
        </w:rPr>
        <w:t xml:space="preserve">八条  </w:t>
      </w:r>
      <w:r>
        <w:rPr>
          <w:rFonts w:hint="eastAsia"/>
          <w:highlight w:val="none"/>
          <w:lang w:eastAsia="zh-CN"/>
        </w:rPr>
        <w:t>税务机关应当坚持以服务纳税人缴费人为中心，统筹税收、社会保险费、非税收入服务，将办税缴费服务融入政务服务体系。</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b/>
          <w:bCs/>
        </w:rPr>
        <w:t>第</w:t>
      </w:r>
      <w:r>
        <w:rPr>
          <w:rFonts w:hint="eastAsia"/>
          <w:b/>
          <w:bCs/>
          <w:lang w:eastAsia="zh-CN"/>
        </w:rPr>
        <w:t>九</w:t>
      </w:r>
      <w:r>
        <w:rPr>
          <w:rFonts w:hint="eastAsia"/>
          <w:b/>
          <w:bCs/>
        </w:rPr>
        <w:t>条</w:t>
      </w:r>
      <w:r>
        <w:rPr>
          <w:rFonts w:hint="eastAsia"/>
          <w:lang w:eastAsia="zh-CN"/>
        </w:rPr>
        <w:t xml:space="preserve">  </w:t>
      </w:r>
      <w:r>
        <w:rPr>
          <w:rFonts w:hint="eastAsia"/>
        </w:rPr>
        <w:t>税务机关应当广泛宣传税费法规政策，普及办税缴费知识，依法为纳税人缴费人提供政策咨询、税费辅导、办事指南、权利救济等服务。</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val="en-US" w:eastAsia="zh-CN"/>
        </w:rPr>
        <w:t>十</w:t>
      </w:r>
      <w:r>
        <w:rPr>
          <w:rFonts w:hint="eastAsia"/>
          <w:b/>
          <w:bCs/>
        </w:rPr>
        <w:t>条</w:t>
      </w:r>
      <w:r>
        <w:rPr>
          <w:rFonts w:hint="eastAsia"/>
          <w:b/>
          <w:bCs/>
          <w:lang w:val="en-US" w:eastAsia="zh-CN"/>
        </w:rPr>
        <w:t xml:space="preserve">  </w:t>
      </w:r>
      <w:r>
        <w:rPr>
          <w:rFonts w:hint="eastAsia"/>
        </w:rPr>
        <w:t>税务机关应当持续完善税费服务方式，优化办税缴费、退税退费等服务流程，推动税费服务事项网上办、掌上办、自助办、跨部门联办、“一厅通办”、跨区域通办，提升办税缴费服务的便利化、数字化、智能化水平。</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rPr>
        <w:t>税务机关要以服务纳税人缴费人为中心，为老年人、残疾人等有特殊需求的纳税人缴费人提供必要的办税缴费便利。</w:t>
      </w:r>
    </w:p>
    <w:p>
      <w:pPr>
        <w:pStyle w:val="12"/>
        <w:pageBreakBefore w:val="0"/>
        <w:kinsoku/>
        <w:wordWrap/>
        <w:overflowPunct/>
        <w:topLinePunct w:val="0"/>
        <w:autoSpaceDE/>
        <w:autoSpaceDN/>
        <w:bidi w:val="0"/>
        <w:adjustRightInd/>
        <w:snapToGrid/>
        <w:spacing w:line="560" w:lineRule="exact"/>
        <w:ind w:firstLine="640"/>
        <w:textAlignment w:val="auto"/>
        <w:rPr>
          <w:rFonts w:hint="default" w:eastAsia="仿宋_GB2312"/>
          <w:highlight w:val="none"/>
          <w:lang w:val="en-US" w:eastAsia="zh-CN"/>
        </w:rPr>
      </w:pPr>
      <w:r>
        <w:rPr>
          <w:rFonts w:hint="eastAsia"/>
          <w:b/>
          <w:bCs/>
          <w:lang w:eastAsia="zh-CN"/>
        </w:rPr>
        <w:t>第十一</w:t>
      </w:r>
      <w:r>
        <w:rPr>
          <w:rFonts w:hint="eastAsia"/>
          <w:b/>
          <w:bCs/>
          <w:lang w:val="en-US" w:eastAsia="zh-CN"/>
        </w:rPr>
        <w:t xml:space="preserve">条  </w:t>
      </w:r>
      <w:r>
        <w:rPr>
          <w:rFonts w:hint="eastAsia"/>
          <w:highlight w:val="none"/>
          <w:lang w:val="en-US" w:eastAsia="zh-CN"/>
        </w:rPr>
        <w:t>税务机关应当坚持以“信用+风险”监管为基础，运用大数据实施分类分级精准监管，加强重点风险领域税务监管，防范和化解重大税收风险。税务机关应当联合有关部门依法严厉打击涉税费违法行为，健全违法查处工作机制，维护公平市场营商环境。</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b/>
          <w:bCs/>
          <w:lang w:eastAsia="zh-CN"/>
        </w:rPr>
        <w:t>第</w:t>
      </w:r>
      <w:r>
        <w:rPr>
          <w:rFonts w:hint="eastAsia"/>
          <w:b/>
          <w:bCs/>
          <w:lang w:val="en-US" w:eastAsia="zh-CN"/>
        </w:rPr>
        <w:t xml:space="preserve">十二条  </w:t>
      </w:r>
      <w:r>
        <w:rPr>
          <w:rFonts w:hint="eastAsia"/>
          <w:highlight w:val="none"/>
        </w:rPr>
        <w:t>税务机关应当按照有关规定对纳税信用信息进行归集、披露、使用和管理，</w:t>
      </w:r>
      <w:r>
        <w:rPr>
          <w:rFonts w:hint="eastAsia"/>
          <w:highlight w:val="none"/>
          <w:lang w:eastAsia="zh-CN"/>
        </w:rPr>
        <w:t>推进纳税人缴费人动态信用监管，实行差异化的服务管理，</w:t>
      </w:r>
      <w:r>
        <w:rPr>
          <w:rFonts w:hint="eastAsia"/>
          <w:lang w:eastAsia="zh-CN"/>
        </w:rPr>
        <w:t>并</w:t>
      </w:r>
      <w:r>
        <w:rPr>
          <w:rFonts w:hint="eastAsia"/>
        </w:rPr>
        <w:t>将纳税人受到行政处罚或行政强制的情况以及其他纳税信用信息，共享至同级公共信用信息平台。</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val="en-US" w:eastAsia="zh-CN"/>
        </w:rPr>
        <w:t>十三</w:t>
      </w:r>
      <w:r>
        <w:rPr>
          <w:rFonts w:hint="eastAsia"/>
          <w:b/>
          <w:bCs/>
        </w:rPr>
        <w:t>条</w:t>
      </w:r>
      <w:r>
        <w:rPr>
          <w:rFonts w:hint="eastAsia"/>
          <w:lang w:eastAsia="zh-CN"/>
        </w:rPr>
        <w:t xml:space="preserve">  </w:t>
      </w:r>
      <w:r>
        <w:rPr>
          <w:rFonts w:hint="eastAsia"/>
        </w:rPr>
        <w:t>税务机关联合有关部门依法依规加强对涉税专业服务机构的执业监管和行业监管，促进涉税专业服务行业规范发展，对参与逃、骗、抗税费或虚开发票行为以及为纳税人缴费人逃、骗、抗税费或虚开发票行为提供帮助，以及违规提供税收策划服务、发布违法违规信息、歪曲解读税收政策、扰乱正常税收秩序的，依法依规予以惩治。</w:t>
      </w:r>
    </w:p>
    <w:p>
      <w:pPr>
        <w:pStyle w:val="4"/>
        <w:pageBreakBefore w:val="0"/>
        <w:kinsoku/>
        <w:wordWrap/>
        <w:overflowPunct/>
        <w:topLinePunct w:val="0"/>
        <w:autoSpaceDE/>
        <w:autoSpaceDN/>
        <w:bidi w:val="0"/>
        <w:adjustRightInd/>
        <w:snapToGrid/>
        <w:spacing w:line="560" w:lineRule="exact"/>
        <w:ind w:firstLine="0" w:firstLineChars="0"/>
        <w:jc w:val="center"/>
        <w:textAlignment w:val="auto"/>
        <w:outlineLvl w:val="0"/>
        <w:rPr>
          <w:rFonts w:hint="default"/>
          <w:lang w:val="en-US" w:eastAsia="zh-CN"/>
        </w:rPr>
      </w:pPr>
      <w:r>
        <w:rPr>
          <w:rFonts w:hint="eastAsia"/>
          <w:lang w:val="en-US" w:eastAsia="zh-CN"/>
        </w:rPr>
        <w:t>第三章 有关部门、社会组织、个人支持配合协作</w:t>
      </w:r>
    </w:p>
    <w:p>
      <w:pPr>
        <w:pStyle w:val="1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2"/>
        <w:rPr>
          <w:rFonts w:hint="eastAsia"/>
          <w:b/>
          <w:bCs/>
          <w:lang w:val="en-US" w:eastAsia="zh-CN"/>
        </w:rPr>
      </w:pPr>
      <w:r>
        <w:rPr>
          <w:rFonts w:hint="eastAsia"/>
          <w:b/>
          <w:bCs/>
          <w:lang w:val="zh-CN" w:eastAsia="zh-CN"/>
        </w:rPr>
        <w:t>第一节</w:t>
      </w:r>
      <w:r>
        <w:rPr>
          <w:rFonts w:hint="eastAsia"/>
          <w:b/>
          <w:bCs/>
          <w:lang w:val="en-US" w:eastAsia="zh-CN"/>
        </w:rPr>
        <w:t xml:space="preserve"> 总体要求</w:t>
      </w:r>
    </w:p>
    <w:p>
      <w:pPr>
        <w:keepNext w:val="0"/>
        <w:keepLines w:val="0"/>
        <w:pageBreakBefore w:val="0"/>
        <w:widowControl/>
        <w:kinsoku/>
        <w:wordWrap/>
        <w:overflowPunct/>
        <w:topLinePunct w:val="0"/>
        <w:autoSpaceDE/>
        <w:autoSpaceDN/>
        <w:bidi w:val="0"/>
        <w:adjustRightInd/>
        <w:snapToGrid/>
        <w:spacing w:beforeLines="0" w:afterLines="0" w:line="560" w:lineRule="exact"/>
        <w:ind w:firstLine="880"/>
        <w:textAlignment w:val="auto"/>
        <w:rPr>
          <w:rFonts w:hint="eastAsia" w:ascii="仿宋_GB2312" w:hAnsi="仿宋_GB2312" w:eastAsia="仿宋_GB2312"/>
          <w:sz w:val="32"/>
          <w:szCs w:val="24"/>
          <w:lang w:val="zh-CN"/>
        </w:rPr>
      </w:pPr>
      <w:r>
        <w:rPr>
          <w:rFonts w:hint="eastAsia" w:ascii="仿宋_GB2312" w:hAnsi="仿宋_GB2312" w:eastAsia="仿宋_GB2312"/>
          <w:b/>
          <w:sz w:val="32"/>
          <w:szCs w:val="24"/>
          <w:lang w:val="zh-CN"/>
        </w:rPr>
        <w:t>第</w:t>
      </w:r>
      <w:r>
        <w:rPr>
          <w:rFonts w:hint="eastAsia" w:ascii="仿宋_GB2312" w:hAnsi="仿宋_GB2312"/>
          <w:b/>
          <w:sz w:val="32"/>
          <w:szCs w:val="24"/>
          <w:lang w:val="zh-CN"/>
        </w:rPr>
        <w:t>十四</w:t>
      </w:r>
      <w:r>
        <w:rPr>
          <w:rFonts w:hint="eastAsia" w:ascii="仿宋_GB2312" w:hAnsi="仿宋_GB2312" w:eastAsia="仿宋_GB2312"/>
          <w:b/>
          <w:sz w:val="32"/>
          <w:szCs w:val="24"/>
          <w:lang w:val="zh-CN"/>
        </w:rPr>
        <w:t xml:space="preserve">条 </w:t>
      </w:r>
      <w:r>
        <w:rPr>
          <w:rFonts w:hint="eastAsia" w:ascii="仿宋_GB2312" w:hAnsi="仿宋_GB2312" w:eastAsia="仿宋_GB2312"/>
          <w:sz w:val="32"/>
          <w:szCs w:val="24"/>
          <w:lang w:val="zh-CN"/>
        </w:rPr>
        <w:t>地方各级人民政府应当加强对税费征管保障工作的领导，组织、指导、协调、督促有关部门和单位落实税费征管保障措施，将税费征管保障工作列入本级政府工作目标管理和绩效考核范围。</w:t>
      </w:r>
    </w:p>
    <w:p>
      <w:pPr>
        <w:pStyle w:val="12"/>
        <w:pageBreakBefore w:val="0"/>
        <w:kinsoku/>
        <w:wordWrap/>
        <w:overflowPunct/>
        <w:topLinePunct w:val="0"/>
        <w:autoSpaceDE/>
        <w:autoSpaceDN/>
        <w:bidi w:val="0"/>
        <w:adjustRightInd/>
        <w:snapToGrid/>
        <w:spacing w:line="560" w:lineRule="exact"/>
        <w:ind w:firstLine="643"/>
        <w:textAlignment w:val="auto"/>
        <w:rPr>
          <w:rFonts w:hint="eastAsia" w:ascii="仿宋_GB2312" w:hAnsi="仿宋_GB2312" w:eastAsia="仿宋_GB2312"/>
          <w:sz w:val="32"/>
          <w:szCs w:val="24"/>
          <w:lang w:val="zh-CN"/>
        </w:rPr>
      </w:pPr>
      <w:r>
        <w:rPr>
          <w:rFonts w:hint="eastAsia" w:ascii="仿宋_GB2312" w:hAnsi="仿宋_GB2312" w:eastAsia="仿宋_GB2312"/>
          <w:b/>
          <w:sz w:val="32"/>
          <w:szCs w:val="24"/>
          <w:lang w:val="zh-CN"/>
        </w:rPr>
        <w:t>第</w:t>
      </w:r>
      <w:r>
        <w:rPr>
          <w:rFonts w:hint="eastAsia"/>
          <w:b/>
          <w:sz w:val="32"/>
          <w:szCs w:val="24"/>
          <w:lang w:val="zh-CN"/>
        </w:rPr>
        <w:t>十五</w:t>
      </w:r>
      <w:r>
        <w:rPr>
          <w:rFonts w:hint="eastAsia" w:ascii="仿宋_GB2312" w:hAnsi="仿宋_GB2312" w:eastAsia="仿宋_GB2312"/>
          <w:b/>
          <w:sz w:val="32"/>
          <w:szCs w:val="24"/>
          <w:lang w:val="zh-CN"/>
        </w:rPr>
        <w:t>条</w:t>
      </w:r>
      <w:r>
        <w:rPr>
          <w:rFonts w:hint="eastAsia"/>
          <w:b/>
          <w:sz w:val="32"/>
          <w:szCs w:val="24"/>
          <w:lang w:val="en-US" w:eastAsia="zh-CN"/>
        </w:rPr>
        <w:t xml:space="preserve">  </w:t>
      </w:r>
      <w:r>
        <w:rPr>
          <w:rFonts w:hint="eastAsia" w:ascii="仿宋_GB2312" w:hAnsi="仿宋_GB2312" w:eastAsia="仿宋_GB2312"/>
          <w:sz w:val="32"/>
          <w:szCs w:val="24"/>
          <w:lang w:val="zh-CN"/>
        </w:rPr>
        <w:t>乡镇人民政府、街道办事处应当依托网格化社会综合治理，为税务机关做好税费征管服务、诉求收集响应、税费政策宣传、争议处理化解、信息共享等工作提供保障。</w:t>
      </w:r>
    </w:p>
    <w:p>
      <w:pPr>
        <w:pStyle w:val="1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2"/>
        <w:rPr>
          <w:rFonts w:hint="default"/>
          <w:b/>
          <w:bCs/>
          <w:lang w:val="en-US" w:eastAsia="zh-CN"/>
        </w:rPr>
      </w:pPr>
      <w:r>
        <w:rPr>
          <w:rFonts w:hint="eastAsia"/>
          <w:b/>
          <w:bCs/>
          <w:lang w:eastAsia="zh-CN"/>
        </w:rPr>
        <w:t>第二节</w:t>
      </w:r>
      <w:r>
        <w:rPr>
          <w:rFonts w:hint="eastAsia"/>
          <w:b/>
          <w:bCs/>
          <w:lang w:val="en-US" w:eastAsia="zh-CN"/>
        </w:rPr>
        <w:t xml:space="preserve"> 税费征管</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b/>
          <w:bCs/>
          <w:lang w:eastAsia="zh-CN"/>
        </w:rPr>
        <w:t>第</w:t>
      </w:r>
      <w:r>
        <w:rPr>
          <w:rFonts w:hint="eastAsia"/>
          <w:b/>
          <w:bCs/>
          <w:lang w:val="en-US" w:eastAsia="zh-CN"/>
        </w:rPr>
        <w:t xml:space="preserve">十六条  </w:t>
      </w:r>
      <w:r>
        <w:rPr>
          <w:rFonts w:hint="eastAsia"/>
        </w:rPr>
        <w:t>地方各级人民政府相关职能部门应当支持税务机关依法依规征缴税费，严禁对税费征缴工作进行不当行政干预。</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rPr>
        <w:t>有关部门应当按照法律、行政法规的规定或与税务机关签订的协议，及时、足额代收或代扣代缴、代征、预扣预缴相关税费，不得擅自扩大或者缩小征收范围，不得擅自不征、少征、多征、提前征收或者减征、免征、缓征税费，不得挤占、截留、挪用或者延迟解缴税费。</w:t>
      </w:r>
    </w:p>
    <w:p>
      <w:pPr>
        <w:pStyle w:val="12"/>
        <w:pageBreakBefore w:val="0"/>
        <w:kinsoku/>
        <w:wordWrap/>
        <w:overflowPunct/>
        <w:topLinePunct w:val="0"/>
        <w:autoSpaceDE/>
        <w:autoSpaceDN/>
        <w:bidi w:val="0"/>
        <w:adjustRightInd/>
        <w:snapToGrid/>
        <w:spacing w:line="560" w:lineRule="exact"/>
        <w:ind w:firstLine="643"/>
        <w:textAlignment w:val="auto"/>
        <w:rPr>
          <w:rFonts w:hint="eastAsia"/>
          <w:lang w:eastAsia="zh-CN"/>
        </w:rPr>
      </w:pPr>
      <w:r>
        <w:rPr>
          <w:rFonts w:hint="eastAsia"/>
          <w:b/>
          <w:bCs/>
        </w:rPr>
        <w:t>第</w:t>
      </w:r>
      <w:r>
        <w:rPr>
          <w:rFonts w:hint="eastAsia"/>
          <w:b/>
          <w:bCs/>
          <w:lang w:val="en-US" w:eastAsia="zh-CN"/>
        </w:rPr>
        <w:t>十七</w:t>
      </w:r>
      <w:r>
        <w:rPr>
          <w:rFonts w:hint="eastAsia"/>
          <w:b/>
          <w:bCs/>
        </w:rPr>
        <w:t>条</w:t>
      </w:r>
      <w:r>
        <w:rPr>
          <w:rFonts w:hint="eastAsia"/>
          <w:lang w:eastAsia="zh-CN"/>
        </w:rPr>
        <w:t xml:space="preserve">  </w:t>
      </w:r>
      <w:r>
        <w:rPr>
          <w:rFonts w:hint="eastAsia"/>
        </w:rPr>
        <w:t>地方各级人民政府相关职能部门应当根据国民经济和社会发展规划，优化和调整产业结构，积极培植税源费源。</w:t>
      </w:r>
      <w:r>
        <w:rPr>
          <w:rFonts w:hint="eastAsia"/>
          <w:lang w:eastAsia="zh-CN"/>
        </w:rPr>
        <w:t>税务机关和有关部门应当引导和规范新技术、新产业、新业态、新模式健康发展。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cs="仿宋_GB2312"/>
          <w:b/>
          <w:bCs/>
          <w:sz w:val="32"/>
          <w:szCs w:val="32"/>
          <w:lang w:eastAsia="zh-CN"/>
        </w:rPr>
        <w:t>第</w:t>
      </w:r>
      <w:r>
        <w:rPr>
          <w:rFonts w:hint="eastAsia" w:ascii="仿宋_GB2312" w:hAnsi="仿宋_GB2312" w:cs="仿宋_GB2312"/>
          <w:b/>
          <w:bCs/>
          <w:sz w:val="32"/>
          <w:szCs w:val="32"/>
          <w:lang w:val="en-US" w:eastAsia="zh-CN"/>
        </w:rPr>
        <w:t xml:space="preserve">十八条  </w:t>
      </w:r>
      <w:r>
        <w:rPr>
          <w:rFonts w:hint="eastAsia" w:ascii="仿宋_GB2312" w:hAnsi="仿宋_GB2312" w:eastAsia="仿宋_GB2312" w:cs="仿宋_GB2312"/>
          <w:sz w:val="32"/>
          <w:szCs w:val="32"/>
          <w:lang w:eastAsia="zh-CN"/>
        </w:rPr>
        <w:t>税务机关因税费征收管理等需要，要求同级有关部门和机构提供协助的，有关部门和机构应当予以协助。</w:t>
      </w:r>
      <w:r>
        <w:rPr>
          <w:rFonts w:hint="eastAsia" w:ascii="仿宋_GB2312" w:hAnsi="仿宋_GB2312" w:cs="仿宋_GB2312"/>
          <w:sz w:val="32"/>
          <w:szCs w:val="32"/>
          <w:lang w:eastAsia="zh-CN"/>
        </w:rPr>
        <w:t>区</w:t>
      </w:r>
      <w:r>
        <w:rPr>
          <w:rFonts w:hint="eastAsia" w:ascii="仿宋_GB2312" w:hAnsi="仿宋_GB2312" w:eastAsia="仿宋_GB2312" w:cs="仿宋_GB2312"/>
          <w:sz w:val="32"/>
          <w:szCs w:val="32"/>
          <w:lang w:eastAsia="zh-CN"/>
        </w:rPr>
        <w:t>级以上人民政府有关部门和机构因履行职责等需要，要求同级税务机关提供协助的，税务机关应当予以协助。法律、法规、规章另有规定的除外。</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color w:val="auto"/>
        </w:rPr>
      </w:pPr>
      <w:r>
        <w:rPr>
          <w:rFonts w:hint="eastAsia"/>
          <w:b/>
          <w:bCs/>
          <w:color w:val="auto"/>
          <w:lang w:eastAsia="zh-CN"/>
        </w:rPr>
        <w:t>第</w:t>
      </w:r>
      <w:r>
        <w:rPr>
          <w:rFonts w:hint="eastAsia"/>
          <w:b/>
          <w:bCs/>
          <w:color w:val="auto"/>
          <w:lang w:val="en-US" w:eastAsia="zh-CN"/>
        </w:rPr>
        <w:t xml:space="preserve">十九条  </w:t>
      </w:r>
      <w:r>
        <w:rPr>
          <w:rFonts w:hint="eastAsia"/>
          <w:color w:val="auto"/>
        </w:rPr>
        <w:t>在税务机关需要查询有关涉税费信息、提出相关事项复核申请</w:t>
      </w:r>
      <w:r>
        <w:rPr>
          <w:rFonts w:hint="eastAsia"/>
          <w:color w:val="auto"/>
          <w:lang w:eastAsia="zh-CN"/>
        </w:rPr>
        <w:t>时</w:t>
      </w:r>
      <w:r>
        <w:rPr>
          <w:rFonts w:hint="eastAsia"/>
          <w:color w:val="auto"/>
        </w:rPr>
        <w:t>，有关部门应当依法依规予以协助</w:t>
      </w:r>
      <w:r>
        <w:rPr>
          <w:rFonts w:hint="eastAsia"/>
          <w:color w:val="auto"/>
          <w:lang w:eastAsia="zh-CN"/>
        </w:rPr>
        <w:t>。在税务机关进行税务检查需要</w:t>
      </w:r>
      <w:r>
        <w:rPr>
          <w:rFonts w:hint="eastAsia"/>
          <w:color w:val="auto"/>
        </w:rPr>
        <w:t>调取、收集、复制涉税费信息</w:t>
      </w:r>
      <w:r>
        <w:rPr>
          <w:rFonts w:hint="eastAsia"/>
          <w:color w:val="auto"/>
          <w:lang w:eastAsia="zh-CN"/>
        </w:rPr>
        <w:t>时，</w:t>
      </w:r>
      <w:r>
        <w:rPr>
          <w:rFonts w:hint="eastAsia"/>
          <w:color w:val="auto"/>
        </w:rPr>
        <w:t>有关部门</w:t>
      </w:r>
      <w:r>
        <w:rPr>
          <w:rFonts w:hint="eastAsia"/>
          <w:color w:val="auto"/>
          <w:lang w:eastAsia="zh-CN"/>
        </w:rPr>
        <w:t>应当依法依规配合协助。有关部门应当依法依规</w:t>
      </w:r>
      <w:r>
        <w:rPr>
          <w:rFonts w:hint="eastAsia"/>
          <w:color w:val="auto"/>
        </w:rPr>
        <w:t>向税务机关提供人脸识别、身份认证、通讯信息等通用系统的调取验证接口，提高税务信息验证的准确性。</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rPr>
        <w:t>有关部门在办理有关业务时，应当按照法律法规和国家规定查验有关涉税费证明，对不符合规定的，依法不予办理，保障相关税费及时、足额征收。</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lang w:eastAsia="zh-CN"/>
        </w:rPr>
        <w:t>第</w:t>
      </w:r>
      <w:r>
        <w:rPr>
          <w:rFonts w:hint="eastAsia"/>
          <w:b/>
          <w:bCs/>
          <w:lang w:val="en-US" w:eastAsia="zh-CN"/>
        </w:rPr>
        <w:t>二十条</w:t>
      </w:r>
      <w:r>
        <w:rPr>
          <w:rFonts w:hint="eastAsia"/>
          <w:lang w:eastAsia="zh-CN"/>
        </w:rPr>
        <w:t xml:space="preserve">  </w:t>
      </w:r>
      <w:r>
        <w:rPr>
          <w:rFonts w:hint="eastAsia"/>
        </w:rPr>
        <w:t>有关部门应当在税务机关实施税收保全措施或者强制执行措施时，依法依规予以配合协助。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税务机关依法查封纳税人、扣缴义务人不动产的，应当向自然资源部门发出协助执行通知书和行政决定书。查封期间，自然资源部门依法不予受理不动产转移登记、抵押权登记等事项。</w:t>
      </w:r>
    </w:p>
    <w:p>
      <w:pPr>
        <w:pStyle w:val="12"/>
        <w:pageBreakBefore w:val="0"/>
        <w:kinsoku/>
        <w:wordWrap/>
        <w:overflowPunct/>
        <w:topLinePunct w:val="0"/>
        <w:autoSpaceDE/>
        <w:autoSpaceDN/>
        <w:bidi w:val="0"/>
        <w:adjustRightInd/>
        <w:snapToGrid/>
        <w:spacing w:line="560" w:lineRule="exact"/>
        <w:ind w:firstLine="643"/>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税务机关依法拍卖或者变卖纳税人、扣缴义务人不动产的，应当向自然资源部门发出协助执行通知书和行政决定书，自然资源部门应当依法协助税务机关办理权属转移登记。</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lang w:eastAsia="zh-CN"/>
        </w:rPr>
        <w:t>第</w:t>
      </w:r>
      <w:r>
        <w:rPr>
          <w:rFonts w:hint="eastAsia"/>
          <w:b/>
          <w:bCs/>
          <w:lang w:val="en-US" w:eastAsia="zh-CN"/>
        </w:rPr>
        <w:t>二十一条</w:t>
      </w:r>
      <w:r>
        <w:rPr>
          <w:rFonts w:hint="eastAsia"/>
          <w:lang w:eastAsia="zh-CN"/>
        </w:rPr>
        <w:t xml:space="preserve">  </w:t>
      </w:r>
      <w:r>
        <w:rPr>
          <w:rFonts w:hint="eastAsia"/>
        </w:rPr>
        <w:t>有关部门在依法履行职责过程中发现涉税费问题，应及时告知同级税务机关，情况复杂的应通过书面方式告知，并予以协助。</w:t>
      </w:r>
    </w:p>
    <w:p>
      <w:pPr>
        <w:pStyle w:val="1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2"/>
        <w:rPr>
          <w:rFonts w:hint="default"/>
          <w:b/>
          <w:bCs/>
          <w:lang w:val="en-US" w:eastAsia="zh-CN"/>
        </w:rPr>
      </w:pPr>
      <w:r>
        <w:rPr>
          <w:rFonts w:hint="eastAsia"/>
          <w:b/>
          <w:bCs/>
          <w:lang w:eastAsia="zh-CN"/>
        </w:rPr>
        <w:t>第三节</w:t>
      </w:r>
      <w:r>
        <w:rPr>
          <w:rFonts w:hint="eastAsia"/>
          <w:b/>
          <w:bCs/>
          <w:lang w:val="en-US" w:eastAsia="zh-CN"/>
        </w:rPr>
        <w:t xml:space="preserve"> 税费服务</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eastAsia="zh-CN"/>
        </w:rPr>
        <w:t>二十二</w:t>
      </w:r>
      <w:r>
        <w:rPr>
          <w:rFonts w:hint="eastAsia"/>
          <w:b/>
          <w:bCs/>
        </w:rPr>
        <w:t>条</w:t>
      </w:r>
      <w:r>
        <w:rPr>
          <w:rFonts w:hint="eastAsia"/>
          <w:b/>
          <w:bCs/>
          <w:lang w:val="en-US" w:eastAsia="zh-CN"/>
        </w:rPr>
        <w:t xml:space="preserve">  </w:t>
      </w:r>
      <w:r>
        <w:rPr>
          <w:rFonts w:hint="eastAsia" w:ascii="仿宋_GB2312" w:hAnsi="宋体" w:eastAsia="仿宋_GB2312" w:cs="仿宋_GB2312"/>
          <w:b w:val="0"/>
          <w:bCs w:val="0"/>
          <w:i w:val="0"/>
          <w:iCs w:val="0"/>
          <w:caps w:val="0"/>
          <w:color w:val="000000"/>
          <w:spacing w:val="0"/>
          <w:sz w:val="32"/>
          <w:szCs w:val="32"/>
          <w:highlight w:val="none"/>
          <w:shd w:val="clear" w:color="auto" w:fill="FFFFFF"/>
          <w:lang w:val="en-US" w:eastAsia="zh-CN"/>
        </w:rPr>
        <w:t>地方</w:t>
      </w:r>
      <w:r>
        <w:rPr>
          <w:rFonts w:hint="eastAsia" w:ascii="仿宋_GB2312" w:hAnsi="宋体" w:eastAsia="仿宋_GB2312" w:cs="仿宋_GB2312"/>
          <w:b w:val="0"/>
          <w:bCs w:val="0"/>
          <w:i w:val="0"/>
          <w:iCs w:val="0"/>
          <w:caps w:val="0"/>
          <w:color w:val="000000"/>
          <w:spacing w:val="0"/>
          <w:sz w:val="32"/>
          <w:szCs w:val="32"/>
          <w:highlight w:val="none"/>
          <w:shd w:val="clear" w:color="auto" w:fill="FFFFFF"/>
          <w:lang w:eastAsia="zh-CN"/>
        </w:rPr>
        <w:t>各</w:t>
      </w:r>
      <w:r>
        <w:rPr>
          <w:rFonts w:hint="eastAsia"/>
          <w:lang w:eastAsia="zh-CN"/>
        </w:rPr>
        <w:t>级</w:t>
      </w:r>
      <w:r>
        <w:rPr>
          <w:rFonts w:hint="eastAsia"/>
        </w:rPr>
        <w:t>人民政府应当根据政务服务工作的总体安排，将办税缴费服务纳入公共服务体系一体推进。</w:t>
      </w:r>
    </w:p>
    <w:p>
      <w:pPr>
        <w:pStyle w:val="12"/>
        <w:pageBreakBefore w:val="0"/>
        <w:kinsoku/>
        <w:wordWrap/>
        <w:overflowPunct/>
        <w:topLinePunct w:val="0"/>
        <w:autoSpaceDE/>
        <w:autoSpaceDN/>
        <w:bidi w:val="0"/>
        <w:adjustRightInd/>
        <w:snapToGrid/>
        <w:spacing w:line="560" w:lineRule="exact"/>
        <w:ind w:firstLine="643"/>
        <w:textAlignment w:val="auto"/>
        <w:rPr>
          <w:rFonts w:hint="eastAsia" w:ascii="仿宋_GB2312" w:hAnsi="宋体" w:eastAsia="仿宋_GB2312" w:cs="仿宋_GB2312"/>
          <w:b w:val="0"/>
          <w:bCs w:val="0"/>
          <w:i w:val="0"/>
          <w:iCs w:val="0"/>
          <w:caps w:val="0"/>
          <w:color w:val="000000"/>
          <w:spacing w:val="0"/>
          <w:sz w:val="32"/>
          <w:szCs w:val="32"/>
          <w:highlight w:val="none"/>
          <w:shd w:val="clear" w:color="auto" w:fill="FFFFFF"/>
        </w:rPr>
      </w:pPr>
      <w:r>
        <w:rPr>
          <w:rFonts w:hint="eastAsia"/>
          <w:b/>
          <w:bCs/>
          <w:highlight w:val="none"/>
          <w:lang w:eastAsia="zh-CN"/>
        </w:rPr>
        <w:t>第二十三</w:t>
      </w:r>
      <w:r>
        <w:rPr>
          <w:rFonts w:hint="eastAsia"/>
          <w:b/>
          <w:bCs/>
          <w:highlight w:val="none"/>
          <w:lang w:val="en-US" w:eastAsia="zh-CN"/>
        </w:rPr>
        <w:t>条</w:t>
      </w:r>
      <w:r>
        <w:rPr>
          <w:rFonts w:hint="eastAsia"/>
          <w:highlight w:val="none"/>
          <w:lang w:eastAsia="zh-CN"/>
        </w:rPr>
        <w:t xml:space="preserve">  </w:t>
      </w:r>
      <w:r>
        <w:rPr>
          <w:rFonts w:ascii="仿宋_GB2312" w:hAnsi="宋体" w:eastAsia="仿宋_GB2312" w:cs="仿宋_GB2312"/>
          <w:b w:val="0"/>
          <w:bCs w:val="0"/>
          <w:i w:val="0"/>
          <w:iCs w:val="0"/>
          <w:caps w:val="0"/>
          <w:color w:val="000000"/>
          <w:spacing w:val="0"/>
          <w:sz w:val="32"/>
          <w:szCs w:val="32"/>
          <w:highlight w:val="none"/>
          <w:shd w:val="clear" w:color="auto" w:fill="FFFFFF"/>
        </w:rPr>
        <w:t>地方各级</w:t>
      </w:r>
      <w:r>
        <w:rPr>
          <w:rFonts w:hint="eastAsia" w:ascii="仿宋_GB2312" w:hAnsi="宋体" w:eastAsia="仿宋_GB2312" w:cs="仿宋_GB2312"/>
          <w:b w:val="0"/>
          <w:bCs w:val="0"/>
          <w:i w:val="0"/>
          <w:iCs w:val="0"/>
          <w:caps w:val="0"/>
          <w:color w:val="000000"/>
          <w:spacing w:val="0"/>
          <w:sz w:val="32"/>
          <w:szCs w:val="32"/>
          <w:highlight w:val="none"/>
          <w:shd w:val="clear" w:color="auto" w:fill="FFFFFF"/>
        </w:rPr>
        <w:t>人民政府相关职能部门应当为税费事项网上办、掌上办、自助办、跨部门联办、“一厅通办”、跨区域通办提供支持，完善集约高效的线下政务服务体系建设，推进税费服务全面进驻政务服务中心、便民服务中心，巩固提升各级政务服务大厅整合进驻成果，全面提升“只进一门、一窗通办”的服务水平，深化推进“高效办成一件事”。</w:t>
      </w:r>
    </w:p>
    <w:p>
      <w:pPr>
        <w:keepNext w:val="0"/>
        <w:keepLines w:val="0"/>
        <w:pageBreakBefore w:val="0"/>
        <w:widowControl w:val="0"/>
        <w:kinsoku/>
        <w:wordWrap/>
        <w:overflowPunct/>
        <w:topLinePunct w:val="0"/>
        <w:autoSpaceDE/>
        <w:autoSpaceDN/>
        <w:bidi w:val="0"/>
        <w:adjustRightInd/>
        <w:snapToGrid/>
        <w:spacing w:line="560" w:lineRule="exact"/>
        <w:ind w:firstLine="665"/>
        <w:textAlignment w:val="auto"/>
        <w:rPr>
          <w:rFonts w:hint="eastAsia" w:ascii="仿宋_GB2312" w:hAnsi="仿宋_GB2312" w:eastAsia="仿宋_GB2312" w:cs="仿宋_GB2312"/>
          <w:b/>
          <w:bCs/>
          <w:color w:val="auto"/>
          <w:sz w:val="32"/>
          <w:szCs w:val="32"/>
          <w:highlight w:val="yellow"/>
          <w:lang w:eastAsia="zh-CN"/>
        </w:rPr>
      </w:pPr>
      <w:r>
        <w:rPr>
          <w:rFonts w:hint="eastAsia"/>
          <w:b/>
          <w:bCs/>
        </w:rPr>
        <w:t>第</w:t>
      </w:r>
      <w:r>
        <w:rPr>
          <w:rFonts w:hint="eastAsia"/>
          <w:b/>
          <w:bCs/>
          <w:lang w:eastAsia="zh-CN"/>
        </w:rPr>
        <w:t>二十四</w:t>
      </w:r>
      <w:r>
        <w:rPr>
          <w:rFonts w:hint="eastAsia"/>
          <w:b/>
          <w:bCs/>
        </w:rPr>
        <w:t>条</w:t>
      </w:r>
      <w:r>
        <w:rPr>
          <w:rFonts w:hint="eastAsia"/>
          <w:b/>
          <w:bCs/>
          <w:lang w:eastAsia="zh-CN"/>
        </w:rPr>
        <w:t xml:space="preserve">  </w:t>
      </w:r>
      <w:r>
        <w:rPr>
          <w:rFonts w:hint="eastAsia"/>
          <w:lang w:eastAsia="zh-CN"/>
        </w:rPr>
        <w:t>区级</w:t>
      </w:r>
      <w:r>
        <w:rPr>
          <w:rFonts w:hint="eastAsia"/>
        </w:rPr>
        <w:t>以上人民政府应当牵头建立健全涉税费业务争议联合处理机制，税务机关和有关部门共同参与、联合处置，及时解决争议纠纷，鼓励纳税人缴费人委托涉税专业服务机构协助参与税企沟通，提高沟通效率，维护纳税人缴费人合法权益。</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lang w:eastAsia="zh-CN"/>
        </w:rPr>
        <w:t>第二十五</w:t>
      </w:r>
      <w:r>
        <w:rPr>
          <w:rFonts w:hint="eastAsia"/>
          <w:b/>
          <w:bCs/>
          <w:lang w:val="en-US" w:eastAsia="zh-CN"/>
        </w:rPr>
        <w:t>条</w:t>
      </w:r>
      <w:r>
        <w:rPr>
          <w:rFonts w:hint="eastAsia"/>
          <w:lang w:eastAsia="zh-CN"/>
        </w:rPr>
        <w:t xml:space="preserve">  </w:t>
      </w:r>
      <w:r>
        <w:rPr>
          <w:rFonts w:hint="eastAsia"/>
        </w:rPr>
        <w:t>有关部门应当为税务机关依法开展税费宣传提供必要的支持，应当积极组织开展税费志愿服务活动，加强税费政策法律法规和便民利企措施宣传。</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lang w:eastAsia="zh-CN"/>
        </w:rPr>
        <w:t>第二十六</w:t>
      </w:r>
      <w:r>
        <w:rPr>
          <w:rFonts w:hint="eastAsia"/>
          <w:b/>
          <w:bCs/>
          <w:lang w:val="en-US" w:eastAsia="zh-CN"/>
        </w:rPr>
        <w:t>条</w:t>
      </w:r>
      <w:r>
        <w:rPr>
          <w:rFonts w:hint="eastAsia"/>
          <w:lang w:eastAsia="zh-CN"/>
        </w:rPr>
        <w:t xml:space="preserve">  </w:t>
      </w:r>
      <w:r>
        <w:rPr>
          <w:rFonts w:hint="eastAsia"/>
        </w:rPr>
        <w:t>地方各级人民政府相关职能部门应当支持税务机关推进电子发票的应用，建立与电子发票相匹配的服务模式，为纳税人开具、使用电子发票提供便捷、高效服务。</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rPr>
        <w:t>地方各级人民政府相关职能部门应当按照国家规定，推进电子发票等会计凭证电子化报销、入账、归档等工作，引导市场主体提升财务管理、会计核算和档案管理电子化水平。</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lang w:eastAsia="zh-CN"/>
        </w:rPr>
        <w:t>第二十七</w:t>
      </w:r>
      <w:r>
        <w:rPr>
          <w:rFonts w:hint="eastAsia"/>
          <w:b/>
          <w:bCs/>
          <w:lang w:val="en-US" w:eastAsia="zh-CN"/>
        </w:rPr>
        <w:t>条</w:t>
      </w:r>
      <w:r>
        <w:rPr>
          <w:rFonts w:hint="eastAsia"/>
          <w:lang w:eastAsia="zh-CN"/>
        </w:rPr>
        <w:t xml:space="preserve">  </w:t>
      </w:r>
      <w:r>
        <w:rPr>
          <w:rFonts w:hint="eastAsia"/>
        </w:rPr>
        <w:t>地方各级人民政府相关职能部门应当鼓励和支持注册税务师协会、注册会计师协会、律师协会等社会组织，以及税务师事务所和从事涉税专业服务的会计师事务所、律师事务所、代理记账机构、税务代理公司、财税类咨询公司等涉税专业服务机构，参与税费服务、诉求反映、权益维护等活动，发挥涉税专业服务机构的社会监督作用。</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rPr>
        <w:t>涉税专业服务机构应当加强服务制度建设，提高专业服务能力，恪守职业道德和执业纪律，按照市场化、法治化原则积极向纳税人缴费人提供个性化服务。</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rPr>
        <w:t>行业协会、商会应当加强行业指导和自律管理，持续提升税费风险内部控制有效性，积极反馈行业纳税人缴费人合法合理的涉税费诉求，为纳税人缴费人提供涉税费信息咨询、权益保护等服务。</w:t>
      </w:r>
    </w:p>
    <w:p>
      <w:pPr>
        <w:pStyle w:val="1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2"/>
        <w:rPr>
          <w:rFonts w:hint="default"/>
          <w:b/>
          <w:bCs/>
          <w:lang w:val="en-US" w:eastAsia="zh-CN"/>
        </w:rPr>
      </w:pPr>
      <w:r>
        <w:rPr>
          <w:rFonts w:hint="eastAsia"/>
          <w:b/>
          <w:bCs/>
          <w:lang w:eastAsia="zh-CN"/>
        </w:rPr>
        <w:t>第四节</w:t>
      </w:r>
      <w:r>
        <w:rPr>
          <w:rFonts w:hint="eastAsia"/>
          <w:b/>
          <w:bCs/>
          <w:lang w:val="en-US" w:eastAsia="zh-CN"/>
        </w:rPr>
        <w:t xml:space="preserve"> 监管协作</w:t>
      </w:r>
    </w:p>
    <w:p>
      <w:pPr>
        <w:pStyle w:val="12"/>
        <w:pageBreakBefore w:val="0"/>
        <w:kinsoku/>
        <w:wordWrap/>
        <w:overflowPunct/>
        <w:topLinePunct w:val="0"/>
        <w:autoSpaceDE/>
        <w:autoSpaceDN/>
        <w:bidi w:val="0"/>
        <w:adjustRightInd/>
        <w:snapToGrid/>
        <w:spacing w:line="560" w:lineRule="exact"/>
        <w:ind w:firstLine="643"/>
        <w:textAlignment w:val="auto"/>
        <w:rPr>
          <w:rFonts w:hint="eastAsia" w:eastAsia="仿宋_GB2312"/>
          <w:lang w:eastAsia="zh-CN"/>
        </w:rPr>
      </w:pPr>
      <w:r>
        <w:rPr>
          <w:rFonts w:hint="eastAsia"/>
          <w:b/>
          <w:bCs/>
          <w:lang w:eastAsia="zh-CN"/>
        </w:rPr>
        <w:t>第二十八</w:t>
      </w:r>
      <w:r>
        <w:rPr>
          <w:rFonts w:hint="eastAsia"/>
          <w:b/>
          <w:bCs/>
          <w:lang w:val="en-US" w:eastAsia="zh-CN"/>
        </w:rPr>
        <w:t>条</w:t>
      </w:r>
      <w:r>
        <w:rPr>
          <w:rFonts w:hint="eastAsia"/>
          <w:lang w:eastAsia="zh-CN"/>
        </w:rPr>
        <w:t xml:space="preserve">  </w:t>
      </w:r>
      <w:r>
        <w:rPr>
          <w:rFonts w:hint="eastAsia"/>
        </w:rPr>
        <w:t>各级人民政府相关职能部门应当支持税务机关加强税收监管和税务稽查，积极与税务机关开展跨部门联合监管</w:t>
      </w:r>
      <w:r>
        <w:rPr>
          <w:rFonts w:hint="eastAsia"/>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65"/>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（一）生态环境部门</w:t>
      </w:r>
      <w:r>
        <w:rPr>
          <w:rFonts w:hint="eastAsia" w:ascii="仿宋_GB2312" w:hAnsi="仿宋_GB2312" w:cs="仿宋_GB2312"/>
          <w:color w:val="auto"/>
          <w:sz w:val="32"/>
          <w:szCs w:val="32"/>
          <w:highlight w:val="none"/>
          <w:lang w:eastAsia="zh-CN"/>
        </w:rPr>
        <w:t>与</w:t>
      </w:r>
      <w:r>
        <w:rPr>
          <w:rFonts w:hint="eastAsia" w:ascii="仿宋_GB2312" w:hAnsi="仿宋_GB2312" w:eastAsia="仿宋_GB2312" w:cs="仿宋_GB2312"/>
          <w:color w:val="auto"/>
          <w:sz w:val="32"/>
          <w:szCs w:val="32"/>
          <w:highlight w:val="none"/>
          <w:lang w:eastAsia="zh-CN"/>
        </w:rPr>
        <w:t>税务机关应</w:t>
      </w:r>
      <w:r>
        <w:rPr>
          <w:rFonts w:hint="eastAsia" w:ascii="仿宋_GB2312" w:hAnsi="仿宋_GB2312" w:cs="仿宋_GB2312"/>
          <w:color w:val="auto"/>
          <w:sz w:val="32"/>
          <w:szCs w:val="32"/>
          <w:highlight w:val="none"/>
          <w:lang w:eastAsia="zh-CN"/>
        </w:rPr>
        <w:t>当联合</w:t>
      </w:r>
      <w:r>
        <w:rPr>
          <w:rFonts w:hint="eastAsia" w:ascii="仿宋_GB2312" w:hAnsi="仿宋_GB2312" w:eastAsia="仿宋_GB2312" w:cs="仿宋_GB2312"/>
          <w:color w:val="auto"/>
          <w:sz w:val="32"/>
          <w:szCs w:val="32"/>
          <w:highlight w:val="none"/>
          <w:lang w:eastAsia="zh-CN"/>
        </w:rPr>
        <w:t>打击生态环境相关涉税违法行为；</w:t>
      </w:r>
    </w:p>
    <w:p>
      <w:pPr>
        <w:keepNext w:val="0"/>
        <w:keepLines w:val="0"/>
        <w:pageBreakBefore w:val="0"/>
        <w:widowControl w:val="0"/>
        <w:kinsoku/>
        <w:wordWrap/>
        <w:overflowPunct/>
        <w:topLinePunct w:val="0"/>
        <w:autoSpaceDE/>
        <w:autoSpaceDN/>
        <w:bidi w:val="0"/>
        <w:adjustRightInd/>
        <w:snapToGrid/>
        <w:spacing w:line="560" w:lineRule="exact"/>
        <w:ind w:firstLine="665"/>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cs="仿宋_GB2312"/>
          <w:color w:val="auto"/>
          <w:sz w:val="32"/>
          <w:szCs w:val="32"/>
          <w:highlight w:val="none"/>
          <w:lang w:eastAsia="zh-CN"/>
        </w:rPr>
        <w:t>二</w:t>
      </w:r>
      <w:r>
        <w:rPr>
          <w:rFonts w:hint="eastAsia" w:ascii="仿宋_GB2312" w:hAnsi="仿宋_GB2312" w:eastAsia="仿宋_GB2312" w:cs="仿宋_GB2312"/>
          <w:color w:val="auto"/>
          <w:sz w:val="32"/>
          <w:szCs w:val="32"/>
          <w:highlight w:val="none"/>
          <w:lang w:eastAsia="zh-CN"/>
        </w:rPr>
        <w:t>）海关等部门</w:t>
      </w:r>
      <w:r>
        <w:rPr>
          <w:rFonts w:hint="eastAsia" w:ascii="仿宋_GB2312" w:hAnsi="仿宋_GB2312" w:cs="仿宋_GB2312"/>
          <w:color w:val="auto"/>
          <w:sz w:val="32"/>
          <w:szCs w:val="32"/>
          <w:highlight w:val="none"/>
          <w:lang w:eastAsia="zh-CN"/>
        </w:rPr>
        <w:t>应当联合</w:t>
      </w:r>
      <w:r>
        <w:rPr>
          <w:rFonts w:hint="eastAsia" w:ascii="仿宋_GB2312" w:hAnsi="仿宋_GB2312" w:eastAsia="仿宋_GB2312" w:cs="仿宋_GB2312"/>
          <w:color w:val="auto"/>
          <w:sz w:val="32"/>
          <w:szCs w:val="32"/>
          <w:highlight w:val="none"/>
          <w:lang w:eastAsia="zh-CN"/>
        </w:rPr>
        <w:t>税务机关加强出口应征税货物税收监管。</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b w:val="0"/>
          <w:bCs w:val="0"/>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cs="仿宋_GB2312"/>
          <w:b w:val="0"/>
          <w:bCs w:val="0"/>
          <w:color w:val="auto"/>
          <w:sz w:val="32"/>
          <w:szCs w:val="32"/>
          <w:highlight w:val="none"/>
          <w:lang w:eastAsia="zh-CN"/>
        </w:rPr>
        <w:t>三</w:t>
      </w: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lang w:val="en-US" w:eastAsia="zh-CN"/>
        </w:rPr>
        <w:t>市场监督管理部门</w:t>
      </w:r>
      <w:r>
        <w:rPr>
          <w:rFonts w:hint="eastAsia" w:ascii="仿宋_GB2312" w:hAnsi="仿宋_GB2312" w:cs="仿宋_GB2312"/>
          <w:b w:val="0"/>
          <w:bCs w:val="0"/>
          <w:color w:val="auto"/>
          <w:sz w:val="32"/>
          <w:szCs w:val="32"/>
          <w:highlight w:val="none"/>
          <w:lang w:val="en-US" w:eastAsia="zh-CN"/>
        </w:rPr>
        <w:t>与</w:t>
      </w:r>
      <w:r>
        <w:rPr>
          <w:rFonts w:hint="eastAsia" w:ascii="仿宋_GB2312" w:hAnsi="仿宋_GB2312" w:eastAsia="仿宋_GB2312" w:cs="仿宋_GB2312"/>
          <w:b w:val="0"/>
          <w:bCs w:val="0"/>
          <w:color w:val="auto"/>
          <w:sz w:val="32"/>
          <w:szCs w:val="32"/>
          <w:highlight w:val="none"/>
          <w:lang w:val="en-US" w:eastAsia="zh-CN"/>
        </w:rPr>
        <w:t>税务机关应当建立健全对经营主体登记、注销，处于撤销、吊销状态以及异常经营主体的联合监管机制，通过信息共享、监管联动、执法联合等举措，强化对重点环节经营主体税费违法行为的联合监管力度。</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b/>
          <w:bCs/>
          <w:color w:val="auto"/>
          <w:sz w:val="32"/>
          <w:szCs w:val="32"/>
          <w:highlight w:val="none"/>
          <w:lang w:eastAsia="zh-CN"/>
        </w:rPr>
      </w:pPr>
      <w:r>
        <w:rPr>
          <w:rFonts w:hint="eastAsia" w:ascii="仿宋_GB2312" w:hAnsi="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lang w:val="en-US" w:eastAsia="zh-CN"/>
        </w:rPr>
        <w:t>对</w:t>
      </w:r>
      <w:r>
        <w:rPr>
          <w:rFonts w:hint="eastAsia" w:ascii="仿宋_GB2312" w:hAnsi="仿宋_GB2312" w:cs="仿宋_GB2312"/>
          <w:color w:val="auto"/>
          <w:sz w:val="32"/>
          <w:szCs w:val="32"/>
          <w:highlight w:val="none"/>
          <w:lang w:val="en-US" w:eastAsia="zh-CN"/>
        </w:rPr>
        <w:t>存在涉税违法行为的</w:t>
      </w:r>
      <w:r>
        <w:rPr>
          <w:rFonts w:hint="eastAsia" w:ascii="仿宋_GB2312" w:hAnsi="仿宋_GB2312" w:eastAsia="仿宋_GB2312" w:cs="仿宋_GB2312"/>
          <w:color w:val="auto"/>
          <w:sz w:val="32"/>
          <w:szCs w:val="32"/>
          <w:highlight w:val="none"/>
          <w:lang w:val="en-US" w:eastAsia="zh-CN"/>
        </w:rPr>
        <w:t>已注销</w:t>
      </w:r>
      <w:r>
        <w:rPr>
          <w:rFonts w:hint="eastAsia" w:ascii="仿宋_GB2312" w:hAnsi="仿宋_GB2312" w:cs="仿宋_GB2312"/>
          <w:color w:val="auto"/>
          <w:sz w:val="32"/>
          <w:szCs w:val="32"/>
          <w:highlight w:val="none"/>
          <w:lang w:val="en-US" w:eastAsia="zh-CN"/>
        </w:rPr>
        <w:t>市场主体</w:t>
      </w:r>
      <w:r>
        <w:rPr>
          <w:rFonts w:hint="eastAsia" w:ascii="仿宋_GB2312" w:hAnsi="仿宋_GB2312" w:eastAsia="仿宋_GB2312" w:cs="仿宋_GB2312"/>
          <w:color w:val="auto"/>
          <w:sz w:val="32"/>
          <w:szCs w:val="32"/>
          <w:highlight w:val="none"/>
          <w:lang w:val="en-US" w:eastAsia="zh-CN"/>
        </w:rPr>
        <w:t>，税务机关按规定提请登记机关撤销注销登记</w:t>
      </w:r>
      <w:r>
        <w:rPr>
          <w:rFonts w:hint="eastAsia" w:ascii="仿宋_GB2312" w:hAnsi="仿宋_GB2312" w:cs="仿宋_GB2312"/>
          <w:color w:val="auto"/>
          <w:sz w:val="32"/>
          <w:szCs w:val="32"/>
          <w:highlight w:val="none"/>
          <w:lang w:val="en-US" w:eastAsia="zh-CN"/>
        </w:rPr>
        <w:t>的</w:t>
      </w:r>
      <w:r>
        <w:rPr>
          <w:rFonts w:hint="eastAsia" w:ascii="仿宋_GB2312" w:hAnsi="仿宋_GB2312" w:eastAsia="仿宋_GB2312" w:cs="仿宋_GB2312"/>
          <w:color w:val="auto"/>
          <w:sz w:val="32"/>
          <w:szCs w:val="32"/>
          <w:highlight w:val="none"/>
          <w:lang w:val="en-US" w:eastAsia="zh-CN"/>
        </w:rPr>
        <w:t>，有关部门应当依法依规予以协助。</w:t>
      </w:r>
    </w:p>
    <w:p>
      <w:pPr>
        <w:pageBreakBefore w:val="0"/>
        <w:kinsoku/>
        <w:wordWrap/>
        <w:overflowPunct/>
        <w:topLinePunct w:val="0"/>
        <w:autoSpaceDE/>
        <w:autoSpaceDN/>
        <w:bidi w:val="0"/>
        <w:adjustRightInd/>
        <w:snapToGrid/>
        <w:spacing w:line="560" w:lineRule="exact"/>
        <w:ind w:firstLine="665"/>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cs="仿宋_GB2312"/>
          <w:color w:val="auto"/>
          <w:sz w:val="32"/>
          <w:szCs w:val="32"/>
          <w:highlight w:val="none"/>
          <w:lang w:eastAsia="zh-CN"/>
        </w:rPr>
        <w:t>五</w:t>
      </w:r>
      <w:r>
        <w:rPr>
          <w:rFonts w:hint="eastAsia" w:ascii="仿宋_GB2312" w:hAnsi="仿宋_GB2312" w:eastAsia="仿宋_GB2312" w:cs="仿宋_GB2312"/>
          <w:color w:val="auto"/>
          <w:sz w:val="32"/>
          <w:szCs w:val="32"/>
          <w:highlight w:val="none"/>
          <w:lang w:eastAsia="zh-CN"/>
        </w:rPr>
        <w:t>）按照规定需要开展联合监管的其他事项。</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lang w:eastAsia="zh-CN"/>
        </w:rPr>
        <w:t>第二十九</w:t>
      </w:r>
      <w:r>
        <w:rPr>
          <w:rFonts w:hint="eastAsia"/>
          <w:b/>
          <w:bCs/>
          <w:lang w:val="en-US" w:eastAsia="zh-CN"/>
        </w:rPr>
        <w:t>条</w:t>
      </w:r>
      <w:r>
        <w:rPr>
          <w:rFonts w:hint="eastAsia"/>
          <w:lang w:eastAsia="zh-CN"/>
        </w:rPr>
        <w:t xml:space="preserve">  区级</w:t>
      </w:r>
      <w:r>
        <w:rPr>
          <w:rFonts w:hint="eastAsia"/>
        </w:rPr>
        <w:t>以上人民政府应当发挥税费信用在诚信社会建设中的作用，将其纳入社会信用体系建设，组织、协调税务机关和有关部门实施税费守信激励和失信惩戒措施。税务机关提请有关部门和机构依法实施联合惩戒措施的，有关部门和机构应当依法予以配合。</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lang w:eastAsia="zh-CN"/>
        </w:rPr>
        <w:t>第三十</w:t>
      </w:r>
      <w:r>
        <w:rPr>
          <w:rFonts w:hint="eastAsia"/>
          <w:b/>
          <w:bCs/>
          <w:lang w:val="en-US" w:eastAsia="zh-CN"/>
        </w:rPr>
        <w:t>条</w:t>
      </w:r>
      <w:r>
        <w:rPr>
          <w:rFonts w:hint="eastAsia"/>
          <w:lang w:eastAsia="zh-CN"/>
        </w:rPr>
        <w:t xml:space="preserve">  </w:t>
      </w:r>
      <w:r>
        <w:rPr>
          <w:rFonts w:hint="eastAsia"/>
        </w:rPr>
        <w:t>公安机关应当强化涉税费犯罪案件查办工作力量，健全公安派驻税务联络机制。</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rPr>
        <w:t>公安机关对税务机关按行刑衔接要求移送的涉税费犯罪案件，应当依法立案侦查。</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rPr>
        <w:t>公安机关应当按照职责及时处理严重影响税费征管秩序的寻衅滋事、散布谣言等行为。</w:t>
      </w:r>
    </w:p>
    <w:p>
      <w:pPr>
        <w:pStyle w:val="12"/>
        <w:pageBreakBefore w:val="0"/>
        <w:kinsoku/>
        <w:wordWrap/>
        <w:overflowPunct/>
        <w:topLinePunct w:val="0"/>
        <w:autoSpaceDE/>
        <w:autoSpaceDN/>
        <w:bidi w:val="0"/>
        <w:adjustRightInd/>
        <w:snapToGrid/>
        <w:spacing w:line="560" w:lineRule="exact"/>
        <w:ind w:firstLine="643"/>
        <w:textAlignment w:val="auto"/>
        <w:rPr>
          <w:rFonts w:hint="eastAsia"/>
          <w:strike w:val="0"/>
          <w:dstrike w:val="0"/>
        </w:rPr>
      </w:pPr>
      <w:r>
        <w:rPr>
          <w:rFonts w:hint="eastAsia"/>
          <w:b/>
          <w:bCs/>
          <w:lang w:eastAsia="zh-CN"/>
        </w:rPr>
        <w:t>第三十一</w:t>
      </w:r>
      <w:r>
        <w:rPr>
          <w:rFonts w:hint="eastAsia"/>
          <w:b/>
          <w:bCs/>
          <w:lang w:val="en-US" w:eastAsia="zh-CN"/>
        </w:rPr>
        <w:t>条</w:t>
      </w:r>
      <w:r>
        <w:rPr>
          <w:rFonts w:hint="eastAsia"/>
          <w:strike w:val="0"/>
          <w:dstrike w:val="0"/>
          <w:lang w:eastAsia="zh-CN"/>
        </w:rPr>
        <w:t xml:space="preserve">  </w:t>
      </w:r>
      <w:r>
        <w:rPr>
          <w:rFonts w:hint="eastAsia"/>
          <w:strike w:val="0"/>
          <w:dstrike w:val="0"/>
        </w:rPr>
        <w:t>税务机关与公安机关实行制度化、信息化、常态化联合办案，进一步畅通行政执法与刑事执法的衔接，严厉打击虚开发票、制售假发票、骗取退税、骗取税费优惠、抗缴税费等涉税费违法行为。</w:t>
      </w:r>
    </w:p>
    <w:p>
      <w:pPr>
        <w:pStyle w:val="12"/>
        <w:pageBreakBefore w:val="0"/>
        <w:kinsoku/>
        <w:wordWrap/>
        <w:overflowPunct/>
        <w:topLinePunct w:val="0"/>
        <w:autoSpaceDE/>
        <w:autoSpaceDN/>
        <w:bidi w:val="0"/>
        <w:adjustRightInd/>
        <w:snapToGrid/>
        <w:spacing w:line="560" w:lineRule="exact"/>
        <w:ind w:firstLine="640"/>
        <w:textAlignment w:val="auto"/>
        <w:rPr>
          <w:rFonts w:hint="eastAsia"/>
          <w:strike w:val="0"/>
          <w:dstrike w:val="0"/>
        </w:rPr>
      </w:pPr>
      <w:r>
        <w:rPr>
          <w:rFonts w:hint="eastAsia"/>
          <w:strike w:val="0"/>
          <w:dstrike w:val="0"/>
        </w:rPr>
        <w:t>税务机关依法通知出入境管理机关阻止欠缴税款的纳税人或者其法定代表人、负责人出境的，出入境管理机关应当按照国家规定予以处理。</w:t>
      </w:r>
    </w:p>
    <w:p>
      <w:pPr>
        <w:pStyle w:val="12"/>
        <w:pageBreakBefore w:val="0"/>
        <w:kinsoku/>
        <w:wordWrap/>
        <w:overflowPunct/>
        <w:topLinePunct w:val="0"/>
        <w:autoSpaceDE/>
        <w:autoSpaceDN/>
        <w:bidi w:val="0"/>
        <w:adjustRightInd/>
        <w:snapToGrid/>
        <w:spacing w:line="560" w:lineRule="exact"/>
        <w:ind w:firstLine="643"/>
        <w:textAlignment w:val="auto"/>
        <w:rPr>
          <w:rFonts w:hint="eastAsia"/>
          <w:strike w:val="0"/>
          <w:dstrike w:val="0"/>
        </w:rPr>
      </w:pPr>
      <w:r>
        <w:rPr>
          <w:rFonts w:hint="eastAsia"/>
          <w:b/>
          <w:bCs/>
          <w:lang w:eastAsia="zh-CN"/>
        </w:rPr>
        <w:t>第三十二</w:t>
      </w:r>
      <w:r>
        <w:rPr>
          <w:rFonts w:hint="eastAsia"/>
          <w:b/>
          <w:bCs/>
          <w:lang w:val="en-US" w:eastAsia="zh-CN"/>
        </w:rPr>
        <w:t>条</w:t>
      </w:r>
      <w:r>
        <w:rPr>
          <w:rFonts w:hint="eastAsia"/>
          <w:strike w:val="0"/>
          <w:dstrike w:val="0"/>
          <w:lang w:eastAsia="zh-CN"/>
        </w:rPr>
        <w:t xml:space="preserve">  </w:t>
      </w:r>
      <w:r>
        <w:rPr>
          <w:rFonts w:hint="eastAsia"/>
          <w:strike w:val="0"/>
          <w:dstrike w:val="0"/>
        </w:rPr>
        <w:t>税务机关与检察机关在税务行政执法监督、涉税费案件法律监督、涉税费公益诉讼联动等方面加强协作。</w:t>
      </w:r>
    </w:p>
    <w:p>
      <w:pPr>
        <w:pStyle w:val="12"/>
        <w:pageBreakBefore w:val="0"/>
        <w:kinsoku/>
        <w:wordWrap/>
        <w:overflowPunct/>
        <w:topLinePunct w:val="0"/>
        <w:autoSpaceDE/>
        <w:autoSpaceDN/>
        <w:bidi w:val="0"/>
        <w:adjustRightInd/>
        <w:snapToGrid/>
        <w:spacing w:line="560" w:lineRule="exact"/>
        <w:ind w:firstLine="640"/>
        <w:textAlignment w:val="auto"/>
        <w:rPr>
          <w:rFonts w:hint="eastAsia"/>
          <w:strike w:val="0"/>
          <w:dstrike w:val="0"/>
        </w:rPr>
      </w:pPr>
      <w:r>
        <w:rPr>
          <w:rFonts w:hint="eastAsia"/>
          <w:strike w:val="0"/>
          <w:dstrike w:val="0"/>
        </w:rPr>
        <w:t>检察机关发现负有协同税收监管相关职责的行政机关不依法履责的，应当依法提出检察建议。 </w:t>
      </w:r>
    </w:p>
    <w:p>
      <w:pPr>
        <w:pStyle w:val="12"/>
        <w:pageBreakBefore w:val="0"/>
        <w:kinsoku/>
        <w:wordWrap/>
        <w:overflowPunct/>
        <w:topLinePunct w:val="0"/>
        <w:autoSpaceDE/>
        <w:autoSpaceDN/>
        <w:bidi w:val="0"/>
        <w:adjustRightInd/>
        <w:snapToGrid/>
        <w:spacing w:line="560" w:lineRule="exact"/>
        <w:ind w:firstLine="643"/>
        <w:textAlignment w:val="auto"/>
        <w:rPr>
          <w:rFonts w:hint="eastAsia"/>
          <w:strike w:val="0"/>
          <w:dstrike w:val="0"/>
        </w:rPr>
      </w:pPr>
      <w:r>
        <w:rPr>
          <w:rFonts w:hint="eastAsia"/>
          <w:b/>
          <w:bCs/>
          <w:lang w:eastAsia="zh-CN"/>
        </w:rPr>
        <w:t>第三十三</w:t>
      </w:r>
      <w:r>
        <w:rPr>
          <w:rFonts w:hint="eastAsia"/>
          <w:b/>
          <w:bCs/>
          <w:lang w:val="en-US" w:eastAsia="zh-CN"/>
        </w:rPr>
        <w:t>条</w:t>
      </w:r>
      <w:r>
        <w:rPr>
          <w:rFonts w:hint="eastAsia"/>
          <w:strike w:val="0"/>
          <w:dstrike w:val="0"/>
          <w:lang w:eastAsia="zh-CN"/>
        </w:rPr>
        <w:t xml:space="preserve">  </w:t>
      </w:r>
      <w:r>
        <w:rPr>
          <w:rFonts w:hint="eastAsia"/>
          <w:strike w:val="0"/>
          <w:dstrike w:val="0"/>
        </w:rPr>
        <w:t>税务机关与人民法院在涉税费信息共享、诉讼调解、企业破产处置、司法拍卖、强制执行等方面加强协作，及时获取涉及动产、不动产、无形资产处置的生效法律文书信息和拍卖信息等。人民法院及时通知税务机关参加破产清算，在依法拍卖、变卖被执行人财产或受理破产案件时，协助税务机关依法扣缴税费。对于欠缴税款的被执行人因怠于行使到期债权，或者放弃到期债权，或者无偿转让财产，或者以明显不合理的低价转让财产，对国家税收造成损害的，人民法院应依法支持税务机关行使代位权、撤销权。但法律法规另有规定的除外。</w:t>
      </w:r>
    </w:p>
    <w:p>
      <w:pPr>
        <w:pStyle w:val="12"/>
        <w:pageBreakBefore w:val="0"/>
        <w:kinsoku/>
        <w:wordWrap/>
        <w:overflowPunct/>
        <w:topLinePunct w:val="0"/>
        <w:autoSpaceDE/>
        <w:autoSpaceDN/>
        <w:bidi w:val="0"/>
        <w:adjustRightInd/>
        <w:snapToGrid/>
        <w:spacing w:line="560" w:lineRule="exact"/>
        <w:ind w:firstLine="640"/>
        <w:textAlignment w:val="auto"/>
        <w:rPr>
          <w:rFonts w:hint="eastAsia"/>
          <w:strike w:val="0"/>
          <w:dstrike w:val="0"/>
        </w:rPr>
      </w:pPr>
      <w:r>
        <w:rPr>
          <w:rFonts w:hint="eastAsia"/>
          <w:strike w:val="0"/>
          <w:dstrike w:val="0"/>
        </w:rPr>
        <w:t>被执行人依法应负担的司法拍卖及产权转移过程中产生的税费，经税务机关审核确认后依照有关法律规定从拍卖款中支付。</w:t>
      </w:r>
    </w:p>
    <w:p>
      <w:pPr>
        <w:pStyle w:val="12"/>
        <w:pageBreakBefore w:val="0"/>
        <w:kinsoku/>
        <w:wordWrap/>
        <w:overflowPunct/>
        <w:topLinePunct w:val="0"/>
        <w:autoSpaceDE/>
        <w:autoSpaceDN/>
        <w:bidi w:val="0"/>
        <w:adjustRightInd/>
        <w:snapToGrid/>
        <w:spacing w:line="560" w:lineRule="exact"/>
        <w:ind w:firstLine="640"/>
        <w:textAlignment w:val="auto"/>
        <w:rPr>
          <w:rFonts w:hint="eastAsia"/>
          <w:strike w:val="0"/>
          <w:dstrike w:val="0"/>
        </w:rPr>
      </w:pPr>
      <w:r>
        <w:rPr>
          <w:rFonts w:hint="eastAsia"/>
          <w:strike w:val="0"/>
          <w:dstrike w:val="0"/>
        </w:rPr>
        <w:t>纳税人缴费人、扣缴义务人、纳税担保人对税务机关的处罚决定逾期不申请行政复议也不向人民法院起诉、又不履行的，作出处罚决定的税务机关可以依法采取强制执行措施，对税务机关没有强制执行权的税务行政决定，税务机关可以申请人民法院强制执行，人民法院依法予以受理。</w:t>
      </w:r>
    </w:p>
    <w:p>
      <w:pPr>
        <w:pStyle w:val="13"/>
        <w:keepNext/>
        <w:keepLines/>
        <w:pageBreakBefore w:val="0"/>
        <w:widowControl w:val="0"/>
        <w:kinsoku/>
        <w:wordWrap/>
        <w:overflowPunct/>
        <w:topLinePunct w:val="0"/>
        <w:autoSpaceDE/>
        <w:autoSpaceDN/>
        <w:bidi w:val="0"/>
        <w:adjustRightInd/>
        <w:snapToGrid/>
        <w:spacing w:line="560" w:lineRule="exact"/>
        <w:ind w:firstLine="0" w:firstLineChars="0"/>
        <w:jc w:val="center"/>
        <w:textAlignment w:val="auto"/>
        <w:outlineLvl w:val="0"/>
        <w:rPr>
          <w:rFonts w:hint="eastAsia"/>
          <w:lang w:val="en-US" w:eastAsia="zh-CN"/>
        </w:rPr>
      </w:pPr>
      <w:r>
        <w:rPr>
          <w:rFonts w:hint="eastAsia"/>
          <w:lang w:val="en-US" w:eastAsia="zh-CN"/>
        </w:rPr>
        <w:t>第四章 信息共享</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eastAsia="zh-CN"/>
        </w:rPr>
        <w:t>三十四</w:t>
      </w:r>
      <w:r>
        <w:rPr>
          <w:rFonts w:hint="eastAsia"/>
          <w:b/>
          <w:bCs/>
        </w:rPr>
        <w:t>条</w:t>
      </w:r>
      <w:r>
        <w:rPr>
          <w:rFonts w:hint="eastAsia"/>
          <w:lang w:eastAsia="zh-CN"/>
        </w:rPr>
        <w:t xml:space="preserve">  区</w:t>
      </w:r>
      <w:r>
        <w:rPr>
          <w:rFonts w:hint="eastAsia"/>
        </w:rPr>
        <w:t>级以上人民政府应当建立健全涉税费信息共享交换和协调机制，强化税务机关与有关部门信息系统互联互通，依法保障涉税费必要信息获取，并优先通过广东省数据资源“一网共享”平台等渠道进行涉税费信息共享。</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b/>
          <w:bCs/>
          <w:lang w:eastAsia="zh-CN"/>
        </w:rPr>
        <w:t>第三十五</w:t>
      </w:r>
      <w:r>
        <w:rPr>
          <w:rFonts w:hint="eastAsia"/>
          <w:b/>
          <w:bCs/>
        </w:rPr>
        <w:t>条</w:t>
      </w:r>
      <w:r>
        <w:rPr>
          <w:rFonts w:hint="eastAsia"/>
          <w:b/>
          <w:bCs/>
          <w:lang w:val="en-US" w:eastAsia="zh-CN"/>
        </w:rPr>
        <w:t xml:space="preserve">  </w:t>
      </w:r>
      <w:r>
        <w:rPr>
          <w:rFonts w:hint="eastAsia"/>
          <w:lang w:eastAsia="zh-CN"/>
        </w:rPr>
        <w:t>税务机关</w:t>
      </w:r>
      <w:r>
        <w:rPr>
          <w:rFonts w:hint="eastAsia"/>
        </w:rPr>
        <w:t>牵头会同政务服务数据管理部门与有关部门</w:t>
      </w:r>
      <w:r>
        <w:rPr>
          <w:rFonts w:hint="eastAsia"/>
          <w:lang w:eastAsia="zh-CN"/>
        </w:rPr>
        <w:t>就涉税费信息共享，</w:t>
      </w:r>
      <w:r>
        <w:rPr>
          <w:rFonts w:hint="eastAsia"/>
        </w:rPr>
        <w:t>协商制定涉税费信息共享</w:t>
      </w:r>
      <w:r>
        <w:rPr>
          <w:rFonts w:hint="eastAsia"/>
          <w:lang w:eastAsia="zh-CN"/>
        </w:rPr>
        <w:t>目录</w:t>
      </w:r>
      <w:r>
        <w:rPr>
          <w:rFonts w:hint="eastAsia"/>
        </w:rPr>
        <w:t>，</w:t>
      </w:r>
      <w:r>
        <w:rPr>
          <w:rFonts w:hint="eastAsia"/>
          <w:lang w:eastAsia="zh-CN"/>
        </w:rPr>
        <w:t>并实行动态调整。</w:t>
      </w:r>
      <w:r>
        <w:rPr>
          <w:rFonts w:hint="eastAsia"/>
        </w:rPr>
        <w:t>税务机关和发展改革、教育、科技、工业和信息化、公安、民政、司法、财政、人力资源社会保障、自然资源、生态环境、住房城乡建设、交通运输、</w:t>
      </w:r>
      <w:r>
        <w:rPr>
          <w:rFonts w:hint="eastAsia"/>
          <w:lang w:eastAsia="zh-CN"/>
        </w:rPr>
        <w:t>水务</w:t>
      </w:r>
      <w:r>
        <w:rPr>
          <w:rFonts w:hint="eastAsia"/>
        </w:rPr>
        <w:t>、农业农村、商务、卫生健康、应急管理、市场监管、国资、海关、统计、医保、网信、海事、烟草、人防、金融机构、供水、供电、供气、残联</w:t>
      </w:r>
      <w:r>
        <w:rPr>
          <w:rFonts w:hint="eastAsia"/>
          <w:lang w:eastAsia="zh-CN"/>
        </w:rPr>
        <w:t>、总工会</w:t>
      </w:r>
      <w:r>
        <w:rPr>
          <w:rFonts w:hint="eastAsia"/>
        </w:rPr>
        <w:t>等拥有涉税费信息的有关部门应当按照国家和省的规定，协商确定涉税费信息共享的范围、内容、格式、频率、方式等。</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lang w:eastAsia="zh-CN"/>
        </w:rPr>
        <w:t>因依法履行职责需要，对</w:t>
      </w:r>
      <w:r>
        <w:rPr>
          <w:rFonts w:hint="eastAsia"/>
        </w:rPr>
        <w:t>涉税费信息共享目录</w:t>
      </w:r>
      <w:r>
        <w:rPr>
          <w:rFonts w:hint="eastAsia"/>
          <w:lang w:eastAsia="zh-CN"/>
        </w:rPr>
        <w:t>范围外，或者临时性、偶发性的涉税费数据</w:t>
      </w:r>
      <w:r>
        <w:rPr>
          <w:rFonts w:hint="eastAsia"/>
        </w:rPr>
        <w:t>，由税务机关会同政务服务数据管理部门与有关部门协商确定，并及时纳入目录管理。</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rPr>
        <w:t>电子商务平台经营者、网络直播平台经营者等应当依照税收征收管理法律、行政法规的规定，向税务机关报送平台内经营者的身份信息和涉税费信息。</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eastAsia="zh-CN"/>
        </w:rPr>
        <w:t>三十六</w:t>
      </w:r>
      <w:r>
        <w:rPr>
          <w:rFonts w:hint="eastAsia"/>
          <w:b/>
          <w:bCs/>
        </w:rPr>
        <w:t>条</w:t>
      </w:r>
      <w:r>
        <w:rPr>
          <w:rFonts w:hint="eastAsia"/>
          <w:lang w:eastAsia="zh-CN"/>
        </w:rPr>
        <w:t xml:space="preserve">  </w:t>
      </w:r>
      <w:r>
        <w:rPr>
          <w:rFonts w:hint="eastAsia"/>
        </w:rPr>
        <w:t>有关部门应当根据涉税费信息目录，按照规定或者约定的格式、频率、方式，将下列涉税费信息依法依规提供给税务机关：</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（一）发展改革部门提供成品油生产企业项目核准、备案和变更信息，协调提供佛山市重点建设项目信息等；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（二）科技部门提供高新技术企业认定信息、“四上”企业、企业研发项目技术鉴定信息等；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（三）公安部门提供车辆登记信息、车辆变更登记信息、报废（或被盗抢）车辆登记信息、购房人及同户直系亲属信息、参保人户籍信息</w:t>
      </w:r>
      <w:r>
        <w:rPr>
          <w:rFonts w:hint="eastAsia" w:ascii="仿宋_GB2312" w:hAnsi="仿宋_GB2312" w:cs="仿宋_GB2312"/>
          <w:color w:val="auto"/>
          <w:sz w:val="32"/>
          <w:szCs w:val="32"/>
          <w:lang w:eastAsia="zh-CN"/>
        </w:rPr>
        <w:t>、</w:t>
      </w:r>
      <w:r>
        <w:rPr>
          <w:rFonts w:hint="eastAsia" w:ascii="仿宋_GB2312" w:hAnsi="仿宋_GB2312" w:cs="仿宋_GB2312"/>
          <w:b w:val="0"/>
          <w:bCs w:val="0"/>
          <w:color w:val="auto"/>
          <w:sz w:val="32"/>
          <w:szCs w:val="32"/>
          <w:highlight w:val="none"/>
          <w:lang w:eastAsia="zh-CN"/>
        </w:rPr>
        <w:t>境内外人员出入境记录</w:t>
      </w:r>
      <w:r>
        <w:rPr>
          <w:rFonts w:hint="eastAsia" w:ascii="仿宋_GB2312" w:hAnsi="仿宋_GB2312" w:eastAsia="仿宋_GB2312" w:cs="仿宋_GB2312"/>
          <w:color w:val="auto"/>
          <w:sz w:val="32"/>
          <w:szCs w:val="32"/>
          <w:lang w:eastAsia="zh-CN"/>
        </w:rPr>
        <w:t>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（四）财政部门提供行政事业性收费单位信息等；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五）自然资源部门提供不动产登记信息，房屋等建筑物、构筑物所有权信息，建设用地使用权信息，建设规划信息，土地划拨、出让、租赁、作价出资或者入股信息，农用地转用信息，经批准临时占地信息，违法用地查处信息，闲置土地信息，土地损毁信息，土地复垦信息，采矿许可证信息，勘查许可证信息，矿业权出让合同，矿产资源储量评审备案信息，开发利用方案审查意见信息，盗采、超采资源处罚信息，建筑物自然幢和逻辑幢、户和层属性结构信息，草场使用权证发放信息，用海审批、海域使用金减免信息，占用林地审批、减免信息，农村土地承包经营权确权信息，国有土地使用权出让交地时间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（六）生态环境部门提供排污许可证信息、环保监测信息、环保整治信息、环保处罚信息等；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七）住房城乡建设部门提供建筑工程施工许可证信息、房屋建筑和市政工程竣工验收信息、建筑业企业资质核准信息、房地产开发企业资质信息、商品房预售许可信息、租赁合同网签备案信息、楼盘表基础数据、房屋交易网签备案数据、</w:t>
      </w:r>
      <w:r>
        <w:rPr>
          <w:rFonts w:hint="eastAsia" w:ascii="仿宋_GB2312" w:hAnsi="仿宋_GB2312" w:cs="仿宋_GB2312"/>
          <w:b w:val="0"/>
          <w:bCs w:val="0"/>
          <w:color w:val="auto"/>
          <w:sz w:val="32"/>
          <w:szCs w:val="32"/>
          <w:highlight w:val="none"/>
          <w:lang w:eastAsia="zh-CN"/>
        </w:rPr>
        <w:t>房地产开发企业监管账户信息、</w:t>
      </w:r>
      <w:r>
        <w:rPr>
          <w:rFonts w:hint="eastAsia" w:ascii="仿宋_GB2312" w:hAnsi="仿宋_GB2312" w:eastAsia="仿宋_GB2312" w:cs="仿宋_GB2312"/>
          <w:color w:val="auto"/>
          <w:sz w:val="32"/>
          <w:szCs w:val="32"/>
          <w:lang w:eastAsia="zh-CN"/>
        </w:rPr>
        <w:t>工地使用油品直供计划信息、物业管理公司及其管理楼盘相关信息、保障性住房相关信息等；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（八）交通运输部门提供营运证明的发放、变更、注销和检验信息，</w:t>
      </w:r>
      <w:r>
        <w:rPr>
          <w:rFonts w:hint="eastAsia" w:ascii="仿宋_GB2312" w:hAnsi="仿宋_GB2312" w:cs="仿宋_GB2312"/>
          <w:color w:val="auto"/>
          <w:sz w:val="32"/>
          <w:szCs w:val="32"/>
          <w:lang w:eastAsia="zh-CN"/>
        </w:rPr>
        <w:t>提供</w:t>
      </w:r>
      <w:r>
        <w:rPr>
          <w:rFonts w:hint="eastAsia" w:ascii="仿宋_GB2312" w:hAnsi="仿宋_GB2312" w:eastAsia="仿宋_GB2312" w:cs="仿宋_GB2312"/>
          <w:color w:val="auto"/>
          <w:sz w:val="32"/>
          <w:szCs w:val="32"/>
          <w:lang w:eastAsia="zh-CN"/>
        </w:rPr>
        <w:t>城市公共交通管理部门与城市公交企业名录信息、危化品电子运单信息、道路客运站场、城市公交站场和城市轨道交通系统运营信息等；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（九）海事部门提供船舶登记信息、载运危险货物和污染危害性货物进出港口审批信息等；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w:t>
      </w:r>
      <w:r>
        <w:rPr>
          <w:rFonts w:hint="eastAsia" w:ascii="仿宋_GB2312" w:hAnsi="仿宋_GB2312" w:cs="仿宋_GB2312"/>
          <w:color w:val="auto"/>
          <w:sz w:val="32"/>
          <w:szCs w:val="32"/>
          <w:lang w:eastAsia="zh-CN"/>
        </w:rPr>
        <w:t>水务</w:t>
      </w:r>
      <w:r>
        <w:rPr>
          <w:rFonts w:hint="eastAsia" w:ascii="仿宋_GB2312" w:hAnsi="仿宋_GB2312" w:eastAsia="仿宋_GB2312" w:cs="仿宋_GB2312"/>
          <w:color w:val="auto"/>
          <w:sz w:val="32"/>
          <w:szCs w:val="32"/>
          <w:lang w:eastAsia="zh-CN"/>
        </w:rPr>
        <w:t>部门提供生活污水</w:t>
      </w:r>
      <w:r>
        <w:rPr>
          <w:rFonts w:hint="eastAsia" w:ascii="仿宋_GB2312" w:hAnsi="仿宋_GB2312" w:cs="仿宋_GB2312"/>
          <w:color w:val="auto"/>
          <w:sz w:val="32"/>
          <w:szCs w:val="32"/>
          <w:lang w:eastAsia="zh-CN"/>
        </w:rPr>
        <w:t>处理场所信息、</w:t>
      </w:r>
      <w:r>
        <w:rPr>
          <w:rFonts w:hint="eastAsia" w:ascii="仿宋_GB2312" w:hAnsi="仿宋_GB2312" w:eastAsia="仿宋_GB2312" w:cs="仿宋_GB2312"/>
          <w:color w:val="auto"/>
          <w:sz w:val="32"/>
          <w:szCs w:val="32"/>
          <w:lang w:eastAsia="zh-CN"/>
        </w:rPr>
        <w:t>水利设施和水利工程建设信息、河道采砂许可证信息、水土保持方案许可信息、盗采和超采资源处罚信息等；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（十一）农业农村部门提供渔业养殖权证发放信息、规模化养殖场信息、农产品种类、种养殖规模、产量（捕捞量）、产值、价格信息，农村集体经济组织主体信息、资产管理信息、资产交易信息</w:t>
      </w:r>
      <w:r>
        <w:rPr>
          <w:rFonts w:hint="eastAsia" w:ascii="仿宋_GB2312" w:hAnsi="仿宋_GB2312" w:cs="仿宋_GB2312"/>
          <w:color w:val="auto"/>
          <w:sz w:val="32"/>
          <w:szCs w:val="32"/>
          <w:lang w:eastAsia="zh-CN"/>
        </w:rPr>
        <w:t>等</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（十二）应急管理部门提供尾矿库安全生产证信息、自然灾害情况信息等；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（十三）市场监管部门提供经营主体登记注册数据信息、经营主体变更信息、经营异常主体信息、企业专利数量</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lang w:eastAsia="zh-CN"/>
        </w:rPr>
        <w:t>监管信息以及年报数据等；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（十四）烟草部门提供烟叶收购信息、烟草种植收购计划信息等；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（十五）结合民用建筑修建防空地下室审批部门提供易地建设行政审批结果信息等；</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（十六）供水、供电、供气等部门提供从事生产、经营的纳税人缴费人用水、用电、用气量信息等；</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（十七）教育、公安、民政、人力资源社会保障、住房城乡建设、卫生健康等部门提供个人所得税专项附加扣除信息，幼儿园、学校、培训机构相关登记信息以及个人婚姻登记信息等；</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（十八）工会管理部门提供建立工会组织的缴费单位名单，开始和终止缴纳工会经费的时间等信息；</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（十九）残联提供用人单位安置残疾人就业信息和残疾人就业保障金缓减免信息等；</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（二十）地方金融</w:t>
      </w:r>
      <w:r>
        <w:rPr>
          <w:rFonts w:hint="eastAsia" w:ascii="仿宋_GB2312" w:hAnsi="仿宋_GB2312" w:cs="仿宋_GB2312"/>
          <w:color w:val="auto"/>
          <w:sz w:val="32"/>
          <w:szCs w:val="32"/>
          <w:lang w:val="en-US" w:eastAsia="zh-CN"/>
        </w:rPr>
        <w:t>监管部门</w:t>
      </w:r>
      <w:r>
        <w:rPr>
          <w:rFonts w:hint="eastAsia" w:ascii="仿宋_GB2312" w:hAnsi="仿宋_GB2312" w:eastAsia="仿宋_GB2312" w:cs="仿宋_GB2312"/>
          <w:color w:val="auto"/>
          <w:sz w:val="32"/>
          <w:szCs w:val="32"/>
          <w:lang w:val="en-US" w:eastAsia="zh-CN"/>
        </w:rPr>
        <w:t>提供</w:t>
      </w:r>
      <w:r>
        <w:rPr>
          <w:rFonts w:hint="eastAsia" w:ascii="仿宋_GB2312" w:hAnsi="仿宋_GB2312" w:cs="仿宋_GB2312"/>
          <w:color w:val="auto"/>
          <w:sz w:val="32"/>
          <w:szCs w:val="32"/>
          <w:lang w:val="en-US" w:eastAsia="zh-CN"/>
        </w:rPr>
        <w:t>本市</w:t>
      </w:r>
      <w:r>
        <w:rPr>
          <w:rFonts w:hint="eastAsia" w:ascii="仿宋_GB2312" w:hAnsi="仿宋_GB2312" w:eastAsia="仿宋_GB2312" w:cs="仿宋_GB2312"/>
          <w:color w:val="auto"/>
          <w:sz w:val="32"/>
          <w:szCs w:val="32"/>
          <w:lang w:val="en-US" w:eastAsia="zh-CN"/>
        </w:rPr>
        <w:t>上市企业、上市后备企业信息等信息</w:t>
      </w:r>
      <w:r>
        <w:rPr>
          <w:rFonts w:hint="eastAsia" w:ascii="仿宋_GB2312" w:hAnsi="仿宋_GB2312" w:cs="仿宋_GB2312"/>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（二十一）</w:t>
      </w:r>
      <w:r>
        <w:rPr>
          <w:rFonts w:hint="default" w:ascii="仿宋_GB2312" w:hAnsi="仿宋_GB2312" w:eastAsia="仿宋_GB2312" w:cs="仿宋_GB2312"/>
          <w:color w:val="auto"/>
          <w:sz w:val="32"/>
          <w:szCs w:val="32"/>
          <w:lang w:val="en-US" w:eastAsia="zh-CN"/>
        </w:rPr>
        <w:t>工业和信息化</w:t>
      </w:r>
      <w:r>
        <w:rPr>
          <w:rFonts w:hint="eastAsia" w:ascii="仿宋_GB2312" w:hAnsi="仿宋_GB2312" w:eastAsia="仿宋_GB2312" w:cs="仿宋_GB2312"/>
          <w:color w:val="auto"/>
          <w:sz w:val="32"/>
          <w:szCs w:val="32"/>
          <w:lang w:val="en-US" w:eastAsia="zh-CN"/>
        </w:rPr>
        <w:t>部门提供</w:t>
      </w:r>
      <w:r>
        <w:rPr>
          <w:rFonts w:hint="eastAsia" w:ascii="仿宋_GB2312" w:hAnsi="仿宋_GB2312" w:cs="仿宋_GB2312"/>
          <w:color w:val="auto"/>
          <w:sz w:val="32"/>
          <w:szCs w:val="32"/>
          <w:lang w:val="en-US" w:eastAsia="zh-CN"/>
        </w:rPr>
        <w:t>技术改造项目、国家级和省级</w:t>
      </w:r>
      <w:r>
        <w:rPr>
          <w:rFonts w:hint="eastAsia" w:ascii="仿宋_GB2312" w:hAnsi="仿宋_GB2312" w:eastAsia="仿宋_GB2312" w:cs="仿宋_GB2312"/>
          <w:color w:val="auto"/>
          <w:sz w:val="32"/>
          <w:szCs w:val="32"/>
          <w:lang w:val="en-US" w:eastAsia="zh-CN"/>
        </w:rPr>
        <w:t>制造业单项冠军企业（产品）、</w:t>
      </w:r>
      <w:r>
        <w:rPr>
          <w:rFonts w:hint="eastAsia" w:ascii="仿宋_GB2312" w:hAnsi="仿宋_GB2312" w:eastAsia="仿宋_GB2312" w:cs="仿宋_GB2312"/>
          <w:color w:val="auto"/>
          <w:sz w:val="32"/>
          <w:szCs w:val="32"/>
          <w:lang w:eastAsia="zh-CN"/>
        </w:rPr>
        <w:t>制造业隐形冠军</w:t>
      </w:r>
      <w:r>
        <w:rPr>
          <w:rFonts w:hint="eastAsia" w:ascii="仿宋_GB2312" w:hAnsi="仿宋_GB2312" w:cs="仿宋_GB2312"/>
          <w:color w:val="auto"/>
          <w:sz w:val="32"/>
          <w:szCs w:val="32"/>
          <w:lang w:eastAsia="zh-CN"/>
        </w:rPr>
        <w:t>、</w:t>
      </w:r>
      <w:r>
        <w:rPr>
          <w:rFonts w:hint="eastAsia" w:ascii="仿宋_GB2312" w:hAnsi="仿宋_GB2312" w:cs="仿宋_GB2312"/>
          <w:color w:val="auto"/>
          <w:sz w:val="32"/>
          <w:szCs w:val="32"/>
          <w:lang w:val="en-US" w:eastAsia="zh-CN"/>
        </w:rPr>
        <w:t>专精特新“</w:t>
      </w:r>
      <w:r>
        <w:rPr>
          <w:rFonts w:hint="eastAsia" w:ascii="仿宋_GB2312" w:hAnsi="仿宋_GB2312" w:eastAsia="仿宋_GB2312" w:cs="仿宋_GB2312"/>
          <w:color w:val="auto"/>
          <w:sz w:val="32"/>
          <w:szCs w:val="32"/>
          <w:lang w:val="en-US" w:eastAsia="zh-CN"/>
        </w:rPr>
        <w:t>小巨人</w:t>
      </w:r>
      <w:r>
        <w:rPr>
          <w:rFonts w:hint="eastAsia" w:ascii="仿宋_GB2312" w:hAnsi="仿宋_GB2312" w:cs="仿宋_GB2312"/>
          <w:color w:val="auto"/>
          <w:sz w:val="32"/>
          <w:szCs w:val="32"/>
          <w:lang w:val="en-US" w:eastAsia="zh-CN"/>
        </w:rPr>
        <w:t>”</w:t>
      </w:r>
      <w:r>
        <w:rPr>
          <w:rFonts w:hint="eastAsia" w:ascii="仿宋_GB2312" w:hAnsi="仿宋_GB2312" w:eastAsia="仿宋_GB2312" w:cs="仿宋_GB2312"/>
          <w:color w:val="auto"/>
          <w:sz w:val="32"/>
          <w:szCs w:val="32"/>
          <w:lang w:val="en-US" w:eastAsia="zh-CN"/>
        </w:rPr>
        <w:t>企业</w:t>
      </w:r>
      <w:r>
        <w:rPr>
          <w:rFonts w:hint="eastAsia" w:ascii="仿宋_GB2312" w:hAnsi="仿宋_GB2312" w:cs="仿宋_GB2312"/>
          <w:color w:val="auto"/>
          <w:sz w:val="32"/>
          <w:szCs w:val="32"/>
          <w:lang w:val="en-US" w:eastAsia="zh-CN"/>
        </w:rPr>
        <w:t>及</w:t>
      </w:r>
      <w:r>
        <w:rPr>
          <w:rFonts w:hint="eastAsia" w:ascii="仿宋_GB2312" w:hAnsi="仿宋_GB2312" w:eastAsia="仿宋_GB2312" w:cs="仿宋_GB2312"/>
          <w:color w:val="auto"/>
          <w:sz w:val="32"/>
          <w:szCs w:val="32"/>
          <w:lang w:val="en-US" w:eastAsia="zh-CN"/>
        </w:rPr>
        <w:t>数字化示范工厂等信息；</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（二十二）海关部门提供本市企业的出口报关数据</w:t>
      </w:r>
      <w:r>
        <w:rPr>
          <w:rFonts w:hint="eastAsia" w:ascii="仿宋_GB2312" w:hAnsi="仿宋_GB2312" w:cs="仿宋_GB2312"/>
          <w:color w:val="auto"/>
          <w:sz w:val="32"/>
          <w:szCs w:val="32"/>
          <w:highlight w:val="none"/>
          <w:lang w:val="en-US" w:eastAsia="zh-CN"/>
        </w:rPr>
        <w:t>等；</w:t>
      </w:r>
    </w:p>
    <w:p>
      <w:pPr>
        <w:pStyle w:val="2"/>
        <w:pageBreakBefore w:val="0"/>
        <w:kinsoku/>
        <w:wordWrap/>
        <w:overflowPunct/>
        <w:topLinePunct w:val="0"/>
        <w:autoSpaceDE/>
        <w:autoSpaceDN/>
        <w:bidi w:val="0"/>
        <w:adjustRightInd/>
        <w:snapToGrid/>
        <w:spacing w:line="560" w:lineRule="exact"/>
        <w:textAlignment w:val="auto"/>
        <w:rPr>
          <w:rFonts w:hint="eastAsia"/>
          <w:lang w:eastAsia="zh-CN"/>
        </w:rPr>
      </w:pPr>
      <w:r>
        <w:rPr>
          <w:rFonts w:hint="eastAsia" w:ascii="仿宋_GB2312" w:hAnsi="仿宋_GB2312" w:cs="仿宋_GB2312"/>
          <w:color w:val="auto"/>
          <w:sz w:val="32"/>
          <w:szCs w:val="32"/>
          <w:lang w:eastAsia="zh-CN"/>
        </w:rPr>
        <w:t>（二十三）</w:t>
      </w:r>
      <w:r>
        <w:rPr>
          <w:rFonts w:hint="eastAsia" w:ascii="仿宋_GB2312" w:hAnsi="仿宋_GB2312" w:cs="仿宋_GB2312"/>
          <w:color w:val="auto"/>
          <w:szCs w:val="32"/>
        </w:rPr>
        <w:t>城市综合管理和执法</w:t>
      </w:r>
      <w:r>
        <w:rPr>
          <w:rFonts w:hint="eastAsia" w:ascii="仿宋_GB2312" w:hAnsi="仿宋_GB2312" w:cs="仿宋_GB2312"/>
          <w:color w:val="auto"/>
          <w:szCs w:val="32"/>
          <w:lang w:eastAsia="zh-CN"/>
        </w:rPr>
        <w:t>部门</w:t>
      </w:r>
      <w:r>
        <w:rPr>
          <w:rFonts w:hint="eastAsia" w:ascii="仿宋_GB2312" w:hAnsi="仿宋_GB2312" w:cs="仿宋_GB2312"/>
          <w:color w:val="auto"/>
          <w:szCs w:val="32"/>
        </w:rPr>
        <w:t>提供生活垃圾处理场所信息</w:t>
      </w:r>
      <w:r>
        <w:rPr>
          <w:rFonts w:hint="eastAsia" w:ascii="仿宋_GB2312" w:hAnsi="仿宋_GB2312" w:cs="仿宋_GB2312"/>
          <w:color w:val="auto"/>
          <w:szCs w:val="32"/>
          <w:lang w:eastAsia="zh-CN"/>
        </w:rPr>
        <w:t>等</w:t>
      </w:r>
      <w:r>
        <w:rPr>
          <w:rFonts w:hint="eastAsia" w:ascii="仿宋_GB2312" w:hAnsi="仿宋_GB2312" w:cs="仿宋_GB2312"/>
          <w:color w:val="auto"/>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lang w:eastAsia="zh-CN"/>
        </w:rPr>
        <w:t>（</w:t>
      </w:r>
      <w:r>
        <w:rPr>
          <w:rFonts w:hint="eastAsia" w:ascii="仿宋_GB2312" w:hAnsi="仿宋_GB2312" w:cs="仿宋_GB2312"/>
          <w:color w:val="auto"/>
          <w:sz w:val="32"/>
          <w:szCs w:val="32"/>
          <w:lang w:eastAsia="zh-CN"/>
        </w:rPr>
        <w:t>二十四</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highlight w:val="none"/>
          <w:lang w:eastAsia="zh-CN"/>
        </w:rPr>
        <w:t>有关部门按照规定应当提供的其他信息。</w:t>
      </w:r>
    </w:p>
    <w:p>
      <w:pPr>
        <w:pStyle w:val="12"/>
        <w:pageBreakBefore w:val="0"/>
        <w:kinsoku/>
        <w:wordWrap/>
        <w:overflowPunct/>
        <w:topLinePunct w:val="0"/>
        <w:autoSpaceDE/>
        <w:autoSpaceDN/>
        <w:bidi w:val="0"/>
        <w:adjustRightInd/>
        <w:snapToGrid/>
        <w:spacing w:line="560" w:lineRule="exact"/>
        <w:ind w:firstLine="640"/>
        <w:textAlignment w:val="auto"/>
        <w:rPr>
          <w:rFonts w:hint="eastAsia"/>
        </w:rPr>
      </w:pPr>
      <w:r>
        <w:rPr>
          <w:rFonts w:hint="eastAsia"/>
          <w:b/>
          <w:bCs/>
        </w:rPr>
        <w:t>第</w:t>
      </w:r>
      <w:r>
        <w:rPr>
          <w:rFonts w:hint="eastAsia"/>
          <w:b/>
          <w:bCs/>
          <w:lang w:eastAsia="zh-CN"/>
        </w:rPr>
        <w:t>三十七</w:t>
      </w:r>
      <w:r>
        <w:rPr>
          <w:rFonts w:hint="eastAsia"/>
          <w:b/>
          <w:bCs/>
        </w:rPr>
        <w:t>条</w:t>
      </w:r>
      <w:r>
        <w:rPr>
          <w:rFonts w:hint="eastAsia"/>
          <w:b/>
          <w:bCs/>
          <w:lang w:val="en-US" w:eastAsia="zh-CN"/>
        </w:rPr>
        <w:t xml:space="preserve">  </w:t>
      </w:r>
      <w:r>
        <w:rPr>
          <w:rFonts w:hint="eastAsia" w:ascii="仿宋_GB2312" w:hAnsi="仿宋_GB2312" w:eastAsia="仿宋_GB2312" w:cs="仿宋_GB2312"/>
          <w:color w:val="auto"/>
          <w:sz w:val="32"/>
          <w:szCs w:val="32"/>
          <w:lang w:eastAsia="zh-CN"/>
        </w:rPr>
        <w:t>税务机关应当严格遵守涉税费信息共享的相关规定，在本级临时对外提供数据清单内，依法依规向有关部门提供涉税费信息，</w:t>
      </w:r>
      <w:r>
        <w:rPr>
          <w:rFonts w:hint="eastAsia"/>
        </w:rPr>
        <w:t>发挥税费数据在经济运行管理、社会保险基金风险和经济风险防范等方面的作用。</w:t>
      </w:r>
    </w:p>
    <w:p>
      <w:pPr>
        <w:pStyle w:val="12"/>
        <w:pageBreakBefore w:val="0"/>
        <w:kinsoku/>
        <w:wordWrap/>
        <w:overflowPunct/>
        <w:topLinePunct w:val="0"/>
        <w:autoSpaceDE/>
        <w:autoSpaceDN/>
        <w:bidi w:val="0"/>
        <w:adjustRightInd/>
        <w:snapToGrid/>
        <w:spacing w:line="560" w:lineRule="exact"/>
        <w:ind w:firstLine="643"/>
        <w:textAlignment w:val="auto"/>
        <w:rPr>
          <w:rFonts w:hint="eastAsia"/>
          <w:color w:val="auto"/>
          <w:highlight w:val="none"/>
        </w:rPr>
      </w:pPr>
      <w:r>
        <w:rPr>
          <w:rFonts w:hint="eastAsia"/>
          <w:b/>
          <w:bCs/>
          <w:highlight w:val="none"/>
        </w:rPr>
        <w:t>第</w:t>
      </w:r>
      <w:r>
        <w:rPr>
          <w:rFonts w:hint="eastAsia"/>
          <w:b/>
          <w:bCs/>
          <w:highlight w:val="none"/>
          <w:lang w:eastAsia="zh-CN"/>
        </w:rPr>
        <w:t>三十八</w:t>
      </w:r>
      <w:r>
        <w:rPr>
          <w:rFonts w:hint="eastAsia"/>
          <w:b/>
          <w:bCs/>
          <w:highlight w:val="none"/>
        </w:rPr>
        <w:t>条</w:t>
      </w:r>
      <w:r>
        <w:rPr>
          <w:rFonts w:hint="eastAsia"/>
          <w:b/>
          <w:bCs/>
          <w:highlight w:val="none"/>
          <w:lang w:val="en-US" w:eastAsia="zh-CN"/>
        </w:rPr>
        <w:t xml:space="preserve">  </w:t>
      </w:r>
      <w:r>
        <w:rPr>
          <w:rFonts w:hint="eastAsia"/>
          <w:color w:val="auto"/>
          <w:highlight w:val="none"/>
        </w:rPr>
        <w:t>税务机关和有关部门应当</w:t>
      </w:r>
      <w:r>
        <w:rPr>
          <w:rFonts w:hint="eastAsia" w:ascii="仿宋_GB2312" w:hAnsi="仿宋_GB2312" w:eastAsia="仿宋_GB2312" w:cs="仿宋_GB2312"/>
          <w:b w:val="0"/>
          <w:bCs w:val="0"/>
          <w:color w:val="auto"/>
          <w:sz w:val="32"/>
          <w:szCs w:val="32"/>
          <w:highlight w:val="none"/>
          <w:lang w:val="en-US" w:eastAsia="zh-CN"/>
        </w:rPr>
        <w:t>就涉税费共享信息形成统一、规范、准确的数据标准，</w:t>
      </w:r>
      <w:r>
        <w:rPr>
          <w:rFonts w:hint="eastAsia"/>
          <w:color w:val="auto"/>
          <w:highlight w:val="none"/>
        </w:rPr>
        <w:t>保障涉税费共享信息的质量</w:t>
      </w:r>
      <w:r>
        <w:rPr>
          <w:rFonts w:hint="eastAsia"/>
          <w:color w:val="auto"/>
          <w:highlight w:val="none"/>
          <w:lang w:eastAsia="zh-CN"/>
        </w:rPr>
        <w:t>。税务部门和有关部门应当</w:t>
      </w:r>
      <w:r>
        <w:rPr>
          <w:rFonts w:hint="eastAsia"/>
          <w:color w:val="auto"/>
          <w:highlight w:val="none"/>
        </w:rPr>
        <w:t>及时维护、更新共享信息，确保数据的准确性、完整性和时效性。</w:t>
      </w:r>
    </w:p>
    <w:p>
      <w:pPr>
        <w:pageBreakBefore w:val="0"/>
        <w:kinsoku/>
        <w:wordWrap/>
        <w:overflowPunct/>
        <w:topLinePunct w:val="0"/>
        <w:autoSpaceDE/>
        <w:autoSpaceDN/>
        <w:bidi w:val="0"/>
        <w:adjustRightInd/>
        <w:snapToGrid/>
        <w:spacing w:beforeLines="0" w:afterLines="0" w:line="560" w:lineRule="exact"/>
        <w:ind w:firstLine="643"/>
        <w:textAlignment w:val="auto"/>
        <w:rPr>
          <w:rFonts w:hint="eastAsia" w:ascii="仿宋_GB2312" w:hAnsi="仿宋_GB2312" w:eastAsia="仿宋_GB2312"/>
          <w:sz w:val="32"/>
          <w:szCs w:val="24"/>
          <w:lang w:val="zh-CN"/>
        </w:rPr>
      </w:pPr>
      <w:r>
        <w:rPr>
          <w:rFonts w:hint="eastAsia" w:ascii="仿宋_GB2312" w:hAnsi="仿宋_GB2312" w:eastAsia="仿宋_GB2312"/>
          <w:b/>
          <w:sz w:val="32"/>
          <w:szCs w:val="24"/>
          <w:lang w:val="zh-CN"/>
        </w:rPr>
        <w:t>第</w:t>
      </w:r>
      <w:r>
        <w:rPr>
          <w:rFonts w:hint="eastAsia" w:ascii="仿宋_GB2312" w:hAnsi="仿宋_GB2312"/>
          <w:b/>
          <w:sz w:val="32"/>
          <w:szCs w:val="24"/>
          <w:lang w:val="zh-CN"/>
        </w:rPr>
        <w:t>三十九</w:t>
      </w:r>
      <w:r>
        <w:rPr>
          <w:rFonts w:hint="eastAsia" w:ascii="仿宋_GB2312" w:hAnsi="仿宋_GB2312" w:eastAsia="仿宋_GB2312"/>
          <w:b/>
          <w:sz w:val="32"/>
          <w:szCs w:val="24"/>
          <w:lang w:val="zh-CN"/>
        </w:rPr>
        <w:t>条</w:t>
      </w:r>
      <w:r>
        <w:rPr>
          <w:rFonts w:hint="eastAsia" w:ascii="仿宋_GB2312" w:hAnsi="仿宋_GB2312"/>
          <w:b/>
          <w:sz w:val="32"/>
          <w:szCs w:val="24"/>
          <w:lang w:val="en-US" w:eastAsia="zh-CN"/>
        </w:rPr>
        <w:t xml:space="preserve">  </w:t>
      </w:r>
      <w:r>
        <w:rPr>
          <w:rFonts w:hint="eastAsia" w:ascii="仿宋_GB2312" w:hAnsi="仿宋_GB2312" w:eastAsia="仿宋_GB2312"/>
          <w:sz w:val="32"/>
          <w:szCs w:val="24"/>
          <w:lang w:val="zh-CN"/>
        </w:rPr>
        <w:t>税务机关和有关部门应当按照</w:t>
      </w:r>
      <w:r>
        <w:rPr>
          <w:rFonts w:hint="default" w:ascii="仿宋_GB2312" w:hAnsi="仿宋_GB2312" w:eastAsia="仿宋_GB2312"/>
          <w:sz w:val="32"/>
          <w:szCs w:val="24"/>
          <w:lang w:val="zh-CN"/>
        </w:rPr>
        <w:t>“</w:t>
      </w:r>
      <w:r>
        <w:rPr>
          <w:rFonts w:hint="eastAsia" w:ascii="仿宋_GB2312" w:hAnsi="仿宋_GB2312" w:eastAsia="仿宋_GB2312"/>
          <w:sz w:val="32"/>
          <w:szCs w:val="24"/>
          <w:lang w:val="zh-CN"/>
        </w:rPr>
        <w:t>谁经手，谁使用，谁管理，谁负责</w:t>
      </w:r>
      <w:r>
        <w:rPr>
          <w:rFonts w:hint="default" w:ascii="仿宋_GB2312" w:hAnsi="仿宋_GB2312" w:eastAsia="仿宋_GB2312"/>
          <w:sz w:val="32"/>
          <w:szCs w:val="24"/>
          <w:lang w:val="zh-CN"/>
        </w:rPr>
        <w:t>”</w:t>
      </w:r>
      <w:r>
        <w:rPr>
          <w:rFonts w:hint="eastAsia" w:ascii="仿宋_GB2312" w:hAnsi="仿宋_GB2312" w:eastAsia="仿宋_GB2312"/>
          <w:sz w:val="32"/>
          <w:szCs w:val="24"/>
          <w:lang w:val="zh-CN"/>
        </w:rPr>
        <w:t>的原则，做好涉税费信息安全保密工作，依法收集、使用和保管涉税费信息，加强信息共享全过程管理。对在税费征管保障工作中获悉的国家秘密、商业秘密和个人隐私，应当依法予以保密，严防信息泄漏和滥用，严格规范使用权限，不得将涉税费信息用于履行法定职责之外的其他用途。</w:t>
      </w:r>
    </w:p>
    <w:p>
      <w:pPr>
        <w:pStyle w:val="13"/>
        <w:keepNext/>
        <w:keepLines/>
        <w:pageBreakBefore w:val="0"/>
        <w:widowControl w:val="0"/>
        <w:kinsoku/>
        <w:wordWrap/>
        <w:overflowPunct/>
        <w:topLinePunct w:val="0"/>
        <w:autoSpaceDE/>
        <w:autoSpaceDN/>
        <w:bidi w:val="0"/>
        <w:adjustRightInd/>
        <w:snapToGrid/>
        <w:spacing w:line="560" w:lineRule="exact"/>
        <w:ind w:firstLine="0" w:firstLineChars="0"/>
        <w:textAlignment w:val="auto"/>
        <w:outlineLvl w:val="0"/>
        <w:rPr>
          <w:rFonts w:hint="eastAsia"/>
        </w:rPr>
      </w:pPr>
      <w:r>
        <w:rPr>
          <w:rFonts w:hint="eastAsia"/>
        </w:rPr>
        <w:t>第</w:t>
      </w:r>
      <w:r>
        <w:rPr>
          <w:rFonts w:hint="eastAsia"/>
          <w:lang w:eastAsia="zh-CN"/>
        </w:rPr>
        <w:t>五</w:t>
      </w:r>
      <w:r>
        <w:rPr>
          <w:rFonts w:hint="eastAsia"/>
        </w:rPr>
        <w:t>章</w:t>
      </w:r>
      <w:r>
        <w:rPr>
          <w:rFonts w:hint="eastAsia"/>
          <w:lang w:eastAsia="zh-CN"/>
        </w:rPr>
        <w:t xml:space="preserve">  </w:t>
      </w:r>
      <w:r>
        <w:rPr>
          <w:rFonts w:hint="eastAsia"/>
        </w:rPr>
        <w:t>责任追究</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eastAsia="zh-CN"/>
        </w:rPr>
        <w:t>四十</w:t>
      </w:r>
      <w:r>
        <w:rPr>
          <w:rFonts w:hint="eastAsia"/>
          <w:b/>
          <w:bCs/>
        </w:rPr>
        <w:t>条</w:t>
      </w:r>
      <w:r>
        <w:rPr>
          <w:rFonts w:hint="eastAsia"/>
          <w:lang w:eastAsia="zh-CN"/>
        </w:rPr>
        <w:t xml:space="preserve">  </w:t>
      </w:r>
      <w:r>
        <w:rPr>
          <w:rFonts w:hint="eastAsia"/>
        </w:rPr>
        <w:t>税务机关和有关部门违反规定擅自扩大或者缩小征收范围，擅自不征、少征、多征、提前征收或者减征、免征、缓征税费，擅自违反规定隐匿、转移、侵占、挪用税费或者延迟解缴税费，违规返还税费造成财政收入流失或社会保险基金损失的，由有权机关对直接负责的主管人员和其他直接责任人员依法给予处分；税务机关和有关部门、单位、社会组织相关责任人员构成犯罪的，依法追究刑事责任。</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eastAsia="zh-CN"/>
        </w:rPr>
        <w:t>四十一</w:t>
      </w:r>
      <w:r>
        <w:rPr>
          <w:rFonts w:hint="eastAsia"/>
          <w:b/>
          <w:bCs/>
        </w:rPr>
        <w:t>条</w:t>
      </w:r>
      <w:r>
        <w:rPr>
          <w:rFonts w:hint="eastAsia"/>
          <w:lang w:eastAsia="zh-CN"/>
        </w:rPr>
        <w:t xml:space="preserve">  </w:t>
      </w:r>
      <w:r>
        <w:rPr>
          <w:rFonts w:hint="eastAsia"/>
        </w:rPr>
        <w:t>地方各级人民政府、税务机关和有关部门、单位、社会组织及其工作人员未按照法律法规或者本办法的规定，履行税费征管保障义务的，由有权机关按照规定予以处理。</w:t>
      </w:r>
    </w:p>
    <w:p>
      <w:pPr>
        <w:pStyle w:val="13"/>
        <w:pageBreakBefore w:val="0"/>
        <w:kinsoku/>
        <w:wordWrap/>
        <w:overflowPunct/>
        <w:topLinePunct w:val="0"/>
        <w:autoSpaceDE/>
        <w:autoSpaceDN/>
        <w:bidi w:val="0"/>
        <w:adjustRightInd/>
        <w:snapToGrid/>
        <w:spacing w:line="560" w:lineRule="exact"/>
        <w:textAlignment w:val="auto"/>
        <w:outlineLvl w:val="0"/>
        <w:rPr>
          <w:rFonts w:hint="eastAsia"/>
        </w:rPr>
      </w:pPr>
      <w:r>
        <w:rPr>
          <w:rFonts w:hint="eastAsia"/>
        </w:rPr>
        <w:t>第</w:t>
      </w:r>
      <w:r>
        <w:rPr>
          <w:rFonts w:hint="eastAsia"/>
          <w:lang w:eastAsia="zh-CN"/>
        </w:rPr>
        <w:t>六</w:t>
      </w:r>
      <w:r>
        <w:rPr>
          <w:rFonts w:hint="eastAsia"/>
        </w:rPr>
        <w:t>章</w:t>
      </w:r>
      <w:r>
        <w:rPr>
          <w:rFonts w:hint="eastAsia"/>
          <w:lang w:eastAsia="zh-CN"/>
        </w:rPr>
        <w:t xml:space="preserve">  </w:t>
      </w:r>
      <w:r>
        <w:rPr>
          <w:rFonts w:hint="eastAsia"/>
        </w:rPr>
        <w:t>附</w:t>
      </w:r>
      <w:r>
        <w:rPr>
          <w:rFonts w:hint="eastAsia"/>
          <w:lang w:eastAsia="zh-CN"/>
        </w:rPr>
        <w:t xml:space="preserve">  </w:t>
      </w:r>
      <w:r>
        <w:rPr>
          <w:rFonts w:hint="eastAsia"/>
        </w:rPr>
        <w:t>则</w:t>
      </w:r>
    </w:p>
    <w:p>
      <w:pPr>
        <w:pStyle w:val="12"/>
        <w:pageBreakBefore w:val="0"/>
        <w:kinsoku/>
        <w:wordWrap/>
        <w:overflowPunct/>
        <w:topLinePunct w:val="0"/>
        <w:autoSpaceDE/>
        <w:autoSpaceDN/>
        <w:bidi w:val="0"/>
        <w:adjustRightInd/>
        <w:snapToGrid/>
        <w:spacing w:line="560" w:lineRule="exact"/>
        <w:ind w:firstLine="643"/>
        <w:textAlignment w:val="auto"/>
        <w:rPr>
          <w:rFonts w:hint="eastAsia"/>
        </w:rPr>
      </w:pPr>
      <w:r>
        <w:rPr>
          <w:rFonts w:hint="eastAsia"/>
          <w:b/>
          <w:bCs/>
        </w:rPr>
        <w:t>第</w:t>
      </w:r>
      <w:r>
        <w:rPr>
          <w:rFonts w:hint="eastAsia"/>
          <w:b/>
          <w:bCs/>
          <w:lang w:eastAsia="zh-CN"/>
        </w:rPr>
        <w:t>四十二</w:t>
      </w:r>
      <w:r>
        <w:rPr>
          <w:rFonts w:hint="eastAsia"/>
          <w:b/>
          <w:bCs/>
        </w:rPr>
        <w:t>条</w:t>
      </w:r>
      <w:r>
        <w:rPr>
          <w:rFonts w:hint="eastAsia"/>
          <w:lang w:eastAsia="zh-CN"/>
        </w:rPr>
        <w:t xml:space="preserve">  </w:t>
      </w:r>
      <w:r>
        <w:rPr>
          <w:rFonts w:hint="eastAsia"/>
        </w:rPr>
        <w:t>税务机关可以与同级有关主管部门签订税费征管协作协议，明确协作内容和双方权利、义务。</w:t>
      </w:r>
    </w:p>
    <w:p>
      <w:pPr>
        <w:pStyle w:val="12"/>
        <w:keepNext w:val="0"/>
        <w:keepLines w:val="0"/>
        <w:pageBreakBefore w:val="0"/>
        <w:widowControl w:val="0"/>
        <w:kinsoku/>
        <w:wordWrap/>
        <w:overflowPunct/>
        <w:topLinePunct w:val="0"/>
        <w:autoSpaceDE/>
        <w:autoSpaceDN/>
        <w:bidi w:val="0"/>
        <w:adjustRightInd/>
        <w:snapToGrid/>
        <w:spacing w:line="560" w:lineRule="exact"/>
        <w:ind w:firstLine="643"/>
        <w:textAlignment w:val="auto"/>
        <w:rPr>
          <w:rFonts w:hint="default" w:ascii="仿宋_GB2312" w:hAnsi="仿宋_GB2312" w:eastAsia="仿宋_GB2312" w:cs="仿宋_GB2312"/>
          <w:color w:val="0000FF"/>
          <w:sz w:val="32"/>
          <w:szCs w:val="32"/>
          <w:lang w:val="en-US" w:eastAsia="zh-CN"/>
        </w:rPr>
      </w:pPr>
      <w:r>
        <w:rPr>
          <w:rFonts w:hint="eastAsia"/>
          <w:b/>
          <w:bCs/>
        </w:rPr>
        <w:t>第</w:t>
      </w:r>
      <w:r>
        <w:rPr>
          <w:rFonts w:hint="eastAsia"/>
          <w:b/>
          <w:bCs/>
          <w:lang w:eastAsia="zh-CN"/>
        </w:rPr>
        <w:t>四十三</w:t>
      </w:r>
      <w:r>
        <w:rPr>
          <w:rFonts w:hint="eastAsia"/>
          <w:b/>
          <w:bCs/>
        </w:rPr>
        <w:t>条</w:t>
      </w:r>
      <w:r>
        <w:rPr>
          <w:rFonts w:hint="eastAsia"/>
          <w:lang w:eastAsia="zh-CN"/>
        </w:rPr>
        <w:t xml:space="preserve">  </w:t>
      </w:r>
      <w:r>
        <w:rPr>
          <w:rFonts w:hint="eastAsia"/>
        </w:rPr>
        <w:t>本办法自202</w:t>
      </w:r>
      <w:r>
        <w:rPr>
          <w:rFonts w:hint="eastAsia"/>
          <w:lang w:val="en-US" w:eastAsia="zh-CN"/>
        </w:rPr>
        <w:t xml:space="preserve">  </w:t>
      </w:r>
      <w:r>
        <w:rPr>
          <w:rFonts w:hint="eastAsia"/>
        </w:rPr>
        <w:t>年</w:t>
      </w:r>
      <w:r>
        <w:rPr>
          <w:rFonts w:hint="eastAsia"/>
          <w:lang w:val="en-US" w:eastAsia="zh-CN"/>
        </w:rPr>
        <w:t xml:space="preserve"> </w:t>
      </w:r>
      <w:r>
        <w:rPr>
          <w:rFonts w:hint="eastAsia"/>
        </w:rPr>
        <w:t>月</w:t>
      </w:r>
      <w:r>
        <w:rPr>
          <w:rFonts w:hint="eastAsia"/>
          <w:lang w:val="en-US" w:eastAsia="zh-CN"/>
        </w:rPr>
        <w:t xml:space="preserve"> </w:t>
      </w:r>
      <w:r>
        <w:rPr>
          <w:rFonts w:hint="eastAsia"/>
        </w:rPr>
        <w:t>日起施行，有效期5年。</w:t>
      </w:r>
    </w:p>
    <w:sectPr>
      <w:footerReference r:id="rId5" w:type="default"/>
      <w:pgSz w:w="11906" w:h="16838"/>
      <w:pgMar w:top="1440" w:right="1474" w:bottom="1440" w:left="1800"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dit="readOnly"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E7207F"/>
    <w:rsid w:val="03ED75D6"/>
    <w:rsid w:val="0711168F"/>
    <w:rsid w:val="077710B8"/>
    <w:rsid w:val="0898556B"/>
    <w:rsid w:val="08E75BA2"/>
    <w:rsid w:val="08FF7B06"/>
    <w:rsid w:val="095C3BCF"/>
    <w:rsid w:val="0975549A"/>
    <w:rsid w:val="09B2350A"/>
    <w:rsid w:val="0A010386"/>
    <w:rsid w:val="0A5A6B59"/>
    <w:rsid w:val="0A8321EB"/>
    <w:rsid w:val="0C4F49B7"/>
    <w:rsid w:val="0CF80D9A"/>
    <w:rsid w:val="0D2B2EFF"/>
    <w:rsid w:val="0E0F63AA"/>
    <w:rsid w:val="11AB2CE6"/>
    <w:rsid w:val="12457B75"/>
    <w:rsid w:val="129F3DE4"/>
    <w:rsid w:val="12F356A2"/>
    <w:rsid w:val="13A81334"/>
    <w:rsid w:val="155A428E"/>
    <w:rsid w:val="162C11FB"/>
    <w:rsid w:val="17725079"/>
    <w:rsid w:val="19513EB5"/>
    <w:rsid w:val="1A3A1C5A"/>
    <w:rsid w:val="1B242412"/>
    <w:rsid w:val="1C346603"/>
    <w:rsid w:val="1D0B3808"/>
    <w:rsid w:val="206F718C"/>
    <w:rsid w:val="20A15423"/>
    <w:rsid w:val="20B12DEA"/>
    <w:rsid w:val="20D07002"/>
    <w:rsid w:val="21E90B60"/>
    <w:rsid w:val="22895B60"/>
    <w:rsid w:val="22AE67D7"/>
    <w:rsid w:val="252D711E"/>
    <w:rsid w:val="27D501BC"/>
    <w:rsid w:val="2AE16469"/>
    <w:rsid w:val="2B2A739A"/>
    <w:rsid w:val="2B3360FA"/>
    <w:rsid w:val="2B3A4CA1"/>
    <w:rsid w:val="2BB77478"/>
    <w:rsid w:val="2BEF197F"/>
    <w:rsid w:val="2CC37852"/>
    <w:rsid w:val="2DE72395"/>
    <w:rsid w:val="2E2050F3"/>
    <w:rsid w:val="2F93216B"/>
    <w:rsid w:val="315D2830"/>
    <w:rsid w:val="31AC115C"/>
    <w:rsid w:val="34A8521B"/>
    <w:rsid w:val="35D97318"/>
    <w:rsid w:val="35F13826"/>
    <w:rsid w:val="36411683"/>
    <w:rsid w:val="385E00CA"/>
    <w:rsid w:val="39B90978"/>
    <w:rsid w:val="3A4B6F38"/>
    <w:rsid w:val="3C347535"/>
    <w:rsid w:val="3C592507"/>
    <w:rsid w:val="3E794907"/>
    <w:rsid w:val="439B206E"/>
    <w:rsid w:val="43E15469"/>
    <w:rsid w:val="46560B6D"/>
    <w:rsid w:val="46720C95"/>
    <w:rsid w:val="46B523D8"/>
    <w:rsid w:val="47230A30"/>
    <w:rsid w:val="49295AE9"/>
    <w:rsid w:val="49741C01"/>
    <w:rsid w:val="4A080F94"/>
    <w:rsid w:val="4ADF27B6"/>
    <w:rsid w:val="4BB55CA1"/>
    <w:rsid w:val="4C825D38"/>
    <w:rsid w:val="4D782DE5"/>
    <w:rsid w:val="4EA45875"/>
    <w:rsid w:val="4F17735B"/>
    <w:rsid w:val="5032442F"/>
    <w:rsid w:val="50733C8A"/>
    <w:rsid w:val="53890C8E"/>
    <w:rsid w:val="55E43722"/>
    <w:rsid w:val="575B41E1"/>
    <w:rsid w:val="57997E12"/>
    <w:rsid w:val="59F44AC2"/>
    <w:rsid w:val="5A0A4A39"/>
    <w:rsid w:val="5A6327D7"/>
    <w:rsid w:val="5A6F4C2D"/>
    <w:rsid w:val="5A8E4800"/>
    <w:rsid w:val="5BFF37BD"/>
    <w:rsid w:val="5C9A2E69"/>
    <w:rsid w:val="5E0461A4"/>
    <w:rsid w:val="602A1F3E"/>
    <w:rsid w:val="6125324C"/>
    <w:rsid w:val="6174371C"/>
    <w:rsid w:val="624F4E2B"/>
    <w:rsid w:val="628A4E3F"/>
    <w:rsid w:val="62E04708"/>
    <w:rsid w:val="62F6329E"/>
    <w:rsid w:val="64587F3C"/>
    <w:rsid w:val="64E73078"/>
    <w:rsid w:val="652615C1"/>
    <w:rsid w:val="65524ED1"/>
    <w:rsid w:val="6555751C"/>
    <w:rsid w:val="65C30E5D"/>
    <w:rsid w:val="65FE43BC"/>
    <w:rsid w:val="66FB1BA1"/>
    <w:rsid w:val="681513EC"/>
    <w:rsid w:val="68161CCF"/>
    <w:rsid w:val="68386138"/>
    <w:rsid w:val="685C0329"/>
    <w:rsid w:val="6880146E"/>
    <w:rsid w:val="692B7A97"/>
    <w:rsid w:val="693C685F"/>
    <w:rsid w:val="69841726"/>
    <w:rsid w:val="6AA63F05"/>
    <w:rsid w:val="6C43792A"/>
    <w:rsid w:val="6CFD65D7"/>
    <w:rsid w:val="71C571C6"/>
    <w:rsid w:val="71D336F2"/>
    <w:rsid w:val="71EF0043"/>
    <w:rsid w:val="723F6F22"/>
    <w:rsid w:val="72A21E1C"/>
    <w:rsid w:val="72D36BCC"/>
    <w:rsid w:val="75C56CA0"/>
    <w:rsid w:val="77474EE0"/>
    <w:rsid w:val="77712DE8"/>
    <w:rsid w:val="780B7B2A"/>
    <w:rsid w:val="790A7D86"/>
    <w:rsid w:val="7A796000"/>
    <w:rsid w:val="7C4175E7"/>
    <w:rsid w:val="7D974BA2"/>
    <w:rsid w:val="7EC10DA3"/>
    <w:rsid w:val="7F0A7055"/>
    <w:rsid w:val="7F8552F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ind w:firstLine="880" w:firstLineChars="200"/>
      <w:jc w:val="both"/>
    </w:pPr>
    <w:rPr>
      <w:rFonts w:ascii="Calibri" w:hAnsi="Calibri" w:eastAsia="仿宋_GB2312" w:cs="Times New Roman"/>
      <w:kern w:val="2"/>
      <w:sz w:val="32"/>
      <w:szCs w:val="24"/>
      <w:lang w:val="en-US" w:eastAsia="zh-CN" w:bidi="ar-SA"/>
    </w:rPr>
  </w:style>
  <w:style w:type="paragraph" w:styleId="3">
    <w:name w:val="heading 1"/>
    <w:basedOn w:val="1"/>
    <w:next w:val="1"/>
    <w:qFormat/>
    <w:uiPriority w:val="0"/>
    <w:pPr>
      <w:keepNext/>
      <w:keepLines/>
      <w:spacing w:beforeLines="0" w:beforeAutospacing="0" w:afterLines="0" w:afterAutospacing="0" w:line="600" w:lineRule="exact"/>
      <w:ind w:firstLine="0" w:firstLineChars="0"/>
      <w:jc w:val="center"/>
      <w:outlineLvl w:val="0"/>
    </w:pPr>
    <w:rPr>
      <w:rFonts w:eastAsia="方正小标宋简体"/>
      <w:kern w:val="44"/>
      <w:sz w:val="44"/>
    </w:rPr>
  </w:style>
  <w:style w:type="paragraph" w:styleId="4">
    <w:name w:val="heading 2"/>
    <w:basedOn w:val="1"/>
    <w:next w:val="5"/>
    <w:unhideWhenUsed/>
    <w:qFormat/>
    <w:uiPriority w:val="0"/>
    <w:pPr>
      <w:keepNext w:val="0"/>
      <w:keepLines w:val="0"/>
      <w:widowControl w:val="0"/>
      <w:tabs>
        <w:tab w:val="left" w:pos="992"/>
      </w:tabs>
      <w:spacing w:line="600" w:lineRule="exact"/>
      <w:ind w:left="0" w:firstLine="1072" w:firstLineChars="200"/>
      <w:jc w:val="left"/>
      <w:outlineLvl w:val="1"/>
    </w:pPr>
    <w:rPr>
      <w:rFonts w:ascii="Arial" w:hAnsi="Arial" w:eastAsia="黑体" w:cs="Times New Roman"/>
      <w:spacing w:val="-4"/>
      <w:kern w:val="28"/>
      <w:sz w:val="32"/>
      <w:szCs w:val="20"/>
    </w:rPr>
  </w:style>
  <w:style w:type="paragraph" w:styleId="6">
    <w:name w:val="heading 3"/>
    <w:basedOn w:val="1"/>
    <w:next w:val="1"/>
    <w:unhideWhenUsed/>
    <w:qFormat/>
    <w:uiPriority w:val="0"/>
    <w:pPr>
      <w:keepNext w:val="0"/>
      <w:keepLines w:val="0"/>
      <w:spacing w:beforeLines="0" w:beforeAutospacing="0" w:afterLines="0" w:afterAutospacing="0" w:line="600" w:lineRule="exact"/>
      <w:ind w:firstLine="880" w:firstLineChars="200"/>
      <w:outlineLvl w:val="2"/>
    </w:pPr>
    <w:rPr>
      <w:rFonts w:ascii="Calibri" w:hAnsi="Calibri" w:eastAsia="楷体_GB2312"/>
      <w:b/>
      <w:sz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afterLines="0" w:afterAutospacing="0"/>
    </w:pPr>
  </w:style>
  <w:style w:type="paragraph" w:styleId="5">
    <w:name w:val="Normal Indent"/>
    <w:basedOn w:val="1"/>
    <w:qFormat/>
    <w:uiPriority w:val="0"/>
    <w:pPr>
      <w:ind w:firstLine="420" w:firstLineChars="200"/>
    </w:pPr>
  </w:style>
  <w:style w:type="paragraph" w:styleId="7">
    <w:name w:val="annotation text"/>
    <w:basedOn w:val="1"/>
    <w:qFormat/>
    <w:uiPriority w:val="0"/>
    <w:pPr>
      <w:jc w:val="left"/>
    </w:p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2">
    <w:name w:val="正文仿宋"/>
    <w:basedOn w:val="1"/>
    <w:qFormat/>
    <w:uiPriority w:val="0"/>
    <w:pPr>
      <w:spacing w:line="600" w:lineRule="exact"/>
    </w:pPr>
    <w:rPr>
      <w:rFonts w:hint="eastAsia" w:ascii="仿宋_GB2312" w:hAnsi="仿宋_GB2312" w:cs="仿宋_GB2312"/>
      <w:color w:val="auto"/>
      <w:kern w:val="0"/>
      <w:szCs w:val="32"/>
    </w:rPr>
  </w:style>
  <w:style w:type="paragraph" w:customStyle="1" w:styleId="13">
    <w:name w:val="黑体居中"/>
    <w:basedOn w:val="1"/>
    <w:next w:val="1"/>
    <w:qFormat/>
    <w:uiPriority w:val="0"/>
    <w:pPr>
      <w:keepNext/>
      <w:keepLines/>
      <w:spacing w:line="600" w:lineRule="exact"/>
      <w:jc w:val="center"/>
      <w:outlineLvl w:val="1"/>
    </w:pPr>
    <w:rPr>
      <w:rFonts w:ascii="Calibri Light" w:hAnsi="Calibri Light" w:eastAsia="黑体" w:cs="Times New Roman"/>
      <w:bCs/>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29</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2024-06-20T08:35:00Z</dcterms:created>
  <dc:creator>24406062121</dc:creator>
  <cp:lastModifiedBy>苏娜</cp:lastModifiedBy>
  <cp:lastPrinted>2025-03-21T02:54:25Z</cp:lastPrinted>
  <dcterms:modified xsi:type="dcterms:W3CDTF">2025-03-21T03:42:23Z</dcterms:modified>
  <dc:title>佛山市税费征管保障办法</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