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 w:bidi="ar"/>
        </w:rPr>
      </w:pP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val="en" w:eastAsia="zh-CN" w:bidi="ar"/>
        </w:rPr>
        <w:t>附件</w:t>
      </w:r>
      <w:r>
        <w:rPr>
          <w:rFonts w:hint="eastAsia" w:ascii="黑体" w:hAnsi="黑体" w:eastAsia="黑体" w:cs="黑体"/>
          <w:color w:val="auto"/>
          <w:kern w:val="0"/>
          <w:sz w:val="32"/>
          <w:szCs w:val="32"/>
          <w:highlight w:val="none"/>
          <w:lang w:val="en-US" w:eastAsia="zh-CN" w:bidi="ar"/>
        </w:rPr>
        <w:t>2</w:t>
      </w:r>
      <w:r>
        <w:rPr>
          <w:rFonts w:hint="eastAsia" w:ascii="仿宋_GB2312" w:hAnsi="仿宋_GB2312" w:eastAsia="仿宋_GB2312" w:cs="仿宋_GB2312"/>
          <w:color w:val="auto"/>
          <w:kern w:val="0"/>
          <w:sz w:val="32"/>
          <w:szCs w:val="32"/>
          <w:highlight w:val="none"/>
          <w:lang w:val="en-US" w:eastAsia="zh-CN" w:bidi="ar"/>
        </w:rPr>
        <w:t xml:space="preserve"> </w:t>
      </w:r>
    </w:p>
    <w:p>
      <w:pPr>
        <w:pStyle w:val="3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w w:val="98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w w:val="98"/>
          <w:sz w:val="44"/>
          <w:szCs w:val="44"/>
          <w:lang w:val="en-US" w:eastAsia="zh-CN"/>
        </w:rPr>
        <w:t>关于《佛山市税费征管保障办法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w w:val="98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auto"/>
          <w:w w:val="98"/>
          <w:sz w:val="44"/>
          <w:szCs w:val="44"/>
          <w:lang w:val="en-US" w:eastAsia="zh-CN"/>
        </w:rPr>
        <w:t>（征求意见稿）》的起草说明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eastAsia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ind w:firstLine="640" w:firstLineChars="200"/>
        <w:textAlignment w:val="auto"/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</w:rPr>
      </w:pP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为加强税费征收管理，保护纳税人缴费人合法权益，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</w:rPr>
        <w:t>深化拓展税收共治格局，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推进治理体系和治理能力现代化，促进我市经济社会高质量发展，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Hans"/>
        </w:rPr>
        <w:t>根据《中华人民共和国税收征收管理法》《中华人民共和国社会保险法》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《广东省税费征管保障办法》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Hans"/>
        </w:rPr>
        <w:t>等相关法律、法规规定，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佛山市税务局在深入调研基础上，结合我市实际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组织起草了《佛山市税费征管保障办法（征求意见稿）》（下称《办法》），现将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</w:rPr>
        <w:t>有关情况说明如下：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黑体" w:hAnsi="黑体" w:eastAsia="黑体" w:cs="黑体"/>
          <w:b w:val="0"/>
          <w:bCs/>
          <w:sz w:val="32"/>
          <w:szCs w:val="32"/>
        </w:rPr>
      </w:pPr>
      <w:r>
        <w:rPr>
          <w:rFonts w:hint="eastAsia" w:ascii="黑体" w:hAnsi="黑体" w:eastAsia="黑体" w:cs="黑体"/>
          <w:b w:val="0"/>
          <w:bCs/>
          <w:i w:val="0"/>
          <w:iCs w:val="0"/>
          <w:color w:val="333333"/>
          <w:kern w:val="0"/>
          <w:sz w:val="32"/>
          <w:szCs w:val="32"/>
          <w:shd w:val="clear" w:fill="FFFFFF"/>
          <w:lang w:val="en-US" w:eastAsia="zh-CN" w:bidi="ar"/>
        </w:rPr>
        <w:t>一、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起草的背景及</w:t>
      </w:r>
      <w:r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sz w:val="32"/>
          <w:szCs w:val="32"/>
          <w:lang w:eastAsia="zh-CN"/>
        </w:rPr>
        <w:t>必要性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楷体_GB2312" w:hAnsi="仿宋_GB2312" w:eastAsia="楷体_GB2312" w:cs="楷体_GB2312"/>
          <w:b w:val="0"/>
          <w:bCs w:val="0"/>
          <w:sz w:val="32"/>
          <w:szCs w:val="32"/>
          <w:lang w:val="en-US" w:eastAsia="zh-CN"/>
        </w:rPr>
        <w:t>一是贯彻落实深化税收征管改革的重要举措。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2021年3月，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中共中央办公厅 国务院办公厅印发的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《关于进一步深化税收征管改革的意见》，提出“要加强部门协作，加强社会协同，强化税收司法保障，持续深化拓展税收共治格局”。广东省人民政府于2023年12月印发《广东省税费征管保障办法》。出台我市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《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办法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》，是坚持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“精诚共治”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理念，全面适应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社会保险费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、非税项目划转改革，推进智慧税务建设，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强化财政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收入保障的具体措施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，也是佛山市贯彻《广东省税务保障办法》、深化税收征管改革的实际需要。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jc w:val="both"/>
        <w:textAlignment w:val="auto"/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楷体_GB2312" w:hAnsi="仿宋_GB2312" w:eastAsia="楷体_GB2312" w:cs="楷体_GB2312"/>
          <w:b w:val="0"/>
          <w:bCs w:val="0"/>
          <w:sz w:val="32"/>
          <w:szCs w:val="32"/>
          <w:lang w:val="en-US" w:eastAsia="zh-CN"/>
        </w:rPr>
        <w:t>二是适应</w:t>
      </w:r>
      <w:r>
        <w:rPr>
          <w:rFonts w:hint="eastAsia" w:ascii="楷体_GB2312" w:eastAsia="楷体_GB2312" w:cs="楷体_GB2312"/>
          <w:b w:val="0"/>
          <w:bCs w:val="0"/>
          <w:sz w:val="32"/>
          <w:szCs w:val="32"/>
          <w:lang w:val="en-US" w:eastAsia="zh-CN"/>
        </w:rPr>
        <w:t>新形势新阶段</w:t>
      </w:r>
      <w:r>
        <w:rPr>
          <w:rFonts w:hint="eastAsia" w:ascii="楷体_GB2312" w:hAnsi="仿宋_GB2312" w:eastAsia="楷体_GB2312" w:cs="楷体_GB2312"/>
          <w:b w:val="0"/>
          <w:bCs w:val="0"/>
          <w:sz w:val="32"/>
          <w:szCs w:val="32"/>
          <w:lang w:val="en-US" w:eastAsia="zh-CN"/>
        </w:rPr>
        <w:t>税费征管的迫切需要。</w:t>
      </w:r>
      <w:r>
        <w:rPr>
          <w:rFonts w:hint="eastAsia" w:ascii="仿宋_GB2312" w:hAnsi="仿宋_GB2312" w:eastAsia="仿宋_GB2312" w:cs="仿宋_GB2312"/>
          <w:color w:val="000000"/>
          <w:kern w:val="21"/>
          <w:sz w:val="32"/>
          <w:szCs w:val="32"/>
          <w:lang w:val="en-US" w:eastAsia="zh-CN"/>
        </w:rPr>
        <w:t>目前，我市</w:t>
      </w:r>
      <w:r>
        <w:rPr>
          <w:rFonts w:hint="eastAsia" w:cs="仿宋_GB2312"/>
          <w:color w:val="000000"/>
          <w:kern w:val="21"/>
          <w:sz w:val="32"/>
          <w:szCs w:val="32"/>
          <w:lang w:val="en-US" w:eastAsia="zh-CN"/>
        </w:rPr>
        <w:t>在</w:t>
      </w:r>
      <w:r>
        <w:rPr>
          <w:rFonts w:hint="eastAsia" w:ascii="仿宋_GB2312" w:hAnsi="仿宋_GB2312" w:eastAsia="仿宋_GB2312" w:cs="仿宋_GB2312"/>
          <w:color w:val="000000"/>
          <w:kern w:val="21"/>
          <w:sz w:val="32"/>
          <w:szCs w:val="32"/>
          <w:lang w:val="en-US" w:eastAsia="zh-CN"/>
        </w:rPr>
        <w:t>税费征管保障方面的主要制度依据是</w:t>
      </w:r>
      <w:r>
        <w:rPr>
          <w:rFonts w:hint="eastAsia" w:cs="仿宋_GB2312"/>
          <w:color w:val="000000"/>
          <w:kern w:val="21"/>
          <w:sz w:val="32"/>
          <w:szCs w:val="32"/>
          <w:lang w:val="en-US" w:eastAsia="zh-CN"/>
        </w:rPr>
        <w:t>佛山</w:t>
      </w:r>
      <w:r>
        <w:rPr>
          <w:rFonts w:hint="eastAsia" w:ascii="仿宋_GB2312" w:hAnsi="仿宋_GB2312" w:eastAsia="仿宋_GB2312" w:cs="仿宋_GB2312"/>
          <w:color w:val="000000"/>
          <w:kern w:val="21"/>
          <w:sz w:val="32"/>
          <w:szCs w:val="32"/>
          <w:lang w:val="en-US" w:eastAsia="zh-CN"/>
        </w:rPr>
        <w:t>市政府</w:t>
      </w:r>
      <w:r>
        <w:rPr>
          <w:rFonts w:hint="eastAsia" w:cs="仿宋_GB2312"/>
          <w:color w:val="000000"/>
          <w:kern w:val="21"/>
          <w:sz w:val="32"/>
          <w:szCs w:val="32"/>
          <w:lang w:val="en-US" w:eastAsia="zh-CN"/>
        </w:rPr>
        <w:t>于</w:t>
      </w:r>
      <w:r>
        <w:rPr>
          <w:rFonts w:hint="eastAsia" w:ascii="仿宋_GB2312" w:hAnsi="仿宋_GB2312" w:eastAsia="仿宋_GB2312" w:cs="仿宋_GB2312"/>
          <w:color w:val="000000"/>
          <w:kern w:val="21"/>
          <w:sz w:val="32"/>
          <w:szCs w:val="32"/>
          <w:lang w:val="en-US" w:eastAsia="zh-CN"/>
        </w:rPr>
        <w:t>2010年印发的《佛山市综合治税工作管理规定》（以下简称《规定》）</w:t>
      </w:r>
      <w:r>
        <w:rPr>
          <w:rFonts w:hint="eastAsia" w:cs="仿宋_GB2312"/>
          <w:color w:val="000000"/>
          <w:kern w:val="21"/>
          <w:sz w:val="32"/>
          <w:szCs w:val="32"/>
          <w:lang w:val="en-US" w:eastAsia="zh-CN"/>
        </w:rPr>
        <w:t>。当前，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税务机关的征收范围</w:t>
      </w:r>
      <w:r>
        <w:rPr>
          <w:rFonts w:hint="eastAsia" w:hAnsi="ˎ̥" w:cs="宋体"/>
          <w:smallCaps/>
          <w:color w:val="auto"/>
          <w:kern w:val="0"/>
          <w:sz w:val="32"/>
          <w:szCs w:val="32"/>
          <w:lang w:val="en-US" w:eastAsia="zh-CN"/>
        </w:rPr>
        <w:t>不仅包括单一税种等涉税事项，还包括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社会保险费和非税收入</w:t>
      </w:r>
      <w:r>
        <w:rPr>
          <w:rFonts w:hint="eastAsia" w:hAnsi="ˎ̥" w:cs="宋体"/>
          <w:smallCaps/>
          <w:color w:val="auto"/>
          <w:kern w:val="0"/>
          <w:sz w:val="32"/>
          <w:szCs w:val="32"/>
          <w:lang w:val="en-US" w:eastAsia="zh-CN"/>
        </w:rPr>
        <w:t>等涉费事项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，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税务部门</w:t>
      </w:r>
      <w:r>
        <w:rPr>
          <w:rFonts w:hint="eastAsia" w:hAnsi="ˎ̥" w:cs="宋体"/>
          <w:smallCaps/>
          <w:color w:val="auto"/>
          <w:kern w:val="0"/>
          <w:sz w:val="32"/>
          <w:szCs w:val="32"/>
          <w:lang w:val="en-US" w:eastAsia="zh-CN"/>
        </w:rPr>
        <w:t>的组织收入结构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已经形成“税费并重”的局面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。随着经济活动的多样化发展，各类涉税费主体对政务服务的集约化、专业化、精细化、跨区域化的需求日益增加，对税费征缴的协同共治、协助配合也提出了更高的要求。</w:t>
      </w:r>
      <w:r>
        <w:rPr>
          <w:rFonts w:hint="eastAsia" w:hAnsi="ˎ̥" w:cs="宋体"/>
          <w:smallCaps/>
          <w:color w:val="auto"/>
          <w:kern w:val="0"/>
          <w:sz w:val="32"/>
          <w:szCs w:val="32"/>
          <w:lang w:val="en-US" w:eastAsia="zh-CN"/>
        </w:rPr>
        <w:t>《规定》内容已不适合当前新形势新阶段的税收征管环境，因此，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出台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《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办法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》</w:t>
      </w:r>
      <w:r>
        <w:rPr>
          <w:rFonts w:hint="eastAsia" w:hAnsi="ˎ̥" w:cs="宋体"/>
          <w:smallCaps/>
          <w:color w:val="auto"/>
          <w:kern w:val="0"/>
          <w:sz w:val="32"/>
          <w:szCs w:val="32"/>
          <w:lang w:val="en-US" w:eastAsia="zh-CN"/>
        </w:rPr>
        <w:t>有助于汇聚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各方税费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共治力量，打造</w:t>
      </w:r>
      <w:r>
        <w:rPr>
          <w:rFonts w:hint="eastAsia" w:hAnsi="ˎ̥" w:cs="宋体"/>
          <w:smallCaps/>
          <w:color w:val="auto"/>
          <w:kern w:val="0"/>
          <w:sz w:val="32"/>
          <w:szCs w:val="32"/>
          <w:lang w:val="en-US" w:eastAsia="zh-CN"/>
        </w:rPr>
        <w:t>更加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协同高效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的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税费征管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保障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机制</w:t>
      </w:r>
      <w:r>
        <w:rPr>
          <w:rFonts w:hint="eastAsia" w:hAnsi="ˎ̥" w:cs="宋体"/>
          <w:smallCaps/>
          <w:color w:val="auto"/>
          <w:kern w:val="0"/>
          <w:sz w:val="32"/>
          <w:szCs w:val="32"/>
          <w:lang w:val="en-US" w:eastAsia="zh-CN"/>
        </w:rPr>
        <w:t>，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提高</w:t>
      </w:r>
      <w:r>
        <w:rPr>
          <w:rFonts w:hint="eastAsia" w:hAnsi="ˎ̥" w:cs="宋体"/>
          <w:smallCaps/>
          <w:color w:val="auto"/>
          <w:kern w:val="0"/>
          <w:sz w:val="32"/>
          <w:szCs w:val="32"/>
          <w:lang w:val="en-US" w:eastAsia="zh-CN"/>
        </w:rPr>
        <w:t>全社会的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税法遵从度和满意度，降低征纳成本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，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营造</w:t>
      </w:r>
      <w:r>
        <w:rPr>
          <w:rFonts w:hint="eastAsia" w:hAnsi="ˎ̥" w:cs="宋体"/>
          <w:smallCaps/>
          <w:color w:val="auto"/>
          <w:kern w:val="0"/>
          <w:sz w:val="32"/>
          <w:szCs w:val="32"/>
          <w:lang w:val="en-US" w:eastAsia="zh-CN"/>
        </w:rPr>
        <w:t>更加规范、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稳定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、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公平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、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透明</w:t>
      </w:r>
      <w:r>
        <w:rPr>
          <w:rFonts w:hint="eastAsia" w:hAnsi="ˎ̥" w:cs="宋体"/>
          <w:smallCaps/>
          <w:color w:val="auto"/>
          <w:kern w:val="0"/>
          <w:sz w:val="32"/>
          <w:szCs w:val="32"/>
          <w:lang w:val="en-US" w:eastAsia="zh-CN"/>
        </w:rPr>
        <w:t>的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税收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营商环境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</w:pPr>
      <w:r>
        <w:rPr>
          <w:rFonts w:hint="eastAsia" w:ascii="楷体_GB2312" w:hAnsi="仿宋_GB2312" w:eastAsia="楷体_GB2312" w:cs="楷体_GB2312"/>
          <w:b w:val="0"/>
          <w:bCs w:val="0"/>
          <w:sz w:val="32"/>
          <w:szCs w:val="32"/>
          <w:lang w:val="en-US" w:eastAsia="zh-CN"/>
        </w:rPr>
        <w:t>三是推进政府治理体系和治理能力现代化的现实需求。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党的二十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届三中全会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提出，要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健全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社会治理体系，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完善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共建共治共享的社会治理制度，提升社会治理效能。税收在国家治理体系中具有基础性、支柱性和保障性作用，税费治理能力是国家治理能力的重要构成要素。因此，通过制定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《办法》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明确并规范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各方协作事项和信息共享责任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，保障税务机关及有关部门、单位依法依规开展涉税费信息共享、支持协助等活动，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进一步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/>
        </w:rPr>
        <w:t>提升税收治理能力，是推进政府治理体系和治理能力现代化的现实需求。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420" w:leftChars="200" w:right="0" w:rightChars="0" w:firstLine="320" w:firstLineChars="100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i w:val="0"/>
          <w:caps w:val="0"/>
          <w:color w:val="333333"/>
          <w:spacing w:val="0"/>
          <w:kern w:val="0"/>
          <w:sz w:val="32"/>
          <w:szCs w:val="32"/>
          <w:lang w:val="en-US" w:eastAsia="zh-CN" w:bidi="ar-SA"/>
        </w:rPr>
        <w:t>二、主要内容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afterAutospacing="0" w:line="560" w:lineRule="exact"/>
        <w:ind w:left="0" w:right="0"/>
        <w:textAlignment w:val="auto"/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default" w:ascii="仿宋_GB2312" w:hAnsi="宋体" w:eastAsia="仿宋_GB2312" w:cs="Times New Roman"/>
          <w:color w:val="000000"/>
          <w:kern w:val="2"/>
          <w:sz w:val="32"/>
          <w:szCs w:val="32"/>
          <w:lang w:val="en-US" w:eastAsia="zh-CN" w:bidi="ar-SA"/>
        </w:rPr>
        <w:t>《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 w:bidi="ar-SA"/>
        </w:rPr>
        <w:t>办法》共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 w:bidi="ar-SA"/>
        </w:rPr>
        <w:t>六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 w:bidi="ar-SA"/>
        </w:rPr>
        <w:t>章、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 w:bidi="ar-SA"/>
        </w:rPr>
        <w:t>四十三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 w:bidi="ar-SA"/>
        </w:rPr>
        <w:t>条，包括总则、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 w:bidi="ar-SA"/>
        </w:rPr>
        <w:t>税务机关职责、支持配合协作、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 w:bidi="ar-SA"/>
        </w:rPr>
        <w:t>信息共享、责任追究、附则</w:t>
      </w:r>
      <w:r>
        <w:rPr>
          <w:rFonts w:hint="eastAsia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 w:bidi="ar-SA"/>
        </w:rPr>
        <w:t>。</w:t>
      </w:r>
      <w:r>
        <w:rPr>
          <w:rFonts w:hint="default" w:ascii="仿宋_GB2312" w:hAnsi="ˎ̥" w:eastAsia="仿宋_GB2312" w:cs="宋体"/>
          <w:smallCaps/>
          <w:color w:val="auto"/>
          <w:kern w:val="0"/>
          <w:sz w:val="32"/>
          <w:szCs w:val="32"/>
          <w:lang w:val="en-US" w:eastAsia="zh-CN" w:bidi="ar-SA"/>
        </w:rPr>
        <w:t>主要内容说明如下：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（一）第一章“总则”，共3条，明确制定目的、制定依据、适用范围、定义解释、工作原则等总体规定。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（二）第二章“税务机关职责”，共10条，明确税务机关在税费征收管理和服务等方面的职责。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三）第三章“有关部门、社会组织、个人支持配合协作”，分4节，共20条，明确各级人民政府、各职能部门、社会团体在税费征管、税费服务、监管协作、推进发票电子化、涉税专业服务管理、税费宣传等方面的职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（四）第四章“信息共享”，共6条，明确地方人民政府应当建立健全涉税费信息共享交换和协调机制，明确信息共享的内容、渠道和更新、维护、保密等职责。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五）第五章“责任追究”，共2条，明确在组织税费收入、依法征税的相关要求，明确责任主体和惩戒措施。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（六）第六章“附则”，共2条，明确征管协作协议事项和本办法实施时间。</w:t>
      </w:r>
    </w:p>
    <w:sectPr>
      <w:footerReference r:id="rId3" w:type="default"/>
      <w:pgSz w:w="11906" w:h="16838"/>
      <w:pgMar w:top="1440" w:right="1803" w:bottom="1440" w:left="1803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ˎ̥">
    <w:altName w:val="Arial Unicode MS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1947CF"/>
    <w:rsid w:val="0EF7D1BF"/>
    <w:rsid w:val="105F758C"/>
    <w:rsid w:val="17612F44"/>
    <w:rsid w:val="1F342FEB"/>
    <w:rsid w:val="35CB6EAE"/>
    <w:rsid w:val="35D665CB"/>
    <w:rsid w:val="3AC235D5"/>
    <w:rsid w:val="3BFC1553"/>
    <w:rsid w:val="3DBD22D2"/>
    <w:rsid w:val="44E2461E"/>
    <w:rsid w:val="4A1947CF"/>
    <w:rsid w:val="4EBB7C98"/>
    <w:rsid w:val="4FFCFA00"/>
    <w:rsid w:val="5B82642E"/>
    <w:rsid w:val="5E9F2C28"/>
    <w:rsid w:val="69B6766C"/>
    <w:rsid w:val="6B7F1BF1"/>
    <w:rsid w:val="6F004CFB"/>
    <w:rsid w:val="6F4C2562"/>
    <w:rsid w:val="77FD2352"/>
    <w:rsid w:val="79F88830"/>
    <w:rsid w:val="7AFB01D7"/>
    <w:rsid w:val="7AFF58CC"/>
    <w:rsid w:val="7C7C6C9E"/>
    <w:rsid w:val="7CBF4598"/>
    <w:rsid w:val="7DF56761"/>
    <w:rsid w:val="7DF70110"/>
    <w:rsid w:val="7F774A50"/>
    <w:rsid w:val="7FA1FAF0"/>
    <w:rsid w:val="B7D7E879"/>
    <w:rsid w:val="BD531BD1"/>
    <w:rsid w:val="D9F3AE2D"/>
    <w:rsid w:val="DCEFADB3"/>
    <w:rsid w:val="EA9FBBCF"/>
    <w:rsid w:val="EBDFA020"/>
    <w:rsid w:val="EF1F04EA"/>
    <w:rsid w:val="F7F661D4"/>
    <w:rsid w:val="F7FB6937"/>
    <w:rsid w:val="FB4BDE59"/>
    <w:rsid w:val="FEE3C305"/>
    <w:rsid w:val="FFF31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line="590" w:lineRule="exact"/>
      <w:jc w:val="center"/>
      <w:outlineLvl w:val="0"/>
    </w:pPr>
    <w:rPr>
      <w:rFonts w:ascii="Times New Roman" w:hAnsi="Times New Roman" w:eastAsia="方正小标宋简体"/>
      <w:kern w:val="44"/>
      <w:sz w:val="44"/>
      <w:szCs w:val="32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line="560" w:lineRule="exact"/>
    </w:pPr>
    <w:rPr>
      <w:rFonts w:ascii="仿宋_GB2312" w:hAnsi="仿宋_GB2312" w:eastAsia="仿宋_GB2312" w:cs="Times New Roman"/>
      <w:sz w:val="32"/>
      <w:szCs w:val="24"/>
    </w:rPr>
  </w:style>
  <w:style w:type="paragraph" w:styleId="4">
    <w:name w:val="Plain Text"/>
    <w:basedOn w:val="1"/>
    <w:qFormat/>
    <w:uiPriority w:val="0"/>
    <w:rPr>
      <w:rFonts w:ascii="宋体" w:hAnsi="Courier New" w:eastAsia="宋体" w:cs="Courier New"/>
      <w:szCs w:val="21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unhideWhenUsed/>
    <w:qFormat/>
    <w:uiPriority w:val="99"/>
    <w:pPr>
      <w:widowControl/>
      <w:spacing w:line="360" w:lineRule="exact"/>
      <w:ind w:firstLine="200" w:firstLineChars="200"/>
      <w:jc w:val="left"/>
    </w:pPr>
    <w:rPr>
      <w:rFonts w:ascii="宋体" w:hAnsi="宋体" w:cs="宋体"/>
      <w:color w:val="000000"/>
      <w:kern w:val="0"/>
      <w:sz w:val="24"/>
      <w:szCs w:val="21"/>
    </w:rPr>
  </w:style>
  <w:style w:type="paragraph" w:customStyle="1" w:styleId="10">
    <w:name w:val="正文 New New New New New New New New New New New New New New New"/>
    <w:qFormat/>
    <w:uiPriority w:val="0"/>
    <w:pPr>
      <w:widowControl w:val="0"/>
      <w:spacing w:line="360" w:lineRule="exact"/>
      <w:ind w:firstLine="200" w:firstLineChars="20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1">
    <w:name w:val="Normal Indent1"/>
    <w:basedOn w:val="1"/>
    <w:qFormat/>
    <w:uiPriority w:val="0"/>
    <w:pPr>
      <w:spacing w:line="360" w:lineRule="auto"/>
      <w:ind w:firstLine="720" w:firstLineChars="200"/>
    </w:pPr>
    <w:rPr>
      <w:rFonts w:ascii="等线" w:hAnsi="等线" w:eastAsia="仿宋" w:cs="Times New Roman"/>
      <w:kern w:val="2"/>
      <w:sz w:val="28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53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2018-07-15T23:11:00Z</dcterms:created>
  <dc:creator>d</dc:creator>
  <cp:lastModifiedBy>苏娜</cp:lastModifiedBy>
  <cp:lastPrinted>2025-03-21T07:49:15Z</cp:lastPrinted>
  <dcterms:modified xsi:type="dcterms:W3CDTF">2025-03-21T07:58:28Z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