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076E8">
      <w:pPr>
        <w:keepNext w:val="0"/>
        <w:keepLines w:val="0"/>
        <w:widowControl/>
        <w:suppressLineNumbers w:val="0"/>
        <w:jc w:val="center"/>
        <w:rPr>
          <w:rFonts w:hint="eastAsia" w:ascii="黑体" w:hAnsi="黑体" w:eastAsia="黑体" w:cs="黑体"/>
          <w:b/>
          <w:i w:val="0"/>
          <w:caps w:val="0"/>
          <w:color w:val="auto"/>
          <w:spacing w:val="0"/>
          <w:kern w:val="0"/>
          <w:sz w:val="32"/>
          <w:szCs w:val="32"/>
          <w:shd w:val="clear" w:fill="FFFFFF"/>
          <w:lang w:val="en-US" w:eastAsia="zh-CN" w:bidi="ar"/>
        </w:rPr>
      </w:pPr>
      <w:bookmarkStart w:id="0" w:name="_GoBack"/>
      <w:r>
        <w:rPr>
          <w:rFonts w:hint="eastAsia" w:ascii="sans-serif" w:hAnsi="sans-serif" w:eastAsia="sans-serif" w:cs="sans-serif"/>
          <w:b/>
          <w:i w:val="0"/>
          <w:caps w:val="0"/>
          <w:color w:val="auto"/>
          <w:spacing w:val="0"/>
          <w:kern w:val="0"/>
          <w:sz w:val="32"/>
          <w:szCs w:val="32"/>
          <w:shd w:val="clear" w:fill="FFFFFF"/>
          <w:lang w:val="en-US" w:eastAsia="zh-CN" w:bidi="ar"/>
        </w:rPr>
        <w:t>广州税务2026年服务器采购项目采购需求</w:t>
      </w:r>
    </w:p>
    <w:p w14:paraId="384B50A9">
      <w:pPr>
        <w:keepNext w:val="0"/>
        <w:keepLines w:val="0"/>
        <w:widowControl/>
        <w:suppressLineNumbers w:val="0"/>
        <w:jc w:val="center"/>
        <w:rPr>
          <w:rFonts w:hint="eastAsia" w:ascii="sans-serif" w:hAnsi="sans-serif" w:eastAsia="sans-serif" w:cs="sans-serif"/>
          <w:b w:val="0"/>
          <w:bCs/>
          <w:i w:val="0"/>
          <w:caps w:val="0"/>
          <w:color w:val="auto"/>
          <w:spacing w:val="0"/>
          <w:kern w:val="0"/>
          <w:sz w:val="24"/>
          <w:szCs w:val="24"/>
          <w:shd w:val="clear" w:fill="FFFFFF"/>
          <w:lang w:val="en-US" w:eastAsia="zh-CN" w:bidi="ar"/>
        </w:rPr>
      </w:pPr>
    </w:p>
    <w:p w14:paraId="5B7C7FB9">
      <w:pPr>
        <w:keepNext w:val="0"/>
        <w:keepLines w:val="0"/>
        <w:widowControl/>
        <w:suppressLineNumbers w:val="0"/>
        <w:jc w:val="left"/>
        <w:rPr>
          <w:rFonts w:hint="eastAsia" w:ascii="sans-serif" w:hAnsi="sans-serif" w:eastAsia="sans-serif" w:cs="sans-serif"/>
          <w:b/>
          <w:i w:val="0"/>
          <w:caps w:val="0"/>
          <w:color w:val="auto"/>
          <w:spacing w:val="0"/>
          <w:kern w:val="0"/>
          <w:sz w:val="24"/>
          <w:szCs w:val="24"/>
          <w:shd w:val="clear" w:fill="FFFFFF"/>
          <w:lang w:val="en-US" w:eastAsia="zh-CN" w:bidi="ar"/>
        </w:rPr>
      </w:pPr>
    </w:p>
    <w:p w14:paraId="33F99057">
      <w:pPr>
        <w:keepNext w:val="0"/>
        <w:keepLines w:val="0"/>
        <w:widowControl/>
        <w:suppressLineNumbers w:val="0"/>
        <w:jc w:val="left"/>
        <w:rPr>
          <w:rFonts w:hint="eastAsia" w:ascii="sans-serif" w:hAnsi="sans-serif" w:eastAsia="sans-serif" w:cs="sans-serif"/>
          <w:b/>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1项目概述</w:t>
      </w:r>
    </w:p>
    <w:p w14:paraId="71BEF606">
      <w:pPr>
        <w:keepNext w:val="0"/>
        <w:keepLines w:val="0"/>
        <w:widowControl/>
        <w:suppressLineNumbers w:val="0"/>
        <w:jc w:val="left"/>
        <w:rPr>
          <w:rFonts w:hint="eastAsia" w:ascii="sans-serif" w:hAnsi="sans-serif" w:eastAsia="sans-serif" w:cs="sans-serif"/>
          <w:b/>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1.1项目背景</w:t>
      </w:r>
    </w:p>
    <w:p w14:paraId="612ED85C">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1.1.1项目目的、意义及背景</w:t>
      </w:r>
    </w:p>
    <w:p w14:paraId="207B0333">
      <w:pPr>
        <w:keepNext w:val="0"/>
        <w:keepLines w:val="0"/>
        <w:widowControl/>
        <w:suppressLineNumbers w:val="0"/>
        <w:ind w:firstLine="480" w:firstLineChars="200"/>
        <w:jc w:val="left"/>
        <w:rPr>
          <w:rFonts w:hint="eastAsia" w:ascii="sans-serif" w:hAnsi="sans-serif" w:eastAsia="sans-serif" w:cs="sans-serif"/>
          <w:b w:val="0"/>
          <w:bCs/>
          <w:i w:val="0"/>
          <w:caps w:val="0"/>
          <w:color w:val="auto"/>
          <w:spacing w:val="0"/>
          <w:kern w:val="0"/>
          <w:sz w:val="24"/>
          <w:szCs w:val="24"/>
          <w:shd w:val="clear" w:fill="FFFFFF"/>
          <w:lang w:val="en-US" w:eastAsia="zh-CN" w:bidi="ar"/>
        </w:rPr>
      </w:pPr>
      <w:r>
        <w:rPr>
          <w:rFonts w:hint="eastAsia" w:ascii="sans-serif" w:hAnsi="sans-serif" w:eastAsia="sans-serif" w:cs="sans-serif"/>
          <w:b w:val="0"/>
          <w:bCs/>
          <w:i w:val="0"/>
          <w:caps w:val="0"/>
          <w:color w:val="auto"/>
          <w:spacing w:val="0"/>
          <w:kern w:val="0"/>
          <w:sz w:val="24"/>
          <w:szCs w:val="24"/>
          <w:shd w:val="clear" w:fill="FFFFFF"/>
          <w:lang w:val="en-US" w:eastAsia="zh-CN" w:bidi="ar"/>
        </w:rPr>
        <w:t>为支撑税费征管业务的信息化需求，国家税务总局广州市税务局计划采购12台服务器，保障信息化基础资源充足。</w:t>
      </w:r>
    </w:p>
    <w:p w14:paraId="5F8928D0">
      <w:pPr>
        <w:keepNext w:val="0"/>
        <w:keepLines w:val="0"/>
        <w:widowControl/>
        <w:suppressLineNumbers w:val="0"/>
        <w:jc w:val="left"/>
        <w:rPr>
          <w:rFonts w:hint="eastAsia" w:ascii="sans-serif" w:hAnsi="sans-serif" w:eastAsia="sans-serif" w:cs="sans-serif"/>
          <w:b/>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1.2项目内容</w:t>
      </w:r>
    </w:p>
    <w:p w14:paraId="5B54AA52">
      <w:pPr>
        <w:keepNext w:val="0"/>
        <w:keepLines w:val="0"/>
        <w:widowControl/>
        <w:suppressLineNumbers w:val="0"/>
        <w:jc w:val="left"/>
        <w:rPr>
          <w:rFonts w:hint="eastAsia" w:ascii="sans-serif" w:hAnsi="sans-serif" w:eastAsia="sans-serif" w:cs="sans-serif"/>
          <w:b/>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1.2.1项目建设思路</w:t>
      </w:r>
    </w:p>
    <w:p w14:paraId="4F0C2DEA">
      <w:pPr>
        <w:keepNext w:val="0"/>
        <w:keepLines w:val="0"/>
        <w:widowControl/>
        <w:suppressLineNumbers w:val="0"/>
        <w:jc w:val="left"/>
        <w:rPr>
          <w:rFonts w:hint="eastAsia"/>
          <w:color w:val="auto"/>
          <w:lang w:val="en-US" w:eastAsia="zh-CN"/>
        </w:rPr>
      </w:pPr>
      <w:r>
        <w:rPr>
          <w:rFonts w:hint="eastAsia"/>
          <w:color w:val="auto"/>
          <w:lang w:val="en-US" w:eastAsia="zh-CN"/>
        </w:rPr>
        <w:t>采购C86国产服务器对老旧非国产服务器进行替换</w:t>
      </w:r>
    </w:p>
    <w:p w14:paraId="382C49A1">
      <w:pPr>
        <w:keepNext w:val="0"/>
        <w:keepLines w:val="0"/>
        <w:widowControl/>
        <w:suppressLineNumbers w:val="0"/>
        <w:jc w:val="left"/>
        <w:rPr>
          <w:rFonts w:hint="eastAsia" w:ascii="sans-serif" w:hAnsi="sans-serif" w:eastAsia="sans-serif" w:cs="sans-serif"/>
          <w:b/>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1.2.2采购内容</w:t>
      </w:r>
    </w:p>
    <w:p w14:paraId="65590298">
      <w:pPr>
        <w:keepNext w:val="0"/>
        <w:keepLines w:val="0"/>
        <w:widowControl/>
        <w:suppressLineNumbers w:val="0"/>
        <w:jc w:val="left"/>
        <w:rPr>
          <w:rFonts w:hint="default"/>
          <w:color w:val="auto"/>
          <w:lang w:val="en-US" w:eastAsia="zh-CN"/>
        </w:rPr>
      </w:pPr>
      <w:r>
        <w:rPr>
          <w:rFonts w:hint="eastAsia"/>
          <w:color w:val="auto"/>
          <w:lang w:val="en-US" w:eastAsia="zh-CN"/>
        </w:rPr>
        <w:t>12台国产服务器。预算270万，报价最高限价216万。</w:t>
      </w:r>
    </w:p>
    <w:p w14:paraId="4D8196C3">
      <w:pPr>
        <w:keepNext w:val="0"/>
        <w:keepLines w:val="0"/>
        <w:widowControl/>
        <w:suppressLineNumbers w:val="0"/>
        <w:jc w:val="left"/>
        <w:rPr>
          <w:rFonts w:hint="eastAsia" w:ascii="sans-serif" w:hAnsi="sans-serif" w:eastAsia="sans-serif" w:cs="sans-serif"/>
          <w:b/>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1.2.3项目实施要求</w:t>
      </w:r>
    </w:p>
    <w:p w14:paraId="11D05836">
      <w:pPr>
        <w:keepNext w:val="0"/>
        <w:keepLines w:val="0"/>
        <w:widowControl/>
        <w:suppressLineNumbers w:val="0"/>
        <w:jc w:val="left"/>
        <w:rPr>
          <w:rFonts w:hint="eastAsia" w:ascii="sans-serif" w:hAnsi="sans-serif" w:eastAsia="sans-serif" w:cs="sans-serif"/>
          <w:b/>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1.2.3.1实施范围要求</w:t>
      </w:r>
    </w:p>
    <w:p w14:paraId="0332CB12">
      <w:pPr>
        <w:keepNext w:val="0"/>
        <w:keepLines w:val="0"/>
        <w:widowControl/>
        <w:suppressLineNumbers w:val="0"/>
        <w:jc w:val="left"/>
        <w:rPr>
          <w:rFonts w:hint="eastAsia"/>
          <w:color w:val="auto"/>
          <w:lang w:val="en-US" w:eastAsia="zh-CN"/>
        </w:rPr>
      </w:pPr>
      <w:r>
        <w:rPr>
          <w:rFonts w:hint="eastAsia"/>
          <w:color w:val="auto"/>
          <w:lang w:val="en-US" w:eastAsia="zh-CN"/>
        </w:rPr>
        <w:t>国家税务总局广州市税务局</w:t>
      </w:r>
    </w:p>
    <w:p w14:paraId="3DA3A689">
      <w:pPr>
        <w:keepNext w:val="0"/>
        <w:keepLines w:val="0"/>
        <w:widowControl/>
        <w:suppressLineNumbers w:val="0"/>
        <w:jc w:val="left"/>
        <w:rPr>
          <w:rFonts w:hint="default" w:ascii="sans-serif" w:hAnsi="sans-serif" w:eastAsia="sans-serif" w:cs="sans-serif"/>
          <w:b/>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1.2.3.2实施时间要求</w:t>
      </w:r>
    </w:p>
    <w:p w14:paraId="619D4ABC">
      <w:pPr>
        <w:keepNext w:val="0"/>
        <w:keepLines w:val="0"/>
        <w:widowControl/>
        <w:suppressLineNumbers w:val="0"/>
        <w:jc w:val="left"/>
        <w:rPr>
          <w:rFonts w:hint="eastAsia"/>
          <w:color w:val="auto"/>
          <w:lang w:val="en-US" w:eastAsia="zh-CN"/>
        </w:rPr>
      </w:pPr>
      <w:r>
        <w:rPr>
          <w:rFonts w:hint="eastAsia"/>
          <w:color w:val="auto"/>
          <w:lang w:val="en-US" w:eastAsia="zh-CN"/>
        </w:rPr>
        <w:t>合同签订后10个工作日内</w:t>
      </w:r>
    </w:p>
    <w:p w14:paraId="2821C4CA">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1.2.3.3 实施地点要求</w:t>
      </w:r>
    </w:p>
    <w:p w14:paraId="78C935E3">
      <w:pPr>
        <w:keepNext w:val="0"/>
        <w:keepLines w:val="0"/>
        <w:widowControl/>
        <w:suppressLineNumbers w:val="0"/>
        <w:jc w:val="left"/>
        <w:rPr>
          <w:rFonts w:hint="eastAsia"/>
          <w:color w:val="auto"/>
          <w:lang w:val="en-US" w:eastAsia="zh-CN"/>
        </w:rPr>
      </w:pPr>
      <w:r>
        <w:rPr>
          <w:rFonts w:hint="eastAsia"/>
          <w:color w:val="auto"/>
          <w:lang w:val="en-US" w:eastAsia="zh-CN"/>
        </w:rPr>
        <w:t>国家税务总局广州市税务局</w:t>
      </w:r>
    </w:p>
    <w:p w14:paraId="613E729C">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1.3 其他要求</w:t>
      </w:r>
    </w:p>
    <w:p w14:paraId="5FF57DC4">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1.3.1 采购标的需执行的相关标准规范</w:t>
      </w:r>
    </w:p>
    <w:p w14:paraId="05F0C8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firstLine="420" w:firstLineChars="200"/>
        <w:jc w:val="left"/>
        <w:rPr>
          <w:rFonts w:hint="eastAsia"/>
          <w:color w:val="auto"/>
          <w:lang w:val="en-US" w:eastAsia="zh-CN"/>
        </w:rPr>
      </w:pPr>
      <w:r>
        <w:rPr>
          <w:rFonts w:hint="eastAsia"/>
          <w:color w:val="auto"/>
          <w:lang w:val="en-US" w:eastAsia="zh-CN"/>
        </w:rPr>
        <w:t>凡涉及《中华人民共和国实施强制性产品认证的产品目录》的产品，具体为：服务器。上述产品投标（响应）时须提供CCC认证证书复印件（如实施自我声明程序的，则提供自我声明相关材料（提供在http://cx.cnca.cn/查询的产品的证书编号及查询结果截图）。</w:t>
      </w:r>
    </w:p>
    <w:p w14:paraId="66CB7F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firstLine="420" w:firstLineChars="200"/>
        <w:jc w:val="left"/>
        <w:rPr>
          <w:rFonts w:hint="eastAsia"/>
          <w:color w:val="auto"/>
          <w:lang w:val="en-US" w:eastAsia="zh-CN"/>
        </w:rPr>
      </w:pPr>
      <w:r>
        <w:rPr>
          <w:rFonts w:hint="eastAsia"/>
          <w:color w:val="auto"/>
          <w:lang w:val="en-US" w:eastAsia="zh-CN"/>
        </w:rPr>
        <w:t xml:space="preserve">本项目中如涉及商品包装和快递包装的，其包装需求标准应不低于《关于印发&lt;商品包装政府采购需求标准（试行）&gt;、&lt;快递包装政府采购需求标准（试行）&gt;的通知》（财办库〔2020〕123 号）规定的包装要求，如有其他包装需求，详见采购文件技术部分相关章节。 </w:t>
      </w:r>
    </w:p>
    <w:p w14:paraId="4B79E0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firstLine="420" w:firstLineChars="200"/>
        <w:jc w:val="left"/>
        <w:rPr>
          <w:rFonts w:hint="eastAsia"/>
          <w:color w:val="auto"/>
          <w:lang w:val="en-US" w:eastAsia="zh-CN"/>
        </w:rPr>
      </w:pPr>
      <w:r>
        <w:rPr>
          <w:rFonts w:hint="eastAsia"/>
          <w:color w:val="auto"/>
          <w:lang w:val="en-US" w:eastAsia="zh-CN"/>
        </w:rPr>
        <w:t>本项目采购的产品如列入国家互联网信息办公室会同工业和信息化部、公安部、国家认证认可监督管理委员会颁布的《网络关键设备和网络安全专用产品目录》，验收时须出具以下任一材料：①有效期内的公安部监制的《计算机信息系统安全专用产品销售许可证》；②提供在“网络关键设备和网络安全专用产品安全认证和安全检测结果检索（https://www.cac.gov.cn/wa/netWorkCriticalEquipment.htm）”的截图。</w:t>
      </w:r>
    </w:p>
    <w:p w14:paraId="6DAC7C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firstLine="420" w:firstLineChars="200"/>
        <w:jc w:val="left"/>
        <w:rPr>
          <w:rFonts w:hint="eastAsia"/>
          <w:color w:val="auto"/>
          <w:lang w:val="en-US" w:eastAsia="zh-CN"/>
        </w:rPr>
      </w:pPr>
      <w:r>
        <w:rPr>
          <w:rFonts w:hint="eastAsia"/>
          <w:color w:val="auto"/>
          <w:lang w:val="en-US" w:eastAsia="zh-CN"/>
        </w:rPr>
        <w:t>本项目中如涉及电信设备进网许可证、无线电发射设备核准证等市场准入类资质的，应严格执行国家相关法律法规的要求。</w:t>
      </w:r>
    </w:p>
    <w:p w14:paraId="7786DA8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firstLine="420" w:firstLineChars="200"/>
        <w:jc w:val="left"/>
        <w:rPr>
          <w:rFonts w:hint="eastAsia"/>
          <w:color w:val="auto"/>
          <w:lang w:val="en-US" w:eastAsia="zh-CN"/>
        </w:rPr>
      </w:pPr>
      <w:r>
        <w:rPr>
          <w:rFonts w:hint="eastAsia" w:asciiTheme="minorHAnsi" w:hAnsiTheme="minorHAnsi" w:eastAsiaTheme="minorEastAsia" w:cstheme="minorBidi"/>
          <w:color w:val="auto"/>
          <w:kern w:val="2"/>
          <w:sz w:val="21"/>
          <w:szCs w:val="24"/>
          <w:lang w:val="en-US" w:eastAsia="zh-CN" w:bidi="ar-SA"/>
        </w:rPr>
        <w:t>如本项目涉及到《中华人民共和国实行能源效率标识的产品目录（2026 年版）》内产品的，须严格执行《国家发展改革委 市场监管总局关于印发〈中华人民共和国实行能源效</w:t>
      </w:r>
      <w:r>
        <w:rPr>
          <w:rFonts w:hint="eastAsia"/>
          <w:color w:val="auto"/>
          <w:lang w:val="en-US" w:eastAsia="zh-CN"/>
        </w:rPr>
        <w:t>率标识的产品目录（2026 年版）〉及相关实施规则的通知》（发改环资规〔2026〕550 号）规定。（投标（响应）时提供承诺）。</w:t>
      </w:r>
    </w:p>
    <w:p w14:paraId="6502A2A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firstLine="420" w:firstLineChars="200"/>
        <w:jc w:val="left"/>
        <w:rPr>
          <w:rFonts w:hint="eastAsia"/>
          <w:color w:val="auto"/>
          <w:lang w:val="en-US" w:eastAsia="zh-CN"/>
        </w:rPr>
      </w:pPr>
      <w:r>
        <w:rPr>
          <w:rFonts w:hint="eastAsia"/>
          <w:color w:val="auto"/>
          <w:lang w:val="en-US" w:eastAsia="zh-CN"/>
        </w:rPr>
        <w:t>本项目（包组）严禁采购《关于在政府采购活动中对有关美国企业采取相关措施的通知》（财库〔2026〕10 号）通知附件所列 46 家美国企业（不包括在华美资企业）生产的产品。供应商须提供加盖公章的书面承诺函，承诺所投全部产品、后期扩容配套设备（如有）、运维替换备件（如有）均不包含上述受限产品。</w:t>
      </w:r>
    </w:p>
    <w:p w14:paraId="7C7F733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ascii="sans-serif" w:hAnsi="sans-serif" w:eastAsia="sans-serif" w:cs="sans-serif"/>
          <w:b/>
          <w:i w:val="0"/>
          <w:caps w:val="0"/>
          <w:color w:val="auto"/>
          <w:spacing w:val="0"/>
          <w:sz w:val="24"/>
          <w:szCs w:val="24"/>
        </w:rPr>
      </w:pPr>
      <w:r>
        <w:rPr>
          <w:rFonts w:hint="default" w:ascii="sans-serif" w:hAnsi="sans-serif" w:eastAsia="sans-serif" w:cs="sans-serif"/>
          <w:b/>
          <w:i w:val="0"/>
          <w:caps w:val="0"/>
          <w:color w:val="auto"/>
          <w:spacing w:val="0"/>
          <w:kern w:val="0"/>
          <w:sz w:val="24"/>
          <w:szCs w:val="24"/>
          <w:shd w:val="clear" w:fill="FFFFFF"/>
          <w:lang w:val="en-US" w:eastAsia="zh-CN" w:bidi="ar"/>
        </w:rPr>
        <w:t>2 投标/响应要求</w:t>
      </w:r>
    </w:p>
    <w:p w14:paraId="52AE602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hint="default" w:ascii="sans-serif" w:hAnsi="sans-serif" w:eastAsia="sans-serif" w:cs="sans-serif"/>
          <w:b/>
          <w:i w:val="0"/>
          <w:caps w:val="0"/>
          <w:color w:val="auto"/>
          <w:spacing w:val="0"/>
          <w:sz w:val="24"/>
          <w:szCs w:val="24"/>
        </w:rPr>
      </w:pPr>
      <w:r>
        <w:rPr>
          <w:rFonts w:hint="default" w:ascii="sans-serif" w:hAnsi="sans-serif" w:eastAsia="sans-serif" w:cs="sans-serif"/>
          <w:b/>
          <w:i w:val="0"/>
          <w:caps w:val="0"/>
          <w:color w:val="auto"/>
          <w:spacing w:val="0"/>
          <w:kern w:val="0"/>
          <w:sz w:val="24"/>
          <w:szCs w:val="24"/>
          <w:shd w:val="clear" w:fill="FFFFFF"/>
          <w:lang w:val="en-US" w:eastAsia="zh-CN" w:bidi="ar"/>
        </w:rPr>
        <w:t>2.1 对供应商的要求</w:t>
      </w:r>
    </w:p>
    <w:p w14:paraId="4609266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hint="default" w:ascii="sans-serif" w:hAnsi="sans-serif" w:eastAsia="sans-serif" w:cs="sans-serif"/>
          <w:b/>
          <w:i w:val="0"/>
          <w:caps w:val="0"/>
          <w:color w:val="auto"/>
          <w:spacing w:val="0"/>
          <w:sz w:val="24"/>
          <w:szCs w:val="24"/>
        </w:rPr>
      </w:pPr>
      <w:r>
        <w:rPr>
          <w:rFonts w:hint="default" w:ascii="sans-serif" w:hAnsi="sans-serif" w:eastAsia="sans-serif" w:cs="sans-serif"/>
          <w:b/>
          <w:i w:val="0"/>
          <w:caps w:val="0"/>
          <w:color w:val="auto"/>
          <w:spacing w:val="0"/>
          <w:kern w:val="0"/>
          <w:sz w:val="24"/>
          <w:szCs w:val="24"/>
          <w:shd w:val="clear" w:fill="FFFFFF"/>
          <w:lang w:val="en-US" w:eastAsia="zh-CN" w:bidi="ar"/>
        </w:rPr>
        <w:t>2.1.1 必备资质</w:t>
      </w:r>
    </w:p>
    <w:p w14:paraId="19CD9E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hint="default" w:ascii="sans-serif" w:hAnsi="sans-serif" w:eastAsia="sans-serif" w:cs="sans-serif"/>
          <w:b/>
          <w:i w:val="0"/>
          <w:caps w:val="0"/>
          <w:color w:val="auto"/>
          <w:spacing w:val="0"/>
          <w:sz w:val="24"/>
          <w:szCs w:val="24"/>
        </w:rPr>
      </w:pPr>
      <w:r>
        <w:rPr>
          <w:rFonts w:hint="default" w:ascii="sans-serif" w:hAnsi="sans-serif" w:eastAsia="sans-serif" w:cs="sans-serif"/>
          <w:b/>
          <w:i w:val="0"/>
          <w:caps w:val="0"/>
          <w:color w:val="auto"/>
          <w:spacing w:val="0"/>
          <w:kern w:val="0"/>
          <w:sz w:val="24"/>
          <w:szCs w:val="24"/>
          <w:shd w:val="clear" w:fill="FFFFFF"/>
          <w:lang w:val="en-US" w:eastAsia="zh-CN" w:bidi="ar"/>
        </w:rPr>
        <w:t>2.1.1.1 投标人应遵守有关国家法律、法规和条例,具备《中华人民共和国政府采购法》第二十二条的规定和本文件中规定的条件。</w:t>
      </w:r>
    </w:p>
    <w:p w14:paraId="3DAC70BD">
      <w:pPr>
        <w:keepNext w:val="0"/>
        <w:keepLines w:val="0"/>
        <w:widowControl/>
        <w:suppressLineNumbers w:val="0"/>
        <w:jc w:val="left"/>
        <w:rPr>
          <w:rFonts w:hint="default" w:ascii="sans-serif" w:hAnsi="sans-serif" w:eastAsia="sans-serif" w:cs="sans-serif"/>
          <w:b/>
          <w:i w:val="0"/>
          <w:caps w:val="0"/>
          <w:color w:val="auto"/>
          <w:spacing w:val="0"/>
          <w:kern w:val="0"/>
          <w:sz w:val="24"/>
          <w:szCs w:val="24"/>
          <w:shd w:val="clear" w:fill="FFFFFF"/>
          <w:lang w:val="en-US" w:eastAsia="zh-CN" w:bidi="ar"/>
        </w:rPr>
      </w:pPr>
      <w:r>
        <w:rPr>
          <w:rFonts w:hint="default" w:ascii="sans-serif" w:hAnsi="sans-serif" w:eastAsia="sans-serif" w:cs="sans-serif"/>
          <w:b/>
          <w:i w:val="0"/>
          <w:caps w:val="0"/>
          <w:color w:val="auto"/>
          <w:spacing w:val="0"/>
          <w:kern w:val="0"/>
          <w:sz w:val="24"/>
          <w:szCs w:val="24"/>
          <w:shd w:val="clear" w:fill="FFFFFF"/>
          <w:lang w:val="en-US" w:eastAsia="zh-CN" w:bidi="ar"/>
        </w:rPr>
        <w:t>2.1.1.2 本项目的特定资格要求</w:t>
      </w:r>
      <w:r>
        <w:rPr>
          <w:rFonts w:hint="eastAsia" w:ascii="sans-serif" w:hAnsi="sans-serif" w:eastAsia="sans-serif" w:cs="sans-serif"/>
          <w:b/>
          <w:i w:val="0"/>
          <w:caps w:val="0"/>
          <w:color w:val="auto"/>
          <w:spacing w:val="0"/>
          <w:kern w:val="0"/>
          <w:sz w:val="24"/>
          <w:szCs w:val="24"/>
          <w:shd w:val="clear" w:fill="FFFFFF"/>
          <w:lang w:val="en-US" w:eastAsia="zh-CN" w:bidi="ar"/>
        </w:rPr>
        <w:t>（说明：</w:t>
      </w:r>
      <w:r>
        <w:rPr>
          <w:rFonts w:hint="default" w:ascii="sans-serif" w:hAnsi="sans-serif" w:eastAsia="sans-serif" w:cs="sans-serif"/>
          <w:b/>
          <w:i w:val="0"/>
          <w:caps w:val="0"/>
          <w:color w:val="auto"/>
          <w:spacing w:val="0"/>
          <w:kern w:val="0"/>
          <w:sz w:val="24"/>
          <w:szCs w:val="24"/>
          <w:shd w:val="clear" w:fill="FFFFFF"/>
          <w:lang w:val="en-US" w:eastAsia="zh-CN" w:bidi="ar"/>
        </w:rPr>
        <w:t>如项目接受联合体投标，对联合体应提出相关资格要求；如属于特定行业项目,供应商应当具备特定行业法定准入要求。</w:t>
      </w:r>
    </w:p>
    <w:p w14:paraId="257C0011">
      <w:pPr>
        <w:keepNext w:val="0"/>
        <w:keepLines w:val="0"/>
        <w:widowControl/>
        <w:suppressLineNumbers w:val="0"/>
        <w:jc w:val="left"/>
        <w:rPr>
          <w:rFonts w:hint="eastAsia" w:ascii="sans-serif" w:hAnsi="sans-serif" w:eastAsia="sans-serif" w:cs="sans-serif"/>
          <w:b/>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w:t>
      </w:r>
    </w:p>
    <w:p w14:paraId="5E44D15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hint="eastAsia"/>
          <w:color w:val="auto"/>
          <w:lang w:val="en-US" w:eastAsia="zh-CN"/>
        </w:rPr>
      </w:pPr>
      <w:r>
        <w:rPr>
          <w:rFonts w:hint="eastAsia"/>
          <w:color w:val="auto"/>
          <w:lang w:val="en-US" w:eastAsia="zh-CN"/>
        </w:rPr>
        <w:t>无</w:t>
      </w:r>
    </w:p>
    <w:p w14:paraId="4242902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ascii="sans-serif" w:hAnsi="sans-serif" w:eastAsia="sans-serif" w:cs="sans-serif"/>
          <w:b/>
          <w:i w:val="0"/>
          <w:caps w:val="0"/>
          <w:color w:val="auto"/>
          <w:spacing w:val="0"/>
          <w:sz w:val="24"/>
          <w:szCs w:val="24"/>
        </w:rPr>
      </w:pPr>
      <w:r>
        <w:rPr>
          <w:rFonts w:hint="default" w:ascii="sans-serif" w:hAnsi="sans-serif" w:eastAsia="sans-serif" w:cs="sans-serif"/>
          <w:b/>
          <w:i w:val="0"/>
          <w:caps w:val="0"/>
          <w:color w:val="auto"/>
          <w:spacing w:val="0"/>
          <w:kern w:val="0"/>
          <w:sz w:val="24"/>
          <w:szCs w:val="24"/>
          <w:shd w:val="clear" w:fill="FFFFFF"/>
          <w:lang w:val="en-US" w:eastAsia="zh-CN" w:bidi="ar"/>
        </w:rPr>
        <w:t>2.1.2 优选资质/优选指标</w:t>
      </w:r>
    </w:p>
    <w:p w14:paraId="0F0A8DB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lang w:val="en-US" w:eastAsia="zh-CN" w:bidi="ar"/>
        </w:rPr>
      </w:pPr>
      <w:r>
        <w:rPr>
          <w:rFonts w:hint="default" w:ascii="sans-serif" w:hAnsi="sans-serif" w:eastAsia="sans-serif" w:cs="sans-serif"/>
          <w:b/>
          <w:i w:val="0"/>
          <w:caps w:val="0"/>
          <w:color w:val="auto"/>
          <w:spacing w:val="0"/>
          <w:kern w:val="0"/>
          <w:sz w:val="24"/>
          <w:szCs w:val="24"/>
          <w:shd w:val="clear" w:fill="FFFFFF"/>
          <w:lang w:val="en-US" w:eastAsia="zh-CN" w:bidi="ar"/>
        </w:rPr>
        <w:t>2.1.2.1 相关证书</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27B7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B543DDD">
            <w:pPr>
              <w:keepNext w:val="0"/>
              <w:keepLines w:val="0"/>
              <w:widowControl/>
              <w:suppressLineNumbers w:val="0"/>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i w:val="0"/>
                <w:caps w:val="0"/>
                <w:color w:val="auto"/>
                <w:spacing w:val="0"/>
                <w:kern w:val="0"/>
                <w:sz w:val="24"/>
                <w:szCs w:val="24"/>
                <w:shd w:val="clear" w:fill="FFFFFF"/>
                <w:vertAlign w:val="baseline"/>
                <w:lang w:val="en-US" w:eastAsia="zh-CN" w:bidi="ar"/>
              </w:rPr>
              <w:t>序号</w:t>
            </w:r>
          </w:p>
        </w:tc>
        <w:tc>
          <w:tcPr>
            <w:tcW w:w="2841" w:type="dxa"/>
          </w:tcPr>
          <w:p w14:paraId="2D12FE97">
            <w:pPr>
              <w:keepNext w:val="0"/>
              <w:keepLines w:val="0"/>
              <w:widowControl/>
              <w:suppressLineNumbers w:val="0"/>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i w:val="0"/>
                <w:caps w:val="0"/>
                <w:color w:val="auto"/>
                <w:spacing w:val="0"/>
                <w:kern w:val="0"/>
                <w:sz w:val="24"/>
                <w:szCs w:val="24"/>
                <w:shd w:val="clear" w:fill="FFFFFF"/>
                <w:vertAlign w:val="baseline"/>
                <w:lang w:val="en-US" w:eastAsia="zh-CN" w:bidi="ar"/>
              </w:rPr>
              <w:t>证书名称</w:t>
            </w:r>
          </w:p>
        </w:tc>
        <w:tc>
          <w:tcPr>
            <w:tcW w:w="2841" w:type="dxa"/>
          </w:tcPr>
          <w:p w14:paraId="3DE462EB">
            <w:pPr>
              <w:keepNext w:val="0"/>
              <w:keepLines w:val="0"/>
              <w:widowControl/>
              <w:suppressLineNumbers w:val="0"/>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i w:val="0"/>
                <w:caps w:val="0"/>
                <w:color w:val="auto"/>
                <w:spacing w:val="0"/>
                <w:kern w:val="0"/>
                <w:sz w:val="24"/>
                <w:szCs w:val="24"/>
                <w:shd w:val="clear" w:fill="FFFFFF"/>
                <w:vertAlign w:val="baseline"/>
                <w:lang w:val="en-US" w:eastAsia="zh-CN" w:bidi="ar"/>
              </w:rPr>
              <w:t>备注</w:t>
            </w:r>
          </w:p>
        </w:tc>
      </w:tr>
      <w:tr w14:paraId="755B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5BFE037">
            <w:pPr>
              <w:keepNext w:val="0"/>
              <w:keepLines w:val="0"/>
              <w:widowControl/>
              <w:suppressLineNumbers w:val="0"/>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vertAlign w:val="baseline"/>
                <w:lang w:val="en-US" w:eastAsia="zh-CN" w:bidi="ar"/>
              </w:rPr>
            </w:pPr>
            <w:r>
              <w:rPr>
                <w:rFonts w:hint="eastAsia"/>
                <w:color w:val="auto"/>
                <w:lang w:val="en-US" w:eastAsia="zh-CN"/>
              </w:rPr>
              <w:t>1</w:t>
            </w:r>
          </w:p>
        </w:tc>
        <w:tc>
          <w:tcPr>
            <w:tcW w:w="2841" w:type="dxa"/>
          </w:tcPr>
          <w:p w14:paraId="5320122F">
            <w:pPr>
              <w:keepNext w:val="0"/>
              <w:keepLines w:val="0"/>
              <w:widowControl/>
              <w:suppressLineNumbers w:val="0"/>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vertAlign w:val="baseline"/>
                <w:lang w:val="en-US" w:eastAsia="zh-CN" w:bidi="ar"/>
              </w:rPr>
            </w:pPr>
            <w:r>
              <w:rPr>
                <w:rFonts w:hint="eastAsia" w:ascii="仿宋_GB2312" w:hAnsi="仿宋_GB2312" w:eastAsia="仿宋_GB2312" w:cs="仿宋_GB2312"/>
                <w:color w:val="auto"/>
                <w:kern w:val="0"/>
                <w:szCs w:val="20"/>
                <w:lang w:val="en-US" w:eastAsia="zh-CN" w:bidi="ar-SA"/>
              </w:rPr>
              <w:t>质量管理体系认证（认证范围与信息化相关）</w:t>
            </w:r>
          </w:p>
        </w:tc>
        <w:tc>
          <w:tcPr>
            <w:tcW w:w="2841" w:type="dxa"/>
          </w:tcPr>
          <w:p w14:paraId="5E24B776">
            <w:pPr>
              <w:keepNext w:val="0"/>
              <w:keepLines w:val="0"/>
              <w:widowControl/>
              <w:suppressLineNumbers w:val="0"/>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vertAlign w:val="baseline"/>
                <w:lang w:val="en-US" w:eastAsia="zh-CN" w:bidi="ar"/>
              </w:rPr>
            </w:pPr>
          </w:p>
        </w:tc>
      </w:tr>
      <w:tr w14:paraId="3410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656D207">
            <w:pPr>
              <w:keepNext w:val="0"/>
              <w:keepLines w:val="0"/>
              <w:widowControl/>
              <w:suppressLineNumbers w:val="0"/>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vertAlign w:val="baseline"/>
                <w:lang w:val="en-US" w:eastAsia="zh-CN" w:bidi="ar"/>
              </w:rPr>
            </w:pPr>
          </w:p>
        </w:tc>
        <w:tc>
          <w:tcPr>
            <w:tcW w:w="2841" w:type="dxa"/>
          </w:tcPr>
          <w:p w14:paraId="7CECADCA">
            <w:pPr>
              <w:keepNext w:val="0"/>
              <w:keepLines w:val="0"/>
              <w:widowControl/>
              <w:suppressLineNumbers w:val="0"/>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vertAlign w:val="baseline"/>
                <w:lang w:val="en-US" w:eastAsia="zh-CN" w:bidi="ar"/>
              </w:rPr>
            </w:pPr>
          </w:p>
        </w:tc>
        <w:tc>
          <w:tcPr>
            <w:tcW w:w="2841" w:type="dxa"/>
          </w:tcPr>
          <w:p w14:paraId="7F301B1D">
            <w:pPr>
              <w:keepNext w:val="0"/>
              <w:keepLines w:val="0"/>
              <w:widowControl/>
              <w:suppressLineNumbers w:val="0"/>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vertAlign w:val="baseline"/>
                <w:lang w:val="en-US" w:eastAsia="zh-CN" w:bidi="ar"/>
              </w:rPr>
            </w:pPr>
          </w:p>
        </w:tc>
      </w:tr>
      <w:tr w14:paraId="28404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14:paraId="64A3D78E">
            <w:pPr>
              <w:keepNext w:val="0"/>
              <w:keepLines w:val="0"/>
              <w:widowControl/>
              <w:suppressLineNumbers w:val="0"/>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vertAlign w:val="baseline"/>
                <w:lang w:val="en-US" w:eastAsia="zh-CN" w:bidi="ar"/>
              </w:rPr>
            </w:pPr>
          </w:p>
        </w:tc>
        <w:tc>
          <w:tcPr>
            <w:tcW w:w="2841" w:type="dxa"/>
          </w:tcPr>
          <w:p w14:paraId="67C74A06">
            <w:pPr>
              <w:keepNext w:val="0"/>
              <w:keepLines w:val="0"/>
              <w:widowControl/>
              <w:suppressLineNumbers w:val="0"/>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vertAlign w:val="baseline"/>
                <w:lang w:val="en-US" w:eastAsia="zh-CN" w:bidi="ar"/>
              </w:rPr>
            </w:pPr>
          </w:p>
        </w:tc>
        <w:tc>
          <w:tcPr>
            <w:tcW w:w="2841" w:type="dxa"/>
          </w:tcPr>
          <w:p w14:paraId="6EA25D17">
            <w:pPr>
              <w:keepNext w:val="0"/>
              <w:keepLines w:val="0"/>
              <w:widowControl/>
              <w:suppressLineNumbers w:val="0"/>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vertAlign w:val="baseline"/>
                <w:lang w:val="en-US" w:eastAsia="zh-CN" w:bidi="ar"/>
              </w:rPr>
            </w:pPr>
          </w:p>
        </w:tc>
      </w:tr>
    </w:tbl>
    <w:p w14:paraId="7A6776C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hint="default" w:ascii="sans-serif" w:hAnsi="sans-serif" w:eastAsia="sans-serif" w:cs="sans-serif"/>
          <w:b/>
          <w:i w:val="0"/>
          <w:caps w:val="0"/>
          <w:color w:val="auto"/>
          <w:spacing w:val="0"/>
          <w:kern w:val="0"/>
          <w:sz w:val="24"/>
          <w:szCs w:val="24"/>
          <w:shd w:val="clear" w:fill="FFFFFF"/>
          <w:lang w:val="en-US" w:eastAsia="zh-CN" w:bidi="ar"/>
        </w:rPr>
      </w:pPr>
    </w:p>
    <w:p w14:paraId="6C1B53F8">
      <w:pPr>
        <w:keepNext w:val="0"/>
        <w:keepLines w:val="0"/>
        <w:widowControl/>
        <w:suppressLineNumbers w:val="0"/>
        <w:jc w:val="left"/>
        <w:rPr>
          <w:rFonts w:hint="default" w:ascii="sans-serif" w:hAnsi="sans-serif" w:eastAsia="sans-serif" w:cs="sans-serif"/>
          <w:b/>
          <w:i w:val="0"/>
          <w:caps w:val="0"/>
          <w:color w:val="auto"/>
          <w:spacing w:val="0"/>
          <w:kern w:val="0"/>
          <w:sz w:val="24"/>
          <w:szCs w:val="24"/>
          <w:shd w:val="clear" w:fill="FFFFFF"/>
          <w:lang w:val="en-US" w:eastAsia="zh-CN" w:bidi="ar"/>
        </w:rPr>
      </w:pPr>
    </w:p>
    <w:p w14:paraId="655C4B7A">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2.1.2.2 成功案例</w:t>
      </w:r>
    </w:p>
    <w:p w14:paraId="4D0741A5">
      <w:pPr>
        <w:keepNext w:val="0"/>
        <w:keepLines w:val="0"/>
        <w:widowControl/>
        <w:suppressLineNumbers w:val="0"/>
        <w:jc w:val="left"/>
        <w:rPr>
          <w:rFonts w:hint="eastAsia" w:ascii="仿宋_GB2312" w:hAnsi="仿宋_GB2312" w:eastAsia="仿宋_GB2312" w:cs="仿宋_GB2312"/>
          <w:color w:val="auto"/>
          <w:kern w:val="0"/>
          <w:szCs w:val="20"/>
          <w:lang w:val="en-US" w:eastAsia="zh-CN" w:bidi="ar-SA"/>
        </w:rPr>
      </w:pPr>
      <w:r>
        <w:rPr>
          <w:rFonts w:hint="eastAsia" w:ascii="仿宋_GB2312" w:hAnsi="仿宋_GB2312" w:eastAsia="仿宋_GB2312" w:cs="仿宋_GB2312"/>
          <w:color w:val="auto"/>
          <w:kern w:val="0"/>
          <w:szCs w:val="20"/>
          <w:lang w:val="en-US" w:eastAsia="zh-CN" w:bidi="ar-SA"/>
        </w:rPr>
        <w:t>投标人需具备在2023年1月1日（含）至今承接过服务器供货同类项目经验。</w:t>
      </w:r>
    </w:p>
    <w:p w14:paraId="32C4661A">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2.1.3 是否允许联合体</w:t>
      </w:r>
    </w:p>
    <w:p w14:paraId="4CAAD83D">
      <w:pPr>
        <w:keepNext w:val="0"/>
        <w:keepLines w:val="0"/>
        <w:widowControl/>
        <w:suppressLineNumbers w:val="0"/>
        <w:jc w:val="left"/>
        <w:rPr>
          <w:rFonts w:hint="eastAsia"/>
          <w:color w:val="auto"/>
          <w:lang w:val="en-US" w:eastAsia="zh-CN"/>
        </w:rPr>
      </w:pPr>
      <w:r>
        <w:rPr>
          <w:rFonts w:hint="eastAsia"/>
          <w:color w:val="auto"/>
          <w:lang w:val="en-US" w:eastAsia="zh-CN"/>
        </w:rPr>
        <w:t>否</w:t>
      </w:r>
    </w:p>
    <w:p w14:paraId="6C0F034D">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2.1.4 是否专门面向中小企业</w:t>
      </w:r>
    </w:p>
    <w:p w14:paraId="4E64E485">
      <w:pPr>
        <w:rPr>
          <w:rFonts w:hint="eastAsia"/>
          <w:color w:val="auto"/>
          <w:lang w:val="en-US" w:eastAsia="zh-CN"/>
        </w:rPr>
      </w:pPr>
      <w:r>
        <w:rPr>
          <w:rFonts w:hint="eastAsia"/>
          <w:color w:val="auto"/>
          <w:lang w:val="en-US" w:eastAsia="zh-CN"/>
        </w:rPr>
        <w:t>否</w:t>
      </w:r>
    </w:p>
    <w:p w14:paraId="2FD56048">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2.1.5 其他要求</w:t>
      </w:r>
    </w:p>
    <w:p w14:paraId="64CD446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hint="eastAsia"/>
          <w:color w:val="auto"/>
          <w:lang w:val="en-US" w:eastAsia="zh-CN"/>
        </w:rPr>
      </w:pPr>
      <w:r>
        <w:rPr>
          <w:rFonts w:hint="eastAsia"/>
          <w:color w:val="auto"/>
          <w:lang w:val="en-US" w:eastAsia="zh-CN"/>
        </w:rPr>
        <w:t>无</w:t>
      </w:r>
    </w:p>
    <w:p w14:paraId="1C612A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ascii="sans-serif" w:hAnsi="sans-serif" w:eastAsia="sans-serif" w:cs="sans-serif"/>
          <w:b/>
          <w:i w:val="0"/>
          <w:caps w:val="0"/>
          <w:color w:val="auto"/>
          <w:spacing w:val="0"/>
          <w:sz w:val="24"/>
          <w:szCs w:val="24"/>
        </w:rPr>
      </w:pPr>
      <w:r>
        <w:rPr>
          <w:rFonts w:hint="default" w:ascii="sans-serif" w:hAnsi="sans-serif" w:eastAsia="sans-serif" w:cs="sans-serif"/>
          <w:b/>
          <w:i w:val="0"/>
          <w:caps w:val="0"/>
          <w:color w:val="auto"/>
          <w:spacing w:val="0"/>
          <w:kern w:val="0"/>
          <w:sz w:val="24"/>
          <w:szCs w:val="24"/>
          <w:shd w:val="clear" w:fill="FFFFFF"/>
          <w:lang w:val="en-US" w:eastAsia="zh-CN" w:bidi="ar"/>
        </w:rPr>
        <w:t>2.2 技术部分投标/响应内容</w:t>
      </w:r>
    </w:p>
    <w:p w14:paraId="672F77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hint="default" w:ascii="sans-serif" w:hAnsi="sans-serif" w:eastAsia="sans-serif" w:cs="sans-serif"/>
          <w:b/>
          <w:i w:val="0"/>
          <w:caps w:val="0"/>
          <w:color w:val="auto"/>
          <w:spacing w:val="0"/>
          <w:sz w:val="24"/>
          <w:szCs w:val="24"/>
        </w:rPr>
      </w:pPr>
      <w:r>
        <w:rPr>
          <w:rFonts w:hint="default" w:ascii="sans-serif" w:hAnsi="sans-serif" w:eastAsia="sans-serif" w:cs="sans-serif"/>
          <w:b/>
          <w:i w:val="0"/>
          <w:caps w:val="0"/>
          <w:color w:val="auto"/>
          <w:spacing w:val="0"/>
          <w:kern w:val="0"/>
          <w:sz w:val="24"/>
          <w:szCs w:val="24"/>
          <w:shd w:val="clear" w:fill="FFFFFF"/>
          <w:lang w:val="en-US" w:eastAsia="zh-CN" w:bidi="ar"/>
        </w:rPr>
        <w:t>2.2.1 技术投标/响应总要求</w:t>
      </w:r>
    </w:p>
    <w:p w14:paraId="4CFF1419">
      <w:pPr>
        <w:numPr>
          <w:ilvl w:val="0"/>
          <w:numId w:val="0"/>
        </w:numPr>
        <w:ind w:firstLine="420" w:firstLineChars="200"/>
        <w:rPr>
          <w:rFonts w:hint="eastAsia" w:ascii="宋体" w:hAnsi="宋体"/>
          <w:b w:val="0"/>
          <w:bCs/>
          <w:color w:val="auto"/>
          <w:sz w:val="21"/>
          <w:szCs w:val="21"/>
          <w:lang w:val="en-US" w:eastAsia="zh-CN"/>
        </w:rPr>
      </w:pPr>
      <w:r>
        <w:rPr>
          <w:rFonts w:hint="eastAsia"/>
          <w:color w:val="auto"/>
          <w:lang w:val="en-US" w:eastAsia="zh-CN"/>
        </w:rPr>
        <w:t>由供应商在响应时应答，在履约验收中，采购人将按照采购文件、中标/成交供应商响应文件、采购合同等对中标/成交供应商提供的货物和服务进行验收，必要时依法依规开展相应检测、认证。</w:t>
      </w:r>
    </w:p>
    <w:p w14:paraId="53B39962">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lang w:val="en-US" w:eastAsia="zh-CN" w:bidi="ar"/>
        </w:rPr>
      </w:pPr>
      <w:r>
        <w:rPr>
          <w:rFonts w:ascii="sans-serif" w:hAnsi="sans-serif" w:eastAsia="sans-serif" w:cs="sans-serif"/>
          <w:b/>
          <w:i w:val="0"/>
          <w:caps w:val="0"/>
          <w:color w:val="auto"/>
          <w:spacing w:val="0"/>
          <w:kern w:val="0"/>
          <w:sz w:val="24"/>
          <w:szCs w:val="24"/>
          <w:shd w:val="clear" w:fill="FFFFFF"/>
          <w:lang w:val="en-US" w:eastAsia="zh-CN" w:bidi="ar"/>
        </w:rPr>
        <w:t>2.2.2 投标/响应方案要求</w:t>
      </w:r>
    </w:p>
    <w:p w14:paraId="4D1AFDA5">
      <w:pPr>
        <w:keepNext w:val="0"/>
        <w:keepLines w:val="0"/>
        <w:widowControl/>
        <w:suppressLineNumbers w:val="0"/>
        <w:ind w:firstLine="480" w:firstLineChars="200"/>
        <w:jc w:val="left"/>
        <w:rPr>
          <w:rFonts w:hint="default" w:ascii="sans-serif" w:hAnsi="sans-serif" w:eastAsia="sans-serif" w:cs="sans-serif"/>
          <w:b w:val="0"/>
          <w:bCs/>
          <w:i w:val="0"/>
          <w:caps w:val="0"/>
          <w:color w:val="auto"/>
          <w:spacing w:val="0"/>
          <w:kern w:val="0"/>
          <w:sz w:val="24"/>
          <w:szCs w:val="24"/>
          <w:shd w:val="clear" w:fill="FFFFFF"/>
          <w:lang w:val="en-US" w:eastAsia="zh-CN" w:bidi="ar"/>
        </w:rPr>
      </w:pPr>
      <w:r>
        <w:rPr>
          <w:rFonts w:hint="eastAsia" w:ascii="sans-serif" w:hAnsi="sans-serif" w:eastAsia="sans-serif" w:cs="sans-serif"/>
          <w:b w:val="0"/>
          <w:bCs/>
          <w:i w:val="0"/>
          <w:caps w:val="0"/>
          <w:color w:val="auto"/>
          <w:spacing w:val="0"/>
          <w:kern w:val="0"/>
          <w:sz w:val="24"/>
          <w:szCs w:val="24"/>
          <w:shd w:val="clear" w:fill="FFFFFF"/>
          <w:lang w:val="en-US" w:eastAsia="zh-CN" w:bidi="ar"/>
        </w:rPr>
        <w:t>以下相关方案，若作为评审因素，则投标人应在满足★关键指标项要求的前提下，根据项目特点和采购需求，制定更为完整、详细、可操作性强的方案。</w:t>
      </w:r>
      <w:r>
        <w:rPr>
          <w:rFonts w:hint="default" w:ascii="sans-serif" w:hAnsi="sans-serif" w:eastAsia="sans-serif" w:cs="sans-serif"/>
          <w:b w:val="0"/>
          <w:bCs/>
          <w:i w:val="0"/>
          <w:caps w:val="0"/>
          <w:color w:val="auto"/>
          <w:spacing w:val="0"/>
          <w:kern w:val="0"/>
          <w:sz w:val="24"/>
          <w:szCs w:val="24"/>
          <w:shd w:val="clear" w:fill="FFFFFF"/>
          <w:lang w:val="en-US" w:eastAsia="zh-CN" w:bidi="ar"/>
        </w:rPr>
        <w:t>根据但不限于对服务要求相关要求，应包含供货方案、工期</w:t>
      </w:r>
    </w:p>
    <w:p w14:paraId="434D5B6E">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lang w:val="en-US" w:eastAsia="zh-CN" w:bidi="ar"/>
        </w:rPr>
      </w:pPr>
      <w:r>
        <w:rPr>
          <w:rFonts w:hint="default" w:ascii="sans-serif" w:hAnsi="sans-serif" w:eastAsia="sans-serif" w:cs="sans-serif"/>
          <w:b w:val="0"/>
          <w:bCs/>
          <w:i w:val="0"/>
          <w:caps w:val="0"/>
          <w:color w:val="auto"/>
          <w:spacing w:val="0"/>
          <w:kern w:val="0"/>
          <w:sz w:val="24"/>
          <w:szCs w:val="24"/>
          <w:shd w:val="clear" w:fill="FFFFFF"/>
          <w:lang w:val="en-US" w:eastAsia="zh-CN" w:bidi="ar"/>
        </w:rPr>
        <w:t>3项目需求</w:t>
      </w:r>
    </w:p>
    <w:p w14:paraId="3DC7A9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hint="default" w:ascii="sans-serif" w:hAnsi="sans-serif" w:eastAsia="sans-serif" w:cs="sans-serif"/>
          <w:b/>
          <w:i w:val="0"/>
          <w:caps w:val="0"/>
          <w:color w:val="auto"/>
          <w:spacing w:val="0"/>
          <w:sz w:val="24"/>
          <w:szCs w:val="24"/>
        </w:rPr>
      </w:pPr>
      <w:r>
        <w:rPr>
          <w:rFonts w:hint="default" w:ascii="sans-serif" w:hAnsi="sans-serif" w:eastAsia="sans-serif" w:cs="sans-serif"/>
          <w:b/>
          <w:i w:val="0"/>
          <w:caps w:val="0"/>
          <w:color w:val="auto"/>
          <w:spacing w:val="0"/>
          <w:kern w:val="0"/>
          <w:sz w:val="24"/>
          <w:szCs w:val="24"/>
          <w:shd w:val="clear" w:fill="FFFFFF"/>
          <w:lang w:val="en-US" w:eastAsia="zh-CN" w:bidi="ar"/>
        </w:rPr>
        <w:t>3.1 总体要求</w:t>
      </w:r>
    </w:p>
    <w:p w14:paraId="5AC634BD">
      <w:pPr>
        <w:keepNext w:val="0"/>
        <w:keepLines w:val="0"/>
        <w:widowControl/>
        <w:suppressLineNumbers w:val="0"/>
        <w:ind w:firstLine="420" w:firstLineChars="200"/>
        <w:jc w:val="left"/>
        <w:rPr>
          <w:rFonts w:hint="eastAsia"/>
          <w:color w:val="auto"/>
          <w:lang w:val="en-US" w:eastAsia="zh-CN"/>
        </w:rPr>
      </w:pPr>
      <w:r>
        <w:rPr>
          <w:rFonts w:hint="eastAsia"/>
          <w:color w:val="auto"/>
          <w:lang w:val="en-US" w:eastAsia="zh-CN"/>
        </w:rPr>
        <w:t>本项目采购标的为12台服务器，中标人须提供相应的实施服务，包括但不限于设备供货、运输、上架、安装调试、系统适配、验收、培训及质保期内运维服务。</w:t>
      </w:r>
    </w:p>
    <w:p w14:paraId="17D7DA46">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lang w:val="en-US" w:eastAsia="zh-CN" w:bidi="ar"/>
        </w:rPr>
      </w:pPr>
      <w:r>
        <w:rPr>
          <w:rFonts w:ascii="sans-serif" w:hAnsi="sans-serif" w:eastAsia="sans-serif" w:cs="sans-serif"/>
          <w:b/>
          <w:i w:val="0"/>
          <w:caps w:val="0"/>
          <w:color w:val="auto"/>
          <w:spacing w:val="0"/>
          <w:kern w:val="0"/>
          <w:sz w:val="24"/>
          <w:szCs w:val="24"/>
          <w:shd w:val="clear" w:fill="FFFFFF"/>
          <w:lang w:val="en-US" w:eastAsia="zh-CN" w:bidi="ar"/>
        </w:rPr>
        <w:t>3.2 采购产品一览表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296E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580FE4C7">
            <w:pPr>
              <w:keepNext w:val="0"/>
              <w:keepLines w:val="0"/>
              <w:widowControl/>
              <w:suppressLineNumbers w:val="0"/>
              <w:jc w:val="left"/>
              <w:rPr>
                <w:rFonts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序号</w:t>
            </w:r>
          </w:p>
        </w:tc>
        <w:tc>
          <w:tcPr>
            <w:tcW w:w="1420" w:type="dxa"/>
          </w:tcPr>
          <w:p w14:paraId="4C838F20">
            <w:pPr>
              <w:keepNext w:val="0"/>
              <w:keepLines w:val="0"/>
              <w:widowControl/>
              <w:suppressLineNumbers w:val="0"/>
              <w:jc w:val="left"/>
              <w:rPr>
                <w:rFonts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产品类别</w:t>
            </w:r>
          </w:p>
        </w:tc>
        <w:tc>
          <w:tcPr>
            <w:tcW w:w="1420" w:type="dxa"/>
          </w:tcPr>
          <w:p w14:paraId="654740A2">
            <w:pPr>
              <w:keepNext w:val="0"/>
              <w:keepLines w:val="0"/>
              <w:widowControl/>
              <w:suppressLineNumbers w:val="0"/>
              <w:jc w:val="left"/>
              <w:rPr>
                <w:rFonts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产品名称</w:t>
            </w:r>
          </w:p>
        </w:tc>
        <w:tc>
          <w:tcPr>
            <w:tcW w:w="1420" w:type="dxa"/>
          </w:tcPr>
          <w:p w14:paraId="272E9BE5">
            <w:pPr>
              <w:keepNext w:val="0"/>
              <w:keepLines w:val="0"/>
              <w:widowControl/>
              <w:suppressLineNumbers w:val="0"/>
              <w:jc w:val="left"/>
              <w:rPr>
                <w:rFonts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数量</w:t>
            </w:r>
          </w:p>
        </w:tc>
        <w:tc>
          <w:tcPr>
            <w:tcW w:w="1421" w:type="dxa"/>
          </w:tcPr>
          <w:p w14:paraId="7AA4FB41">
            <w:pPr>
              <w:keepNext w:val="0"/>
              <w:keepLines w:val="0"/>
              <w:widowControl/>
              <w:suppressLineNumbers w:val="0"/>
              <w:jc w:val="left"/>
              <w:rPr>
                <w:rFonts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单位</w:t>
            </w:r>
          </w:p>
        </w:tc>
        <w:tc>
          <w:tcPr>
            <w:tcW w:w="1421" w:type="dxa"/>
          </w:tcPr>
          <w:p w14:paraId="04450A91">
            <w:pPr>
              <w:keepNext w:val="0"/>
              <w:keepLines w:val="0"/>
              <w:widowControl/>
              <w:suppressLineNumbers w:val="0"/>
              <w:jc w:val="left"/>
              <w:rPr>
                <w:rFonts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备注</w:t>
            </w:r>
          </w:p>
        </w:tc>
      </w:tr>
      <w:tr w14:paraId="7B56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72842E71">
            <w:pPr>
              <w:rPr>
                <w:rFonts w:ascii="sans-serif" w:hAnsi="sans-serif" w:eastAsia="sans-serif" w:cs="sans-serif"/>
                <w:b/>
                <w:i w:val="0"/>
                <w:caps w:val="0"/>
                <w:color w:val="auto"/>
                <w:spacing w:val="0"/>
                <w:kern w:val="0"/>
                <w:sz w:val="24"/>
                <w:szCs w:val="24"/>
                <w:shd w:val="clear" w:fill="FFFFFF"/>
                <w:vertAlign w:val="baseline"/>
                <w:lang w:val="en-US" w:eastAsia="zh-CN" w:bidi="ar"/>
              </w:rPr>
            </w:pPr>
            <w:r>
              <w:rPr>
                <w:rFonts w:hint="eastAsia"/>
                <w:color w:val="auto"/>
                <w:lang w:val="en-US" w:eastAsia="zh-CN"/>
              </w:rPr>
              <w:t>1</w:t>
            </w:r>
          </w:p>
        </w:tc>
        <w:tc>
          <w:tcPr>
            <w:tcW w:w="1420" w:type="dxa"/>
          </w:tcPr>
          <w:p w14:paraId="5E258544">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i w:val="0"/>
                <w:caps w:val="0"/>
                <w:color w:val="auto"/>
                <w:spacing w:val="0"/>
                <w:kern w:val="0"/>
                <w:sz w:val="24"/>
                <w:szCs w:val="24"/>
                <w:shd w:val="clear" w:fill="FFFFFF"/>
                <w:vertAlign w:val="baseline"/>
                <w:lang w:val="en-US" w:eastAsia="zh-CN" w:bidi="ar"/>
              </w:rPr>
              <w:t>服务器</w:t>
            </w:r>
          </w:p>
        </w:tc>
        <w:tc>
          <w:tcPr>
            <w:tcW w:w="1420" w:type="dxa"/>
          </w:tcPr>
          <w:p w14:paraId="10514C27">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i w:val="0"/>
                <w:caps w:val="0"/>
                <w:color w:val="auto"/>
                <w:spacing w:val="0"/>
                <w:kern w:val="0"/>
                <w:sz w:val="24"/>
                <w:szCs w:val="24"/>
                <w:shd w:val="clear" w:fill="FFFFFF"/>
                <w:vertAlign w:val="baseline"/>
                <w:lang w:val="en-US" w:eastAsia="zh-CN" w:bidi="ar"/>
              </w:rPr>
              <w:t>服务器</w:t>
            </w:r>
          </w:p>
        </w:tc>
        <w:tc>
          <w:tcPr>
            <w:tcW w:w="1420" w:type="dxa"/>
          </w:tcPr>
          <w:p w14:paraId="118BCCC1">
            <w:pPr>
              <w:keepNext w:val="0"/>
              <w:keepLines w:val="0"/>
              <w:widowControl/>
              <w:suppressLineNumbers w:val="0"/>
              <w:jc w:val="left"/>
              <w:rPr>
                <w:rFonts w:hint="default" w:ascii="sans-serif" w:hAnsi="sans-serif" w:eastAsia="sans-serif" w:cs="sans-serif"/>
                <w:b/>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i w:val="0"/>
                <w:caps w:val="0"/>
                <w:color w:val="auto"/>
                <w:spacing w:val="0"/>
                <w:kern w:val="0"/>
                <w:sz w:val="24"/>
                <w:szCs w:val="24"/>
                <w:shd w:val="clear" w:fill="FFFFFF"/>
                <w:vertAlign w:val="baseline"/>
                <w:lang w:val="en-US" w:eastAsia="zh-CN" w:bidi="ar"/>
              </w:rPr>
              <w:t>12</w:t>
            </w:r>
          </w:p>
        </w:tc>
        <w:tc>
          <w:tcPr>
            <w:tcW w:w="1421" w:type="dxa"/>
          </w:tcPr>
          <w:p w14:paraId="27993346">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i w:val="0"/>
                <w:caps w:val="0"/>
                <w:color w:val="auto"/>
                <w:spacing w:val="0"/>
                <w:kern w:val="0"/>
                <w:sz w:val="24"/>
                <w:szCs w:val="24"/>
                <w:shd w:val="clear" w:fill="FFFFFF"/>
                <w:vertAlign w:val="baseline"/>
                <w:lang w:val="en-US" w:eastAsia="zh-CN" w:bidi="ar"/>
              </w:rPr>
              <w:t>台</w:t>
            </w:r>
          </w:p>
        </w:tc>
        <w:tc>
          <w:tcPr>
            <w:tcW w:w="1421" w:type="dxa"/>
          </w:tcPr>
          <w:p w14:paraId="0715A05B">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vertAlign w:val="baseline"/>
                <w:lang w:val="en-US" w:eastAsia="zh-CN" w:bidi="ar"/>
              </w:rPr>
            </w:pPr>
          </w:p>
        </w:tc>
      </w:tr>
      <w:tr w14:paraId="3DFB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2058667C">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vertAlign w:val="baseline"/>
                <w:lang w:val="en-US" w:eastAsia="zh-CN" w:bidi="ar"/>
              </w:rPr>
            </w:pPr>
          </w:p>
        </w:tc>
        <w:tc>
          <w:tcPr>
            <w:tcW w:w="1420" w:type="dxa"/>
          </w:tcPr>
          <w:p w14:paraId="5E6B8C51">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vertAlign w:val="baseline"/>
                <w:lang w:val="en-US" w:eastAsia="zh-CN" w:bidi="ar"/>
              </w:rPr>
            </w:pPr>
          </w:p>
        </w:tc>
        <w:tc>
          <w:tcPr>
            <w:tcW w:w="1420" w:type="dxa"/>
          </w:tcPr>
          <w:p w14:paraId="1238C485">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vertAlign w:val="baseline"/>
                <w:lang w:val="en-US" w:eastAsia="zh-CN" w:bidi="ar"/>
              </w:rPr>
            </w:pPr>
          </w:p>
        </w:tc>
        <w:tc>
          <w:tcPr>
            <w:tcW w:w="1420" w:type="dxa"/>
          </w:tcPr>
          <w:p w14:paraId="3F924EB8">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vertAlign w:val="baseline"/>
                <w:lang w:val="en-US" w:eastAsia="zh-CN" w:bidi="ar"/>
              </w:rPr>
            </w:pPr>
          </w:p>
        </w:tc>
        <w:tc>
          <w:tcPr>
            <w:tcW w:w="1421" w:type="dxa"/>
          </w:tcPr>
          <w:p w14:paraId="682F2D8E">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vertAlign w:val="baseline"/>
                <w:lang w:val="en-US" w:eastAsia="zh-CN" w:bidi="ar"/>
              </w:rPr>
            </w:pPr>
          </w:p>
        </w:tc>
        <w:tc>
          <w:tcPr>
            <w:tcW w:w="1421" w:type="dxa"/>
          </w:tcPr>
          <w:p w14:paraId="3B41509E">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vertAlign w:val="baseline"/>
                <w:lang w:val="en-US" w:eastAsia="zh-CN" w:bidi="ar"/>
              </w:rPr>
            </w:pPr>
          </w:p>
        </w:tc>
      </w:tr>
    </w:tbl>
    <w:p w14:paraId="4960FD75">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lang w:val="en-US" w:eastAsia="zh-CN" w:bidi="ar"/>
        </w:rPr>
      </w:pPr>
    </w:p>
    <w:p w14:paraId="0E9AAFD4">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lang w:val="en-US" w:eastAsia="zh-CN" w:bidi="ar"/>
        </w:rPr>
      </w:pPr>
      <w:r>
        <w:rPr>
          <w:rFonts w:ascii="sans-serif" w:hAnsi="sans-serif" w:eastAsia="sans-serif" w:cs="sans-serif"/>
          <w:b/>
          <w:i w:val="0"/>
          <w:caps w:val="0"/>
          <w:color w:val="auto"/>
          <w:spacing w:val="0"/>
          <w:kern w:val="0"/>
          <w:sz w:val="24"/>
          <w:szCs w:val="24"/>
          <w:shd w:val="clear" w:fill="FFFFFF"/>
          <w:lang w:val="en-US" w:eastAsia="zh-CN" w:bidi="ar"/>
        </w:rPr>
        <w:t>3.3 采购产品详细清单及技术指标</w:t>
      </w:r>
    </w:p>
    <w:p w14:paraId="0D01E80E">
      <w:pPr>
        <w:keepNext w:val="0"/>
        <w:keepLines w:val="0"/>
        <w:widowControl/>
        <w:suppressLineNumbers w:val="0"/>
        <w:ind w:firstLine="480" w:firstLineChars="200"/>
        <w:jc w:val="left"/>
        <w:rPr>
          <w:rFonts w:hint="eastAsia" w:ascii="sans-serif" w:hAnsi="sans-serif" w:eastAsia="sans-serif" w:cs="sans-serif"/>
          <w:b w:val="0"/>
          <w:bCs/>
          <w:i w:val="0"/>
          <w:caps w:val="0"/>
          <w:color w:val="auto"/>
          <w:spacing w:val="0"/>
          <w:kern w:val="0"/>
          <w:sz w:val="24"/>
          <w:szCs w:val="24"/>
          <w:shd w:val="clear" w:fill="FFFFFF"/>
          <w:lang w:val="en-US" w:eastAsia="zh-CN" w:bidi="ar"/>
        </w:rPr>
      </w:pPr>
      <w:r>
        <w:rPr>
          <w:rFonts w:hint="eastAsia" w:ascii="sans-serif" w:hAnsi="sans-serif" w:eastAsia="sans-serif" w:cs="sans-serif"/>
          <w:b w:val="0"/>
          <w:bCs/>
          <w:i w:val="0"/>
          <w:caps w:val="0"/>
          <w:color w:val="auto"/>
          <w:spacing w:val="0"/>
          <w:kern w:val="0"/>
          <w:sz w:val="24"/>
          <w:szCs w:val="24"/>
          <w:shd w:val="clear" w:fill="FFFFFF"/>
          <w:lang w:val="en-US" w:eastAsia="zh-CN" w:bidi="ar"/>
        </w:rPr>
        <w:t>采购文件（技术部分）中有标注★号的，为必备服务要求，必须满足，如未作出响应，将导致响应无效；#为重要服务内容、△为一般服务内容。</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5"/>
        <w:gridCol w:w="836"/>
        <w:gridCol w:w="2209"/>
        <w:gridCol w:w="4060"/>
        <w:gridCol w:w="456"/>
        <w:gridCol w:w="456"/>
      </w:tblGrid>
      <w:tr w14:paraId="1B8A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05" w:type="dxa"/>
          </w:tcPr>
          <w:p w14:paraId="3DB3B844">
            <w:pPr>
              <w:keepNext w:val="0"/>
              <w:keepLines w:val="0"/>
              <w:widowControl/>
              <w:suppressLineNumbers w:val="0"/>
              <w:jc w:val="left"/>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t>序号</w:t>
            </w:r>
          </w:p>
        </w:tc>
        <w:tc>
          <w:tcPr>
            <w:tcW w:w="836" w:type="dxa"/>
          </w:tcPr>
          <w:p w14:paraId="63C0E234">
            <w:pPr>
              <w:keepNext w:val="0"/>
              <w:keepLines w:val="0"/>
              <w:widowControl/>
              <w:suppressLineNumbers w:val="0"/>
              <w:jc w:val="left"/>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t>指标种类</w:t>
            </w:r>
          </w:p>
        </w:tc>
        <w:tc>
          <w:tcPr>
            <w:tcW w:w="2209" w:type="dxa"/>
          </w:tcPr>
          <w:p w14:paraId="42E18CD8">
            <w:pPr>
              <w:keepNext w:val="0"/>
              <w:keepLines w:val="0"/>
              <w:widowControl/>
              <w:suppressLineNumbers w:val="0"/>
              <w:jc w:val="left"/>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t>指标名称</w:t>
            </w:r>
          </w:p>
        </w:tc>
        <w:tc>
          <w:tcPr>
            <w:tcW w:w="4060" w:type="dxa"/>
          </w:tcPr>
          <w:p w14:paraId="55B39830">
            <w:pPr>
              <w:keepNext w:val="0"/>
              <w:keepLines w:val="0"/>
              <w:widowControl/>
              <w:suppressLineNumbers w:val="0"/>
              <w:jc w:val="left"/>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t>指标内容</w:t>
            </w:r>
          </w:p>
        </w:tc>
        <w:tc>
          <w:tcPr>
            <w:tcW w:w="456" w:type="dxa"/>
          </w:tcPr>
          <w:p w14:paraId="62DBB607">
            <w:pPr>
              <w:keepNext w:val="0"/>
              <w:keepLines w:val="0"/>
              <w:widowControl/>
              <w:suppressLineNumbers w:val="0"/>
              <w:jc w:val="left"/>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t>重要性</w:t>
            </w:r>
          </w:p>
        </w:tc>
        <w:tc>
          <w:tcPr>
            <w:tcW w:w="456" w:type="dxa"/>
          </w:tcPr>
          <w:p w14:paraId="04AFFC14">
            <w:pPr>
              <w:keepNext w:val="0"/>
              <w:keepLines w:val="0"/>
              <w:widowControl/>
              <w:suppressLineNumbers w:val="0"/>
              <w:jc w:val="left"/>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t>是否需要证明材料</w:t>
            </w:r>
          </w:p>
        </w:tc>
      </w:tr>
      <w:tr w14:paraId="666D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A1BDE42">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6BBE9F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060D61C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★CPU 信息</w:t>
            </w:r>
          </w:p>
        </w:tc>
        <w:tc>
          <w:tcPr>
            <w:tcW w:w="4060" w:type="dxa"/>
            <w:shd w:val="clear" w:color="auto" w:fill="auto"/>
            <w:vAlign w:val="center"/>
          </w:tcPr>
          <w:p w14:paraId="7AB98F8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单颗CPU主频≥2.7GHz，核数≥32核且≥64线程；TDP 功耗≤260W；</w:t>
            </w:r>
          </w:p>
        </w:tc>
        <w:tc>
          <w:tcPr>
            <w:tcW w:w="456" w:type="dxa"/>
            <w:shd w:val="clear" w:color="auto" w:fill="auto"/>
            <w:vAlign w:val="center"/>
          </w:tcPr>
          <w:p w14:paraId="289D76A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8A0067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4CBC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D575E32">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91956E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35E0CB1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★主板支持的CPU 和内存情况</w:t>
            </w:r>
          </w:p>
        </w:tc>
        <w:tc>
          <w:tcPr>
            <w:tcW w:w="4060" w:type="dxa"/>
            <w:shd w:val="clear" w:color="auto" w:fill="auto"/>
            <w:vAlign w:val="center"/>
          </w:tcPr>
          <w:p w14:paraId="4DCEEF1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实配CPU数量≥2个C86架构国产处理器，支持DDR4内存；</w:t>
            </w:r>
          </w:p>
        </w:tc>
        <w:tc>
          <w:tcPr>
            <w:tcW w:w="456" w:type="dxa"/>
            <w:shd w:val="clear" w:color="auto" w:fill="auto"/>
            <w:vAlign w:val="center"/>
          </w:tcPr>
          <w:p w14:paraId="7061383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4671D2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B3B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703A1F5">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AFEC83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7B9BEDE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★主板内存槽数量</w:t>
            </w:r>
          </w:p>
        </w:tc>
        <w:tc>
          <w:tcPr>
            <w:tcW w:w="4060" w:type="dxa"/>
            <w:shd w:val="clear" w:color="auto" w:fill="auto"/>
            <w:vAlign w:val="center"/>
          </w:tcPr>
          <w:p w14:paraId="485F04D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非板载内存的可扩展插槽数量应不少于16个；</w:t>
            </w:r>
          </w:p>
        </w:tc>
        <w:tc>
          <w:tcPr>
            <w:tcW w:w="456" w:type="dxa"/>
            <w:shd w:val="clear" w:color="auto" w:fill="auto"/>
            <w:vAlign w:val="center"/>
          </w:tcPr>
          <w:p w14:paraId="3AF5E19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EC1AA3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A2E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BD62D6F">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D2E2A4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5D32C18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★主板存储接口</w:t>
            </w:r>
          </w:p>
        </w:tc>
        <w:tc>
          <w:tcPr>
            <w:tcW w:w="4060" w:type="dxa"/>
            <w:shd w:val="clear" w:color="auto" w:fill="auto"/>
            <w:vAlign w:val="center"/>
          </w:tcPr>
          <w:p w14:paraId="495EF36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要求支持SATA、SAS、M.2、U.2等硬盘接口；</w:t>
            </w:r>
          </w:p>
        </w:tc>
        <w:tc>
          <w:tcPr>
            <w:tcW w:w="456" w:type="dxa"/>
            <w:shd w:val="clear" w:color="auto" w:fill="auto"/>
            <w:vAlign w:val="center"/>
          </w:tcPr>
          <w:p w14:paraId="24685AD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F9C075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3EC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F7E2DB8">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93807E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5B6EE80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★PCIe 插槽接口</w:t>
            </w:r>
          </w:p>
        </w:tc>
        <w:tc>
          <w:tcPr>
            <w:tcW w:w="4060" w:type="dxa"/>
            <w:shd w:val="clear" w:color="auto" w:fill="auto"/>
            <w:vAlign w:val="center"/>
          </w:tcPr>
          <w:p w14:paraId="59B947F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要求支持PCIe 4.0；PCIe 的接口速率与位宽需保证向下兼容</w:t>
            </w:r>
          </w:p>
        </w:tc>
        <w:tc>
          <w:tcPr>
            <w:tcW w:w="456" w:type="dxa"/>
            <w:shd w:val="clear" w:color="auto" w:fill="auto"/>
            <w:vAlign w:val="center"/>
          </w:tcPr>
          <w:p w14:paraId="65BC01A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677F33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3A5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5" w:type="dxa"/>
            <w:shd w:val="clear" w:color="auto" w:fill="auto"/>
            <w:vAlign w:val="center"/>
          </w:tcPr>
          <w:p w14:paraId="1CBCD536">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409A0C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35E119F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★主板PCIe 插槽数量及规格</w:t>
            </w:r>
          </w:p>
        </w:tc>
        <w:tc>
          <w:tcPr>
            <w:tcW w:w="4060" w:type="dxa"/>
            <w:shd w:val="clear" w:color="auto" w:fill="auto"/>
            <w:vAlign w:val="center"/>
          </w:tcPr>
          <w:p w14:paraId="204AD542">
            <w:pPr>
              <w:keepNext w:val="0"/>
              <w:keepLines w:val="0"/>
              <w:pageBreakBefore w:val="0"/>
              <w:widowControl/>
              <w:numPr>
                <w:ilvl w:val="0"/>
                <w:numId w:val="2"/>
              </w:numPr>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高度大于44.45mm双路或以上服务器PCIe插槽或接口应不少于10个；</w:t>
            </w:r>
          </w:p>
          <w:p w14:paraId="5B72706D">
            <w:pPr>
              <w:pStyle w:val="2"/>
              <w:numPr>
                <w:ilvl w:val="0"/>
                <w:numId w:val="2"/>
              </w:numPr>
              <w:rPr>
                <w:rFonts w:hint="eastAsia"/>
                <w:color w:val="auto"/>
                <w:lang w:val="en-US" w:eastAsia="zh-CN"/>
              </w:rPr>
            </w:pPr>
            <w:r>
              <w:rPr>
                <w:rFonts w:hint="eastAsia" w:ascii="宋体" w:hAnsi="宋体" w:eastAsia="宋体" w:cs="宋体"/>
                <w:i w:val="0"/>
                <w:iCs w:val="0"/>
                <w:color w:val="auto"/>
                <w:kern w:val="0"/>
                <w:sz w:val="21"/>
                <w:szCs w:val="21"/>
                <w:u w:val="none"/>
                <w:lang w:val="en-US" w:eastAsia="zh-CN" w:bidi="ar"/>
              </w:rPr>
              <w:t>单路服务器，本项目不涉及；</w:t>
            </w:r>
          </w:p>
        </w:tc>
        <w:tc>
          <w:tcPr>
            <w:tcW w:w="456" w:type="dxa"/>
            <w:shd w:val="clear" w:color="auto" w:fill="auto"/>
            <w:vAlign w:val="center"/>
          </w:tcPr>
          <w:p w14:paraId="56EE940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776D71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40C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D236A0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E6BF7E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0EF77FB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特殊孔位及接口</w:t>
            </w:r>
          </w:p>
        </w:tc>
        <w:tc>
          <w:tcPr>
            <w:tcW w:w="4060" w:type="dxa"/>
            <w:shd w:val="clear" w:color="auto" w:fill="auto"/>
            <w:vAlign w:val="center"/>
          </w:tcPr>
          <w:p w14:paraId="4A198407">
            <w:pPr>
              <w:keepNext w:val="0"/>
              <w:keepLines w:val="0"/>
              <w:pageBreakBefore w:val="0"/>
              <w:widowControl/>
              <w:numPr>
                <w:ilvl w:val="0"/>
                <w:numId w:val="3"/>
              </w:numPr>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特殊孔位，本项目不涉及；</w:t>
            </w:r>
          </w:p>
          <w:p w14:paraId="293CF0DA">
            <w:pPr>
              <w:pStyle w:val="2"/>
              <w:numPr>
                <w:ilvl w:val="0"/>
                <w:numId w:val="3"/>
              </w:numPr>
              <w:rPr>
                <w:rFonts w:hint="eastAsia"/>
                <w:color w:val="auto"/>
                <w:lang w:val="en-US" w:eastAsia="zh-CN"/>
              </w:rPr>
            </w:pPr>
            <w:r>
              <w:rPr>
                <w:rFonts w:hint="eastAsia" w:ascii="宋体" w:hAnsi="宋体" w:eastAsia="宋体" w:cs="宋体"/>
                <w:i w:val="0"/>
                <w:iCs w:val="0"/>
                <w:color w:val="auto"/>
                <w:kern w:val="0"/>
                <w:sz w:val="21"/>
                <w:szCs w:val="21"/>
                <w:u w:val="none"/>
                <w:lang w:val="en-US" w:eastAsia="zh-CN" w:bidi="ar"/>
              </w:rPr>
              <w:t>服务器配置USB 3.0端口≥5个；</w:t>
            </w:r>
          </w:p>
        </w:tc>
        <w:tc>
          <w:tcPr>
            <w:tcW w:w="456" w:type="dxa"/>
            <w:shd w:val="clear" w:color="auto" w:fill="auto"/>
            <w:vAlign w:val="center"/>
          </w:tcPr>
          <w:p w14:paraId="222D1D8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4BA7D2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27E1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EE3ED8C">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C28724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64FEFBF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板载网络接口</w:t>
            </w:r>
          </w:p>
        </w:tc>
        <w:tc>
          <w:tcPr>
            <w:tcW w:w="4060" w:type="dxa"/>
            <w:shd w:val="clear" w:color="auto" w:fill="auto"/>
            <w:vAlign w:val="center"/>
          </w:tcPr>
          <w:p w14:paraId="1A852F9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配置板载网络接口应不少于4个1GE 网口；</w:t>
            </w:r>
          </w:p>
        </w:tc>
        <w:tc>
          <w:tcPr>
            <w:tcW w:w="456" w:type="dxa"/>
            <w:shd w:val="clear" w:color="auto" w:fill="auto"/>
            <w:vAlign w:val="center"/>
          </w:tcPr>
          <w:p w14:paraId="43DCF74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084235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5978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792076A">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7B6496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13FE461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主板OCP 插槽数量</w:t>
            </w:r>
          </w:p>
        </w:tc>
        <w:tc>
          <w:tcPr>
            <w:tcW w:w="4060" w:type="dxa"/>
            <w:shd w:val="clear" w:color="auto" w:fill="auto"/>
            <w:vAlign w:val="center"/>
          </w:tcPr>
          <w:p w14:paraId="5A374C3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支持OCP3.0 及以上插槽的数量不少于1个；</w:t>
            </w:r>
          </w:p>
        </w:tc>
        <w:tc>
          <w:tcPr>
            <w:tcW w:w="456" w:type="dxa"/>
            <w:shd w:val="clear" w:color="auto" w:fill="auto"/>
            <w:vAlign w:val="center"/>
          </w:tcPr>
          <w:p w14:paraId="7F79A3F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47053A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A5D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EB7656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AD2E16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11BF5D9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★内存数量</w:t>
            </w:r>
          </w:p>
        </w:tc>
        <w:tc>
          <w:tcPr>
            <w:tcW w:w="4060" w:type="dxa"/>
            <w:shd w:val="clear" w:color="auto" w:fill="auto"/>
            <w:vAlign w:val="center"/>
          </w:tcPr>
          <w:p w14:paraId="736EE9E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≥8；</w:t>
            </w:r>
          </w:p>
        </w:tc>
        <w:tc>
          <w:tcPr>
            <w:tcW w:w="456" w:type="dxa"/>
            <w:shd w:val="clear" w:color="auto" w:fill="auto"/>
            <w:vAlign w:val="center"/>
          </w:tcPr>
          <w:p w14:paraId="3416354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CDAC88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CDE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CD8DE4A">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highlight w:val="none"/>
                <w:u w:val="none"/>
                <w:lang w:val="en-US" w:eastAsia="zh-CN" w:bidi="ar-SA"/>
              </w:rPr>
            </w:pPr>
          </w:p>
        </w:tc>
        <w:tc>
          <w:tcPr>
            <w:tcW w:w="836" w:type="dxa"/>
            <w:shd w:val="clear" w:color="auto" w:fill="auto"/>
            <w:vAlign w:val="center"/>
          </w:tcPr>
          <w:p w14:paraId="0AC71B4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产品规格</w:t>
            </w:r>
          </w:p>
        </w:tc>
        <w:tc>
          <w:tcPr>
            <w:tcW w:w="2209" w:type="dxa"/>
            <w:shd w:val="clear" w:color="auto" w:fill="auto"/>
            <w:vAlign w:val="center"/>
          </w:tcPr>
          <w:p w14:paraId="06AE5E1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★内存规格</w:t>
            </w:r>
          </w:p>
        </w:tc>
        <w:tc>
          <w:tcPr>
            <w:tcW w:w="4060" w:type="dxa"/>
            <w:shd w:val="clear" w:color="auto" w:fill="auto"/>
            <w:vAlign w:val="center"/>
          </w:tcPr>
          <w:p w14:paraId="10CFA5B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≥DDR4；</w:t>
            </w:r>
          </w:p>
        </w:tc>
        <w:tc>
          <w:tcPr>
            <w:tcW w:w="456" w:type="dxa"/>
            <w:shd w:val="clear" w:color="auto" w:fill="auto"/>
            <w:vAlign w:val="center"/>
          </w:tcPr>
          <w:p w14:paraId="6FCCFB3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highlight w:val="none"/>
                <w:u w:val="none"/>
                <w:lang w:val="en-US" w:eastAsia="zh-CN" w:bidi="ar-SA"/>
              </w:rPr>
            </w:pPr>
          </w:p>
        </w:tc>
        <w:tc>
          <w:tcPr>
            <w:tcW w:w="456" w:type="dxa"/>
            <w:shd w:val="clear" w:color="auto" w:fill="auto"/>
            <w:vAlign w:val="center"/>
          </w:tcPr>
          <w:p w14:paraId="0D29696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p>
        </w:tc>
      </w:tr>
      <w:tr w14:paraId="0AB7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B78463A">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6EC2DB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3D112A0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★内存通道</w:t>
            </w:r>
          </w:p>
        </w:tc>
        <w:tc>
          <w:tcPr>
            <w:tcW w:w="4060" w:type="dxa"/>
            <w:shd w:val="clear" w:color="auto" w:fill="auto"/>
            <w:vAlign w:val="center"/>
          </w:tcPr>
          <w:p w14:paraId="3F272E8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支持多个内存接口通道，每个通道可支持 1DPC 或 2DPC，当支持 2DPC 时，印制电路板上应具备插槽的序号标识，具体通道数应在随机文件中明确；</w:t>
            </w:r>
          </w:p>
          <w:p w14:paraId="6022A45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要求支持≥8个内存接口通道；</w:t>
            </w:r>
          </w:p>
        </w:tc>
        <w:tc>
          <w:tcPr>
            <w:tcW w:w="456" w:type="dxa"/>
            <w:shd w:val="clear" w:color="auto" w:fill="auto"/>
            <w:vAlign w:val="center"/>
          </w:tcPr>
          <w:p w14:paraId="10FF71F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452DEC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079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3FFBAFF">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BAF37C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53A3F39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硬盘类型</w:t>
            </w:r>
          </w:p>
        </w:tc>
        <w:tc>
          <w:tcPr>
            <w:tcW w:w="4060" w:type="dxa"/>
            <w:shd w:val="clear" w:color="auto" w:fill="auto"/>
            <w:vAlign w:val="center"/>
          </w:tcPr>
          <w:p w14:paraId="439666D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支持SAS、SATA、U.2 SSD硬盘；支持SAS、SATA HDD硬盘；</w:t>
            </w:r>
          </w:p>
        </w:tc>
        <w:tc>
          <w:tcPr>
            <w:tcW w:w="456" w:type="dxa"/>
            <w:shd w:val="clear" w:color="auto" w:fill="auto"/>
            <w:vAlign w:val="center"/>
          </w:tcPr>
          <w:p w14:paraId="4DE66CB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B201AD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74B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6AEF394">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C7A3B8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2109789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★硬磁盘实配容量</w:t>
            </w:r>
          </w:p>
        </w:tc>
        <w:tc>
          <w:tcPr>
            <w:tcW w:w="4060" w:type="dxa"/>
            <w:shd w:val="clear" w:color="auto" w:fill="auto"/>
            <w:vAlign w:val="center"/>
          </w:tcPr>
          <w:p w14:paraId="1D695F81">
            <w:pPr>
              <w:keepNext w:val="0"/>
              <w:keepLines w:val="0"/>
              <w:pageBreakBefore w:val="0"/>
              <w:widowControl/>
              <w:numPr>
                <w:ilvl w:val="-1"/>
                <w:numId w:val="0"/>
              </w:numPr>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服务器产品至少要配备三款存储设备</w:t>
            </w:r>
          </w:p>
          <w:p w14:paraId="4590A250">
            <w:pPr>
              <w:keepNext w:val="0"/>
              <w:keepLines w:val="0"/>
              <w:pageBreakBefore w:val="0"/>
              <w:widowControl/>
              <w:numPr>
                <w:ilvl w:val="-1"/>
                <w:numId w:val="0"/>
              </w:numPr>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a)配备硬磁盘：</w:t>
            </w:r>
          </w:p>
          <w:p w14:paraId="0D1E969F">
            <w:pPr>
              <w:keepNext w:val="0"/>
              <w:keepLines w:val="0"/>
              <w:pageBreakBefore w:val="0"/>
              <w:widowControl/>
              <w:numPr>
                <w:ilvl w:val="-1"/>
                <w:numId w:val="0"/>
              </w:numPr>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服务器提供的实配硬磁盘可用容量≥8TB SATA HDD硬盘；</w:t>
            </w:r>
          </w:p>
          <w:p w14:paraId="0B528DBE">
            <w:pPr>
              <w:keepNext w:val="0"/>
              <w:keepLines w:val="0"/>
              <w:pageBreakBefore w:val="0"/>
              <w:widowControl/>
              <w:numPr>
                <w:ilvl w:val="-1"/>
                <w:numId w:val="0"/>
              </w:numPr>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b)配备固态盘：</w:t>
            </w:r>
          </w:p>
          <w:p w14:paraId="075E800C">
            <w:pPr>
              <w:keepNext w:val="0"/>
              <w:keepLines w:val="0"/>
              <w:pageBreakBefore w:val="0"/>
              <w:widowControl/>
              <w:numPr>
                <w:ilvl w:val="-1"/>
                <w:numId w:val="0"/>
              </w:numPr>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实配固态盘单盘容量≥960GB SATA SSD硬盘；</w:t>
            </w:r>
          </w:p>
          <w:p w14:paraId="5FBA5837">
            <w:pPr>
              <w:keepNext w:val="0"/>
              <w:keepLines w:val="0"/>
              <w:pageBreakBefore w:val="0"/>
              <w:widowControl/>
              <w:numPr>
                <w:ilvl w:val="-1"/>
                <w:numId w:val="0"/>
              </w:numPr>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实配固态盘单盘容量≥3.84TB SAS 企业级SSD硬盘（采用MLC闪存芯片，要求与现有存储设备HPE 3par StoreServ 20850磁盘阵列兼容，能提供全容量重复数据删除和压缩功能）;</w:t>
            </w:r>
          </w:p>
          <w:p w14:paraId="27624F01">
            <w:pPr>
              <w:keepNext w:val="0"/>
              <w:keepLines w:val="0"/>
              <w:pageBreakBefore w:val="0"/>
              <w:widowControl/>
              <w:numPr>
                <w:ilvl w:val="-1"/>
                <w:numId w:val="0"/>
              </w:numPr>
              <w:suppressLineNumbers w:val="0"/>
              <w:kinsoku/>
              <w:wordWrap/>
              <w:overflowPunct/>
              <w:topLinePunct w:val="0"/>
              <w:autoSpaceDE/>
              <w:autoSpaceDN/>
              <w:bidi w:val="0"/>
              <w:adjustRightInd w:val="0"/>
              <w:snapToGrid w:val="0"/>
              <w:spacing w:before="0" w:beforeLines="0" w:after="0" w:afterLines="0" w:line="240" w:lineRule="auto"/>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投标人提供承诺函（格式自拟）</w:t>
            </w:r>
          </w:p>
        </w:tc>
        <w:tc>
          <w:tcPr>
            <w:tcW w:w="456" w:type="dxa"/>
            <w:shd w:val="clear" w:color="auto" w:fill="auto"/>
            <w:vAlign w:val="center"/>
          </w:tcPr>
          <w:p w14:paraId="08C010E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3C1F771">
            <w:pPr>
              <w:keepNext w:val="0"/>
              <w:keepLines w:val="0"/>
              <w:pageBreakBefore w:val="0"/>
              <w:widowControl/>
              <w:numPr>
                <w:ilvl w:val="-1"/>
                <w:numId w:val="0"/>
              </w:numPr>
              <w:suppressLineNumbers w:val="0"/>
              <w:kinsoku/>
              <w:wordWrap/>
              <w:overflowPunct/>
              <w:topLinePunct w:val="0"/>
              <w:autoSpaceDE/>
              <w:autoSpaceDN/>
              <w:bidi w:val="0"/>
              <w:adjustRightInd w:val="0"/>
              <w:snapToGrid w:val="0"/>
              <w:spacing w:before="0" w:beforeLines="0" w:after="0" w:afterLines="0" w:line="240" w:lineRule="auto"/>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p>
        </w:tc>
      </w:tr>
      <w:tr w14:paraId="10CA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DD1D1B2">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49ADBC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1CEFA5C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硬盘接口类型</w:t>
            </w:r>
          </w:p>
        </w:tc>
        <w:tc>
          <w:tcPr>
            <w:tcW w:w="4060" w:type="dxa"/>
            <w:shd w:val="clear" w:color="auto" w:fill="auto"/>
            <w:vAlign w:val="center"/>
          </w:tcPr>
          <w:p w14:paraId="42874A1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a)若配备硬磁盘，应提供SAS 3.0 或SATA 3.0 及以上接口；</w:t>
            </w:r>
          </w:p>
          <w:p w14:paraId="22711B6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b)若配备固态盘，应提供至少 1 种类型固态盘接口，如 UFS、SATA、PCIe、SAS等</w:t>
            </w:r>
          </w:p>
        </w:tc>
        <w:tc>
          <w:tcPr>
            <w:tcW w:w="456" w:type="dxa"/>
            <w:shd w:val="clear" w:color="auto" w:fill="auto"/>
            <w:vAlign w:val="center"/>
          </w:tcPr>
          <w:p w14:paraId="73C86C3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CE1D14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C3C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F63C1EF">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5DA76F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4544137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★硬盘实配数量</w:t>
            </w:r>
          </w:p>
        </w:tc>
        <w:tc>
          <w:tcPr>
            <w:tcW w:w="4060" w:type="dxa"/>
            <w:shd w:val="clear" w:color="auto" w:fill="auto"/>
            <w:vAlign w:val="center"/>
          </w:tcPr>
          <w:p w14:paraId="180AD27E">
            <w:pPr>
              <w:keepNext w:val="0"/>
              <w:keepLines w:val="0"/>
              <w:pageBreakBefore w:val="0"/>
              <w:widowControl/>
              <w:numPr>
                <w:ilvl w:val="-1"/>
                <w:numId w:val="0"/>
              </w:numPr>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a)配备硬磁盘，服务器提供的实配硬磁盘数量≥3块8TB SATA HDD硬盘，可实现互为备份；</w:t>
            </w:r>
          </w:p>
          <w:p w14:paraId="27AD46F9">
            <w:pPr>
              <w:keepNext w:val="0"/>
              <w:keepLines w:val="0"/>
              <w:pageBreakBefore w:val="0"/>
              <w:widowControl/>
              <w:numPr>
                <w:ilvl w:val="-1"/>
                <w:numId w:val="0"/>
              </w:numPr>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b)配备固态盘，实配盘数≥2块 960GB SATA SSD硬盘；实配盘数≥2块 3.84TB SAS 企业级SSD硬盘（采用MLC闪存芯片，要求与现有存储设备HPE 3par StoreServ 20850磁盘阵列兼容，能提供全容量重复数据删除和压缩功能）;</w:t>
            </w:r>
          </w:p>
          <w:p w14:paraId="0E6ADC1F">
            <w:pPr>
              <w:keepNext w:val="0"/>
              <w:keepLines w:val="0"/>
              <w:pageBreakBefore w:val="0"/>
              <w:widowControl/>
              <w:numPr>
                <w:ilvl w:val="-1"/>
                <w:numId w:val="0"/>
              </w:numPr>
              <w:suppressLineNumbers w:val="0"/>
              <w:kinsoku/>
              <w:wordWrap/>
              <w:overflowPunct/>
              <w:topLinePunct w:val="0"/>
              <w:autoSpaceDE/>
              <w:autoSpaceDN/>
              <w:bidi w:val="0"/>
              <w:adjustRightInd w:val="0"/>
              <w:snapToGrid w:val="0"/>
              <w:spacing w:before="0" w:beforeLines="0" w:after="0" w:afterLines="0" w:line="240" w:lineRule="auto"/>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投标人提供承诺函（格式自拟）</w:t>
            </w:r>
          </w:p>
        </w:tc>
        <w:tc>
          <w:tcPr>
            <w:tcW w:w="456" w:type="dxa"/>
            <w:shd w:val="clear" w:color="auto" w:fill="auto"/>
            <w:vAlign w:val="center"/>
          </w:tcPr>
          <w:p w14:paraId="388E1A1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C3E87C2">
            <w:pPr>
              <w:keepNext w:val="0"/>
              <w:keepLines w:val="0"/>
              <w:pageBreakBefore w:val="0"/>
              <w:widowControl/>
              <w:numPr>
                <w:ilvl w:val="-1"/>
                <w:numId w:val="0"/>
              </w:numPr>
              <w:suppressLineNumbers w:val="0"/>
              <w:kinsoku/>
              <w:wordWrap/>
              <w:overflowPunct/>
              <w:topLinePunct w:val="0"/>
              <w:autoSpaceDE/>
              <w:autoSpaceDN/>
              <w:bidi w:val="0"/>
              <w:adjustRightInd w:val="0"/>
              <w:snapToGrid w:val="0"/>
              <w:spacing w:before="0" w:beforeLines="0" w:after="0" w:afterLines="0" w:line="240" w:lineRule="auto"/>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p>
        </w:tc>
      </w:tr>
      <w:tr w14:paraId="3A6A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ADC86DA">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9F01AA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739C161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★硬盘插槽数量及规格</w:t>
            </w:r>
          </w:p>
        </w:tc>
        <w:tc>
          <w:tcPr>
            <w:tcW w:w="4060" w:type="dxa"/>
            <w:shd w:val="clear" w:color="auto" w:fill="auto"/>
            <w:vAlign w:val="center"/>
          </w:tcPr>
          <w:p w14:paraId="0386AD1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a)供应商应给出配置的硬盘尺寸，如2.5英寸、3.5英寸硬磁盘；</w:t>
            </w:r>
          </w:p>
          <w:p w14:paraId="7C814A8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b)机箱高度为88.9mm的服务器可支持的硬盘数量应不少于8块，机箱高度为 44.45mm的服务器可支持的硬盘数量应不少于4块。</w:t>
            </w:r>
          </w:p>
          <w:p w14:paraId="231823C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c)存储型服务器可支持硬盘数量应不少于24块；（本项目不涉及存储型服务器）</w:t>
            </w:r>
          </w:p>
        </w:tc>
        <w:tc>
          <w:tcPr>
            <w:tcW w:w="456" w:type="dxa"/>
            <w:shd w:val="clear" w:color="auto" w:fill="auto"/>
            <w:vAlign w:val="center"/>
          </w:tcPr>
          <w:p w14:paraId="4415663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52D398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84C6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EF40D94">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5DB115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47837B6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硬盘其他参数要求</w:t>
            </w:r>
          </w:p>
        </w:tc>
        <w:tc>
          <w:tcPr>
            <w:tcW w:w="4060" w:type="dxa"/>
            <w:shd w:val="clear" w:color="auto" w:fill="auto"/>
            <w:vAlign w:val="center"/>
          </w:tcPr>
          <w:p w14:paraId="001A8C0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a)机械硬盘准备时间应不大于30s； 侧面固定螺丝孔数量可为4孔或6孔；工作状态环境温度应满足5℃~55℃，其它参数应符合GB/T 12628的相关规定；b)若服务器支持固态盘，固态盘符合SJ/T 11654相关规定</w:t>
            </w:r>
          </w:p>
        </w:tc>
        <w:tc>
          <w:tcPr>
            <w:tcW w:w="456" w:type="dxa"/>
            <w:shd w:val="clear" w:color="auto" w:fill="auto"/>
            <w:vAlign w:val="center"/>
          </w:tcPr>
          <w:p w14:paraId="373EEE9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73D005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850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4610C3D">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261A0E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3D52B6C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RAID 卡支持的 SAS接口数</w:t>
            </w:r>
          </w:p>
        </w:tc>
        <w:tc>
          <w:tcPr>
            <w:tcW w:w="4060" w:type="dxa"/>
            <w:shd w:val="clear" w:color="auto" w:fill="auto"/>
            <w:vAlign w:val="center"/>
          </w:tcPr>
          <w:p w14:paraId="750F767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≥8</w:t>
            </w:r>
          </w:p>
        </w:tc>
        <w:tc>
          <w:tcPr>
            <w:tcW w:w="456" w:type="dxa"/>
            <w:shd w:val="clear" w:color="auto" w:fill="auto"/>
            <w:vAlign w:val="center"/>
          </w:tcPr>
          <w:p w14:paraId="18A8C77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84C33C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1BAF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D13D298">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B7BC95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7467AD4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SAS 直通卡 SAS 接口数量</w:t>
            </w:r>
          </w:p>
        </w:tc>
        <w:tc>
          <w:tcPr>
            <w:tcW w:w="4060" w:type="dxa"/>
            <w:shd w:val="clear" w:color="auto" w:fill="auto"/>
            <w:vAlign w:val="center"/>
          </w:tcPr>
          <w:p w14:paraId="7FDEB5F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≥0，本项目不涉及；</w:t>
            </w:r>
          </w:p>
        </w:tc>
        <w:tc>
          <w:tcPr>
            <w:tcW w:w="456" w:type="dxa"/>
            <w:shd w:val="clear" w:color="auto" w:fill="auto"/>
            <w:vAlign w:val="center"/>
          </w:tcPr>
          <w:p w14:paraId="3D14424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9F189D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8928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A88E3AE">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80905A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1784027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HBA 卡端口数量</w:t>
            </w:r>
          </w:p>
        </w:tc>
        <w:tc>
          <w:tcPr>
            <w:tcW w:w="4060" w:type="dxa"/>
            <w:shd w:val="clear" w:color="auto" w:fill="auto"/>
            <w:vAlign w:val="center"/>
          </w:tcPr>
          <w:p w14:paraId="06B0759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配置≥2块1端口16Gb光纤通道HBA卡(带一个SFP+ 模块)</w:t>
            </w:r>
          </w:p>
        </w:tc>
        <w:tc>
          <w:tcPr>
            <w:tcW w:w="456" w:type="dxa"/>
            <w:shd w:val="clear" w:color="auto" w:fill="auto"/>
            <w:vAlign w:val="center"/>
          </w:tcPr>
          <w:p w14:paraId="2712A65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75FB6D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7BC9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EA121A4">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131B79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72C5483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★网口速率和数量</w:t>
            </w:r>
          </w:p>
        </w:tc>
        <w:tc>
          <w:tcPr>
            <w:tcW w:w="4060" w:type="dxa"/>
            <w:shd w:val="clear" w:color="auto" w:fill="auto"/>
            <w:vAlign w:val="center"/>
          </w:tcPr>
          <w:p w14:paraId="077A62B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配备网口数量不少于4个（2张2端口10Gb/s光接口网卡，含万兆多模光模块），且网口速率不少于10GE</w:t>
            </w:r>
          </w:p>
        </w:tc>
        <w:tc>
          <w:tcPr>
            <w:tcW w:w="456" w:type="dxa"/>
            <w:shd w:val="clear" w:color="auto" w:fill="auto"/>
            <w:vAlign w:val="center"/>
          </w:tcPr>
          <w:p w14:paraId="6C83019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BDF830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6A7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204021D">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A36C85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54AD9AE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存储型服务器网口速率和数量</w:t>
            </w:r>
          </w:p>
        </w:tc>
        <w:tc>
          <w:tcPr>
            <w:tcW w:w="4060" w:type="dxa"/>
            <w:shd w:val="clear" w:color="auto" w:fill="auto"/>
            <w:vAlign w:val="center"/>
          </w:tcPr>
          <w:p w14:paraId="460496F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存储型服务器，本项目不涉及；</w:t>
            </w:r>
          </w:p>
        </w:tc>
        <w:tc>
          <w:tcPr>
            <w:tcW w:w="456" w:type="dxa"/>
            <w:shd w:val="clear" w:color="auto" w:fill="auto"/>
            <w:vAlign w:val="center"/>
          </w:tcPr>
          <w:p w14:paraId="1FC97C9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305164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212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4D1D79D">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A8BB60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5B15F5E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独立网卡网口数量</w:t>
            </w:r>
          </w:p>
        </w:tc>
        <w:tc>
          <w:tcPr>
            <w:tcW w:w="4060" w:type="dxa"/>
            <w:shd w:val="clear" w:color="auto" w:fill="auto"/>
            <w:vAlign w:val="center"/>
          </w:tcPr>
          <w:p w14:paraId="211EFD3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若配备独立网卡，独立网卡网口数量≥2个；</w:t>
            </w:r>
          </w:p>
        </w:tc>
        <w:tc>
          <w:tcPr>
            <w:tcW w:w="456" w:type="dxa"/>
            <w:shd w:val="clear" w:color="auto" w:fill="auto"/>
            <w:vAlign w:val="center"/>
          </w:tcPr>
          <w:p w14:paraId="54AED05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75EF9E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4370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28EDF51">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420383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2E4C6B2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独立网卡接口类型</w:t>
            </w:r>
          </w:p>
        </w:tc>
        <w:tc>
          <w:tcPr>
            <w:tcW w:w="4060" w:type="dxa"/>
            <w:shd w:val="clear" w:color="auto" w:fill="auto"/>
            <w:vAlign w:val="center"/>
          </w:tcPr>
          <w:p w14:paraId="503CFD8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支持RJ45/QSFP/SFP等；</w:t>
            </w:r>
          </w:p>
        </w:tc>
        <w:tc>
          <w:tcPr>
            <w:tcW w:w="456" w:type="dxa"/>
            <w:shd w:val="clear" w:color="auto" w:fill="auto"/>
            <w:vAlign w:val="center"/>
          </w:tcPr>
          <w:p w14:paraId="7187DB9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84B9E0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B1D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D2946D8">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7B6ADC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3863FAF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板载网卡接口类型</w:t>
            </w:r>
          </w:p>
        </w:tc>
        <w:tc>
          <w:tcPr>
            <w:tcW w:w="4060" w:type="dxa"/>
            <w:shd w:val="clear" w:color="auto" w:fill="auto"/>
            <w:vAlign w:val="center"/>
          </w:tcPr>
          <w:p w14:paraId="626E166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支持RJ45/QSFP/SFP等；</w:t>
            </w:r>
          </w:p>
        </w:tc>
        <w:tc>
          <w:tcPr>
            <w:tcW w:w="456" w:type="dxa"/>
            <w:shd w:val="clear" w:color="auto" w:fill="auto"/>
            <w:vAlign w:val="center"/>
          </w:tcPr>
          <w:p w14:paraId="56B58E9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C13854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5DF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C87589D">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755C97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167B2AA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★显示接口</w:t>
            </w:r>
          </w:p>
        </w:tc>
        <w:tc>
          <w:tcPr>
            <w:tcW w:w="4060" w:type="dxa"/>
            <w:shd w:val="clear" w:color="auto" w:fill="auto"/>
            <w:vAlign w:val="center"/>
          </w:tcPr>
          <w:p w14:paraId="62BFC03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显示接口类型应不少于1种，如： VGA、DP、HDMI等</w:t>
            </w:r>
          </w:p>
        </w:tc>
        <w:tc>
          <w:tcPr>
            <w:tcW w:w="456" w:type="dxa"/>
            <w:shd w:val="clear" w:color="auto" w:fill="auto"/>
            <w:vAlign w:val="center"/>
          </w:tcPr>
          <w:p w14:paraId="0AC7C1B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EBB6FF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3AA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49BCA83">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A640F1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56F2755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★USB 接口</w:t>
            </w:r>
          </w:p>
        </w:tc>
        <w:tc>
          <w:tcPr>
            <w:tcW w:w="4060" w:type="dxa"/>
            <w:shd w:val="clear" w:color="auto" w:fill="auto"/>
            <w:vAlign w:val="center"/>
          </w:tcPr>
          <w:p w14:paraId="7DA913F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要求支持≥5个USB 3.0接口；</w:t>
            </w:r>
          </w:p>
        </w:tc>
        <w:tc>
          <w:tcPr>
            <w:tcW w:w="456" w:type="dxa"/>
            <w:shd w:val="clear" w:color="auto" w:fill="auto"/>
            <w:vAlign w:val="center"/>
          </w:tcPr>
          <w:p w14:paraId="07C9D80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BF7928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4CF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4790BE1">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8003DE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3B5C670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特殊接口及孔位</w:t>
            </w:r>
          </w:p>
        </w:tc>
        <w:tc>
          <w:tcPr>
            <w:tcW w:w="4060" w:type="dxa"/>
            <w:shd w:val="clear" w:color="auto" w:fill="auto"/>
            <w:vAlign w:val="center"/>
          </w:tcPr>
          <w:p w14:paraId="141B316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支持后部独立的管理端口；</w:t>
            </w:r>
          </w:p>
        </w:tc>
        <w:tc>
          <w:tcPr>
            <w:tcW w:w="456" w:type="dxa"/>
            <w:shd w:val="clear" w:color="auto" w:fill="auto"/>
            <w:vAlign w:val="center"/>
          </w:tcPr>
          <w:p w14:paraId="6CF6A4D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B9DAEE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365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F868CC1">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01F8E6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2209" w:type="dxa"/>
            <w:shd w:val="clear" w:color="auto" w:fill="auto"/>
            <w:vAlign w:val="center"/>
          </w:tcPr>
          <w:p w14:paraId="2893939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其他接口</w:t>
            </w:r>
          </w:p>
        </w:tc>
        <w:tc>
          <w:tcPr>
            <w:tcW w:w="4060" w:type="dxa"/>
            <w:shd w:val="clear" w:color="auto" w:fill="auto"/>
            <w:vAlign w:val="center"/>
          </w:tcPr>
          <w:p w14:paraId="006E916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标配1个串口；</w:t>
            </w:r>
          </w:p>
        </w:tc>
        <w:tc>
          <w:tcPr>
            <w:tcW w:w="456" w:type="dxa"/>
            <w:shd w:val="clear" w:color="auto" w:fill="auto"/>
            <w:vAlign w:val="center"/>
          </w:tcPr>
          <w:p w14:paraId="3EDDE70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BD0724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A46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91BB9E7">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0F3183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60AE1A5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电源冗余模式</w:t>
            </w:r>
          </w:p>
        </w:tc>
        <w:tc>
          <w:tcPr>
            <w:tcW w:w="4060" w:type="dxa"/>
            <w:shd w:val="clear" w:color="auto" w:fill="auto"/>
            <w:vAlign w:val="center"/>
          </w:tcPr>
          <w:p w14:paraId="2B9AAF2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整机电源模块按1+1冗余或N+1冗余配置；</w:t>
            </w:r>
          </w:p>
        </w:tc>
        <w:tc>
          <w:tcPr>
            <w:tcW w:w="456" w:type="dxa"/>
            <w:shd w:val="clear" w:color="auto" w:fill="auto"/>
            <w:vAlign w:val="center"/>
          </w:tcPr>
          <w:p w14:paraId="74458AB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8C255D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297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D170AE0">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C18E5C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75E0651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★电源模块数量</w:t>
            </w:r>
          </w:p>
        </w:tc>
        <w:tc>
          <w:tcPr>
            <w:tcW w:w="4060" w:type="dxa"/>
            <w:shd w:val="clear" w:color="auto" w:fill="auto"/>
            <w:vAlign w:val="center"/>
          </w:tcPr>
          <w:p w14:paraId="1005FA7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电源模块数量≥2个；</w:t>
            </w:r>
          </w:p>
        </w:tc>
        <w:tc>
          <w:tcPr>
            <w:tcW w:w="456" w:type="dxa"/>
            <w:shd w:val="clear" w:color="auto" w:fill="auto"/>
            <w:vAlign w:val="center"/>
          </w:tcPr>
          <w:p w14:paraId="788EE74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47F908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6EA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725A270">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4336E8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0E35D2D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★电源功率</w:t>
            </w:r>
          </w:p>
        </w:tc>
        <w:tc>
          <w:tcPr>
            <w:tcW w:w="4060" w:type="dxa"/>
            <w:shd w:val="clear" w:color="auto" w:fill="auto"/>
            <w:vAlign w:val="center"/>
          </w:tcPr>
          <w:p w14:paraId="105C0D0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电源模块功率应有一定冗余，满足处理器满载时的需求；</w:t>
            </w:r>
          </w:p>
          <w:p w14:paraId="3308F66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配置≥1300W交流&amp;240V高压直流电源模块；</w:t>
            </w:r>
          </w:p>
        </w:tc>
        <w:tc>
          <w:tcPr>
            <w:tcW w:w="456" w:type="dxa"/>
            <w:shd w:val="clear" w:color="auto" w:fill="auto"/>
            <w:vAlign w:val="center"/>
          </w:tcPr>
          <w:p w14:paraId="108B6AB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6EFE7A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52D3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B28DE1D">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EFF057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2652817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电源指示灯</w:t>
            </w:r>
          </w:p>
        </w:tc>
        <w:tc>
          <w:tcPr>
            <w:tcW w:w="4060" w:type="dxa"/>
            <w:shd w:val="clear" w:color="auto" w:fill="auto"/>
            <w:vAlign w:val="center"/>
          </w:tcPr>
          <w:p w14:paraId="403A1CF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配备电源指示灯，指示待机、工作异常等状态；</w:t>
            </w:r>
          </w:p>
        </w:tc>
        <w:tc>
          <w:tcPr>
            <w:tcW w:w="456" w:type="dxa"/>
            <w:shd w:val="clear" w:color="auto" w:fill="auto"/>
            <w:vAlign w:val="center"/>
          </w:tcPr>
          <w:p w14:paraId="42C98C8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17EA95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C24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7" w:hRule="atLeast"/>
        </w:trPr>
        <w:tc>
          <w:tcPr>
            <w:tcW w:w="505" w:type="dxa"/>
            <w:shd w:val="clear" w:color="auto" w:fill="auto"/>
            <w:vAlign w:val="center"/>
          </w:tcPr>
          <w:p w14:paraId="649ABCCE">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9E0052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7334ED9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★外观和结构</w:t>
            </w:r>
          </w:p>
        </w:tc>
        <w:tc>
          <w:tcPr>
            <w:tcW w:w="4060" w:type="dxa"/>
            <w:shd w:val="clear" w:color="auto" w:fill="auto"/>
            <w:vAlign w:val="center"/>
          </w:tcPr>
          <w:p w14:paraId="1CFB6C7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a)服务器的零部件应紧固无松动， 可插拔部件应可靠连接，开关、按钮和其它控制部件应灵活可靠，布局应方便使用；</w:t>
            </w:r>
          </w:p>
          <w:p w14:paraId="65CC97A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b)产品表面不应有明显的凹痕、划伤、裂缝、变形和污染等。表面涂层均匀，不应起泡、龟裂、脱落和磨损，金属零部件无锈蚀及其它机械损伤；</w:t>
            </w:r>
          </w:p>
          <w:p w14:paraId="3A0448A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c)产品表面说明功能的文字、符号和标志应清晰、端正且牢固；</w:t>
            </w:r>
          </w:p>
          <w:p w14:paraId="02AE295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d)在服务器的显著位置提供运行状态的指示功能，并在随机文件中明确具体含义；</w:t>
            </w:r>
          </w:p>
          <w:p w14:paraId="134CE95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e)机架、机箱的尺寸应符合通用机柜的安装要求，插入总线插座的电路板接口外形尺寸应符合有关总线标准的规定，将机箱固定在机柜上， 机箱底面最大下垂变形不得干涉相邻机体；</w:t>
            </w:r>
          </w:p>
          <w:p w14:paraId="4661203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f)高密度服务器应给出CPU个数与机柜高度；本项目不涉及；</w:t>
            </w:r>
          </w:p>
          <w:p w14:paraId="329F5C1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g)服务器尺寸具体要求在文件中明确；</w:t>
            </w:r>
          </w:p>
        </w:tc>
        <w:tc>
          <w:tcPr>
            <w:tcW w:w="456" w:type="dxa"/>
            <w:shd w:val="clear" w:color="auto" w:fill="auto"/>
            <w:vAlign w:val="center"/>
          </w:tcPr>
          <w:p w14:paraId="54AB449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3B2E0C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4C28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9650F37">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7735DF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66E3C67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★尺寸（高×宽×深）</w:t>
            </w:r>
          </w:p>
        </w:tc>
        <w:tc>
          <w:tcPr>
            <w:tcW w:w="4060" w:type="dxa"/>
            <w:shd w:val="clear" w:color="auto" w:fill="auto"/>
            <w:vAlign w:val="center"/>
          </w:tcPr>
          <w:p w14:paraId="058014D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服务器高度≥2U</w:t>
            </w:r>
            <w:r>
              <w:rPr>
                <w:rFonts w:hint="eastAsia" w:ascii="宋体" w:hAnsi="宋体" w:cs="宋体"/>
                <w:i w:val="0"/>
                <w:iCs w:val="0"/>
                <w:color w:val="auto"/>
                <w:kern w:val="0"/>
                <w:sz w:val="21"/>
                <w:szCs w:val="21"/>
                <w:u w:val="none"/>
                <w:lang w:val="en-US" w:eastAsia="zh-CN" w:bidi="ar"/>
              </w:rPr>
              <w:t>；设计应遵循标准化、系列化的要求； 机箱的内部结构符合通用部件的安装需要；</w:t>
            </w:r>
          </w:p>
        </w:tc>
        <w:tc>
          <w:tcPr>
            <w:tcW w:w="456" w:type="dxa"/>
            <w:shd w:val="clear" w:color="auto" w:fill="auto"/>
            <w:vAlign w:val="center"/>
          </w:tcPr>
          <w:p w14:paraId="5948129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A161EE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AA0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FA3079C">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971611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641DB36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服务器导轨</w:t>
            </w:r>
          </w:p>
        </w:tc>
        <w:tc>
          <w:tcPr>
            <w:tcW w:w="4060" w:type="dxa"/>
            <w:shd w:val="clear" w:color="auto" w:fill="auto"/>
            <w:vAlign w:val="center"/>
          </w:tcPr>
          <w:p w14:paraId="4D85B0C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配置服务器专用安装导轨；</w:t>
            </w:r>
          </w:p>
        </w:tc>
        <w:tc>
          <w:tcPr>
            <w:tcW w:w="456" w:type="dxa"/>
            <w:shd w:val="clear" w:color="auto" w:fill="auto"/>
            <w:vAlign w:val="center"/>
          </w:tcPr>
          <w:p w14:paraId="6724A44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8D3205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4C1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8D882E8">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DC3844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7EC5EBF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CPU 个数与机柜高度单位(U) 比</w:t>
            </w:r>
          </w:p>
        </w:tc>
        <w:tc>
          <w:tcPr>
            <w:tcW w:w="4060" w:type="dxa"/>
            <w:shd w:val="clear" w:color="auto" w:fill="auto"/>
            <w:vAlign w:val="center"/>
          </w:tcPr>
          <w:p w14:paraId="20F78FE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65AE29D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08F9B8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D0C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FD70F41">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5F9752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3356D2A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★环境适应性</w:t>
            </w:r>
          </w:p>
        </w:tc>
        <w:tc>
          <w:tcPr>
            <w:tcW w:w="4060" w:type="dxa"/>
            <w:shd w:val="clear" w:color="auto" w:fill="auto"/>
            <w:vAlign w:val="center"/>
          </w:tcPr>
          <w:p w14:paraId="2E2DAC1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气候环境适应性应符合GB/T 9813.3 的有关规定，工作温度 10～35℃，贮存运输温度-40～55℃；工作相对湿度 35%～80%，贮存运输相对湿度 20％～93%（40℃）；大气压86～106kPa；</w:t>
            </w:r>
          </w:p>
        </w:tc>
        <w:tc>
          <w:tcPr>
            <w:tcW w:w="456" w:type="dxa"/>
            <w:shd w:val="clear" w:color="auto" w:fill="auto"/>
            <w:vAlign w:val="center"/>
          </w:tcPr>
          <w:p w14:paraId="7CB09C3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4D2D5E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6D4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CFF597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A758ED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408B27C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特殊机型环境适应性</w:t>
            </w:r>
          </w:p>
        </w:tc>
        <w:tc>
          <w:tcPr>
            <w:tcW w:w="4060" w:type="dxa"/>
            <w:shd w:val="clear" w:color="auto" w:fill="auto"/>
            <w:vAlign w:val="center"/>
          </w:tcPr>
          <w:p w14:paraId="69D44CF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7BBFE33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7945A7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033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ABC12D0">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D50C02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7B000AB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★机械环境适应性</w:t>
            </w:r>
          </w:p>
        </w:tc>
        <w:tc>
          <w:tcPr>
            <w:tcW w:w="4060" w:type="dxa"/>
            <w:shd w:val="clear" w:color="auto" w:fill="auto"/>
            <w:vAlign w:val="center"/>
          </w:tcPr>
          <w:p w14:paraId="1F58DA7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机械环境适应性应符合GB/T 9813.3的有关规定；</w:t>
            </w:r>
          </w:p>
        </w:tc>
        <w:tc>
          <w:tcPr>
            <w:tcW w:w="456" w:type="dxa"/>
            <w:shd w:val="clear" w:color="auto" w:fill="auto"/>
            <w:vAlign w:val="center"/>
          </w:tcPr>
          <w:p w14:paraId="4D0AD9E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5486E1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B71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98F338E">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45E557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517CB7A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★噪声</w:t>
            </w:r>
          </w:p>
        </w:tc>
        <w:tc>
          <w:tcPr>
            <w:tcW w:w="4060" w:type="dxa"/>
            <w:shd w:val="clear" w:color="auto" w:fill="auto"/>
            <w:vAlign w:val="center"/>
          </w:tcPr>
          <w:p w14:paraId="303C364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符合GB/T 9813.3 的有关规定；</w:t>
            </w:r>
          </w:p>
        </w:tc>
        <w:tc>
          <w:tcPr>
            <w:tcW w:w="456" w:type="dxa"/>
            <w:shd w:val="clear" w:color="auto" w:fill="auto"/>
            <w:vAlign w:val="center"/>
          </w:tcPr>
          <w:p w14:paraId="3BFE471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7225FD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0F1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505" w:type="dxa"/>
            <w:shd w:val="clear" w:color="auto" w:fill="auto"/>
            <w:vAlign w:val="center"/>
          </w:tcPr>
          <w:p w14:paraId="0688A53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8AABC2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7A4FA96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AI 计算单元</w:t>
            </w:r>
          </w:p>
        </w:tc>
        <w:tc>
          <w:tcPr>
            <w:tcW w:w="4060" w:type="dxa"/>
            <w:shd w:val="clear" w:color="auto" w:fill="auto"/>
            <w:vAlign w:val="center"/>
          </w:tcPr>
          <w:p w14:paraId="188A303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若配备AI 计算单元应符合如下要求：a)  具备人工智能加速处理器，本项目不涉及；</w:t>
            </w:r>
          </w:p>
          <w:p w14:paraId="7F7027C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b)  单推理卡或模块，本项目不涉及；</w:t>
            </w:r>
          </w:p>
        </w:tc>
        <w:tc>
          <w:tcPr>
            <w:tcW w:w="456" w:type="dxa"/>
            <w:shd w:val="clear" w:color="auto" w:fill="auto"/>
            <w:vAlign w:val="center"/>
          </w:tcPr>
          <w:p w14:paraId="0378326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DFC14E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36D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6EC8841">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6691DD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3055755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一键式迁移</w:t>
            </w:r>
          </w:p>
        </w:tc>
        <w:tc>
          <w:tcPr>
            <w:tcW w:w="4060" w:type="dxa"/>
            <w:shd w:val="clear" w:color="auto" w:fill="auto"/>
            <w:vAlign w:val="center"/>
          </w:tcPr>
          <w:p w14:paraId="0E4903A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若服务器配备AI计算单元，提供训练脚本迁移工具；本项目不涉及；</w:t>
            </w:r>
          </w:p>
        </w:tc>
        <w:tc>
          <w:tcPr>
            <w:tcW w:w="456" w:type="dxa"/>
            <w:shd w:val="clear" w:color="auto" w:fill="auto"/>
            <w:vAlign w:val="center"/>
          </w:tcPr>
          <w:p w14:paraId="1D0A4DA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4E5BF7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73A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EB466F4">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5D0E84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7F2CD9A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★机柜尺寸</w:t>
            </w:r>
          </w:p>
        </w:tc>
        <w:tc>
          <w:tcPr>
            <w:tcW w:w="4060" w:type="dxa"/>
            <w:shd w:val="clear" w:color="auto" w:fill="auto"/>
            <w:vAlign w:val="center"/>
          </w:tcPr>
          <w:p w14:paraId="468730F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0AD74DA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C9BA7F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407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952530B">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F4671D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6B08812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机柜管理板</w:t>
            </w:r>
          </w:p>
        </w:tc>
        <w:tc>
          <w:tcPr>
            <w:tcW w:w="4060" w:type="dxa"/>
            <w:shd w:val="clear" w:color="auto" w:fill="auto"/>
            <w:vAlign w:val="center"/>
          </w:tcPr>
          <w:p w14:paraId="3770C5E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1C61545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8428F1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3BE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D6E6907">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09FCDC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产品规格</w:t>
            </w:r>
          </w:p>
        </w:tc>
        <w:tc>
          <w:tcPr>
            <w:tcW w:w="2209" w:type="dxa"/>
            <w:shd w:val="clear" w:color="auto" w:fill="auto"/>
            <w:vAlign w:val="center"/>
          </w:tcPr>
          <w:p w14:paraId="4BBFDC8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机柜电源规格</w:t>
            </w:r>
          </w:p>
        </w:tc>
        <w:tc>
          <w:tcPr>
            <w:tcW w:w="4060" w:type="dxa"/>
            <w:shd w:val="clear" w:color="auto" w:fill="auto"/>
            <w:vAlign w:val="center"/>
          </w:tcPr>
          <w:p w14:paraId="48049C6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691230D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5248F7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BFC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746425E">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F4409F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5180209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★主板外部接口种类</w:t>
            </w:r>
          </w:p>
        </w:tc>
        <w:tc>
          <w:tcPr>
            <w:tcW w:w="4060" w:type="dxa"/>
            <w:shd w:val="clear" w:color="auto" w:fill="auto"/>
            <w:vAlign w:val="center"/>
          </w:tcPr>
          <w:p w14:paraId="34C8CA3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支持USB、显示、管理等接口；</w:t>
            </w:r>
          </w:p>
        </w:tc>
        <w:tc>
          <w:tcPr>
            <w:tcW w:w="456" w:type="dxa"/>
            <w:shd w:val="clear" w:color="auto" w:fill="auto"/>
            <w:vAlign w:val="center"/>
          </w:tcPr>
          <w:p w14:paraId="7297294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E09847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628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2A02692">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8B20C5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3147FB0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主板防烧板设计</w:t>
            </w:r>
          </w:p>
        </w:tc>
        <w:tc>
          <w:tcPr>
            <w:tcW w:w="4060" w:type="dxa"/>
            <w:shd w:val="clear" w:color="auto" w:fill="auto"/>
            <w:vAlign w:val="center"/>
          </w:tcPr>
          <w:p w14:paraId="7B58004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支持主板防烧板设计，保证电源故障后不扩散；</w:t>
            </w:r>
          </w:p>
        </w:tc>
        <w:tc>
          <w:tcPr>
            <w:tcW w:w="456" w:type="dxa"/>
            <w:shd w:val="clear" w:color="auto" w:fill="auto"/>
            <w:vAlign w:val="center"/>
          </w:tcPr>
          <w:p w14:paraId="57C4B36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2BBFC1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E83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7B2BEAC">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8D4F0B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1C13DDE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扩展功能</w:t>
            </w:r>
          </w:p>
        </w:tc>
        <w:tc>
          <w:tcPr>
            <w:tcW w:w="4060" w:type="dxa"/>
            <w:shd w:val="clear" w:color="auto" w:fill="auto"/>
            <w:vAlign w:val="center"/>
          </w:tcPr>
          <w:p w14:paraId="59BEB91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实现至少一种扩展功能，如存储功能卡、显示功能卡、运算加速功能卡及网络功能卡等扩展功能；</w:t>
            </w:r>
          </w:p>
        </w:tc>
        <w:tc>
          <w:tcPr>
            <w:tcW w:w="456" w:type="dxa"/>
            <w:shd w:val="clear" w:color="auto" w:fill="auto"/>
            <w:vAlign w:val="center"/>
          </w:tcPr>
          <w:p w14:paraId="2F8768D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7112B7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5123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7F5D82D">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2D8774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67BB286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★网络功能</w:t>
            </w:r>
          </w:p>
        </w:tc>
        <w:tc>
          <w:tcPr>
            <w:tcW w:w="4060" w:type="dxa"/>
            <w:shd w:val="clear" w:color="auto" w:fill="auto"/>
            <w:vAlign w:val="center"/>
          </w:tcPr>
          <w:p w14:paraId="618307C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支持网络连接、网络访问、数据交换和网络管控功能；</w:t>
            </w:r>
          </w:p>
        </w:tc>
        <w:tc>
          <w:tcPr>
            <w:tcW w:w="456" w:type="dxa"/>
            <w:shd w:val="clear" w:color="auto" w:fill="auto"/>
            <w:vAlign w:val="center"/>
          </w:tcPr>
          <w:p w14:paraId="1645114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70C5AF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EFFA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344C8AD">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E6760E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58706D8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★计算处理</w:t>
            </w:r>
          </w:p>
        </w:tc>
        <w:tc>
          <w:tcPr>
            <w:tcW w:w="4060" w:type="dxa"/>
            <w:shd w:val="clear" w:color="auto" w:fill="auto"/>
            <w:vAlign w:val="center"/>
          </w:tcPr>
          <w:p w14:paraId="65E6DFF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支持通用计算及虚拟化功能。处理器需集成整型计算单元、浮点计算单元、内存控制器、I/O 模块等，处理器与存储部件、网络部件、I/O 部件等组成计算系统，提供数据处理、网络接入等计算相关功能</w:t>
            </w:r>
          </w:p>
        </w:tc>
        <w:tc>
          <w:tcPr>
            <w:tcW w:w="456" w:type="dxa"/>
            <w:shd w:val="clear" w:color="auto" w:fill="auto"/>
            <w:vAlign w:val="center"/>
          </w:tcPr>
          <w:p w14:paraId="1D51386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2DB6F1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496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1E0CD5C">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D73269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60C57E1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★密码算法实现</w:t>
            </w:r>
          </w:p>
        </w:tc>
        <w:tc>
          <w:tcPr>
            <w:tcW w:w="4060" w:type="dxa"/>
            <w:shd w:val="clear" w:color="auto" w:fill="auto"/>
            <w:vAlign w:val="center"/>
          </w:tcPr>
          <w:p w14:paraId="70ACD6C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CPU 芯片应符合GM/T 0008 的相关规定，或芯片密码模块应符合GB/T 37092 或 GM/T 0028 的相关规定；</w:t>
            </w:r>
          </w:p>
        </w:tc>
        <w:tc>
          <w:tcPr>
            <w:tcW w:w="456" w:type="dxa"/>
            <w:shd w:val="clear" w:color="auto" w:fill="auto"/>
            <w:vAlign w:val="center"/>
          </w:tcPr>
          <w:p w14:paraId="705A69D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A0E01E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735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F6F7A80">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65FACB5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7B194D0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4060" w:type="dxa"/>
            <w:shd w:val="clear" w:color="auto" w:fill="auto"/>
            <w:vAlign w:val="center"/>
          </w:tcPr>
          <w:p w14:paraId="64F193B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▲投标服务器所配备的CPU（中央处理器）内置密码模块或密码协处理器，可实现SM2、SM3和SM4国密算法的硬件加速。提供投标服务器所配备的CPU（中央处理器）具有上述密码技术特性的证明材料（投标人提供承诺函</w:t>
            </w:r>
            <w:r>
              <w:rPr>
                <w:rFonts w:hint="eastAsia" w:ascii="宋体" w:hAnsi="宋体" w:cs="宋体"/>
                <w:i w:val="0"/>
                <w:iCs w:val="0"/>
                <w:color w:val="auto"/>
                <w:kern w:val="0"/>
                <w:sz w:val="21"/>
                <w:szCs w:val="21"/>
                <w:u w:val="none"/>
                <w:lang w:val="en-US" w:eastAsia="zh-CN" w:bidi="ar"/>
              </w:rPr>
              <w:t>，格式自拟</w:t>
            </w:r>
            <w:r>
              <w:rPr>
                <w:rFonts w:hint="eastAsia" w:ascii="宋体" w:hAnsi="宋体" w:eastAsia="宋体" w:cs="宋体"/>
                <w:i w:val="0"/>
                <w:iCs w:val="0"/>
                <w:color w:val="auto"/>
                <w:kern w:val="0"/>
                <w:sz w:val="21"/>
                <w:szCs w:val="21"/>
                <w:u w:val="none"/>
                <w:lang w:val="en-US" w:eastAsia="zh-CN" w:bidi="ar"/>
              </w:rPr>
              <w:t>）。</w:t>
            </w:r>
          </w:p>
        </w:tc>
        <w:tc>
          <w:tcPr>
            <w:tcW w:w="456" w:type="dxa"/>
            <w:shd w:val="clear" w:color="auto" w:fill="auto"/>
            <w:vAlign w:val="center"/>
          </w:tcPr>
          <w:p w14:paraId="6DCFF56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A19AC3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D557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BBB3DC8">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5B14BA57">
            <w:pPr>
              <w:rPr>
                <w:rFonts w:hint="eastAsia" w:asciiTheme="minorHAnsi" w:hAnsiTheme="minorHAnsi" w:eastAsiaTheme="minorEastAsia" w:cstheme="minorBidi"/>
                <w:color w:val="auto"/>
                <w:kern w:val="2"/>
                <w:sz w:val="21"/>
                <w:szCs w:val="24"/>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6229F89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4060" w:type="dxa"/>
            <w:shd w:val="clear" w:color="auto" w:fill="auto"/>
            <w:vAlign w:val="center"/>
          </w:tcPr>
          <w:p w14:paraId="23C7F52E">
            <w:pPr>
              <w:tabs>
                <w:tab w:val="left" w:pos="959"/>
              </w:tabs>
              <w:rPr>
                <w:rFonts w:hint="eastAsia" w:asciiTheme="minorHAnsi" w:hAnsiTheme="minorHAnsi" w:eastAsiaTheme="minorEastAsia" w:cstheme="minorBidi"/>
                <w:color w:val="auto"/>
                <w:kern w:val="2"/>
                <w:sz w:val="21"/>
                <w:szCs w:val="24"/>
                <w:lang w:val="en-US" w:eastAsia="zh-CN" w:bidi="ar-SA"/>
              </w:rPr>
            </w:pPr>
            <w:r>
              <w:rPr>
                <w:rFonts w:hint="eastAsia" w:cstheme="minorBidi"/>
                <w:color w:val="auto"/>
                <w:kern w:val="2"/>
                <w:sz w:val="21"/>
                <w:szCs w:val="24"/>
                <w:lang w:val="en-US" w:eastAsia="zh-CN" w:bidi="ar-SA"/>
              </w:rPr>
              <w:t>提供所投设备所配备的CPU（中央处理器）密码技术特性企业站点级许可，可调用CPU内置的密码模块或密码协处理器实现SM2/SM3/SM4算法的硬件加速，本次授权CPU数量≥2。要求投标人提供承诺函，格式自拟。</w:t>
            </w:r>
          </w:p>
        </w:tc>
        <w:tc>
          <w:tcPr>
            <w:tcW w:w="456" w:type="dxa"/>
            <w:shd w:val="clear" w:color="auto" w:fill="auto"/>
            <w:vAlign w:val="center"/>
          </w:tcPr>
          <w:p w14:paraId="0BEACED9">
            <w:pPr>
              <w:rPr>
                <w:rFonts w:hint="eastAsia" w:asciiTheme="minorHAnsi" w:hAnsiTheme="minorHAnsi" w:eastAsiaTheme="minorEastAsia" w:cstheme="minorBidi"/>
                <w:color w:val="auto"/>
                <w:kern w:val="2"/>
                <w:sz w:val="21"/>
                <w:szCs w:val="24"/>
                <w:lang w:val="en-US" w:eastAsia="zh-CN" w:bidi="ar-SA"/>
              </w:rPr>
            </w:pPr>
          </w:p>
        </w:tc>
        <w:tc>
          <w:tcPr>
            <w:tcW w:w="456" w:type="dxa"/>
            <w:shd w:val="clear" w:color="auto" w:fill="auto"/>
            <w:vAlign w:val="center"/>
          </w:tcPr>
          <w:p w14:paraId="5F7D95AD">
            <w:pPr>
              <w:rPr>
                <w:rFonts w:hint="eastAsia" w:asciiTheme="minorHAnsi" w:hAnsiTheme="minorHAnsi" w:eastAsiaTheme="minorEastAsia" w:cstheme="minorBidi"/>
                <w:color w:val="auto"/>
                <w:kern w:val="2"/>
                <w:sz w:val="21"/>
                <w:szCs w:val="24"/>
                <w:lang w:val="en-US" w:eastAsia="zh-CN" w:bidi="ar-SA"/>
              </w:rPr>
            </w:pPr>
          </w:p>
        </w:tc>
      </w:tr>
      <w:tr w14:paraId="44E63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06EB9D6">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5DA9B5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3592C85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内存校验</w:t>
            </w:r>
          </w:p>
        </w:tc>
        <w:tc>
          <w:tcPr>
            <w:tcW w:w="4060" w:type="dxa"/>
            <w:shd w:val="clear" w:color="auto" w:fill="auto"/>
            <w:vAlign w:val="center"/>
          </w:tcPr>
          <w:p w14:paraId="73D1604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支持内存校验或内存增强型纠错功能；</w:t>
            </w:r>
          </w:p>
        </w:tc>
        <w:tc>
          <w:tcPr>
            <w:tcW w:w="456" w:type="dxa"/>
            <w:shd w:val="clear" w:color="auto" w:fill="auto"/>
            <w:vAlign w:val="center"/>
          </w:tcPr>
          <w:p w14:paraId="58079C3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52A460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7EC6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6BF81A2">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B3A744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2679DC4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SATA SSD NAND 健康状态上报</w:t>
            </w:r>
          </w:p>
        </w:tc>
        <w:tc>
          <w:tcPr>
            <w:tcW w:w="4060" w:type="dxa"/>
            <w:shd w:val="clear" w:color="auto" w:fill="auto"/>
            <w:vAlign w:val="center"/>
          </w:tcPr>
          <w:p w14:paraId="36CF39D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支持关键外部存储器（硬磁盘、SSD 等）的健康状态上报并进行故障诊断；</w:t>
            </w:r>
          </w:p>
        </w:tc>
        <w:tc>
          <w:tcPr>
            <w:tcW w:w="456" w:type="dxa"/>
            <w:shd w:val="clear" w:color="auto" w:fill="auto"/>
            <w:vAlign w:val="center"/>
          </w:tcPr>
          <w:p w14:paraId="4C004BE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2B369F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725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EECE512">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2F3B2D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49D219E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SATA SSD单 die 故障隔离</w:t>
            </w:r>
          </w:p>
        </w:tc>
        <w:tc>
          <w:tcPr>
            <w:tcW w:w="4060" w:type="dxa"/>
            <w:shd w:val="clear" w:color="auto" w:fill="auto"/>
            <w:vAlign w:val="center"/>
          </w:tcPr>
          <w:p w14:paraId="385C306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支持SSD关键外部存储器中单存储晶元故障隔离；</w:t>
            </w:r>
          </w:p>
        </w:tc>
        <w:tc>
          <w:tcPr>
            <w:tcW w:w="456" w:type="dxa"/>
            <w:shd w:val="clear" w:color="auto" w:fill="auto"/>
            <w:vAlign w:val="center"/>
          </w:tcPr>
          <w:p w14:paraId="25FB32E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0E323D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F42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9C2E550">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4131A5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0127769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RAID 卡 RAID 级别支持</w:t>
            </w:r>
          </w:p>
        </w:tc>
        <w:tc>
          <w:tcPr>
            <w:tcW w:w="4060" w:type="dxa"/>
            <w:shd w:val="clear" w:color="auto" w:fill="auto"/>
            <w:vAlign w:val="center"/>
          </w:tcPr>
          <w:p w14:paraId="3A717BF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配置≥1个RAID卡，配置≥2GB缓存，支持缓存数据保护；含超级电容模块；RAID 模式支持 RAID 0/1/10/5</w:t>
            </w:r>
          </w:p>
        </w:tc>
        <w:tc>
          <w:tcPr>
            <w:tcW w:w="456" w:type="dxa"/>
            <w:shd w:val="clear" w:color="auto" w:fill="auto"/>
            <w:vAlign w:val="center"/>
          </w:tcPr>
          <w:p w14:paraId="3E7574B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0CFB1E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BDB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18E3084">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055586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5D5EE11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RAID 卡BBU 单元</w:t>
            </w:r>
          </w:p>
        </w:tc>
        <w:tc>
          <w:tcPr>
            <w:tcW w:w="4060" w:type="dxa"/>
            <w:shd w:val="clear" w:color="auto" w:fill="auto"/>
            <w:vAlign w:val="center"/>
          </w:tcPr>
          <w:p w14:paraId="0CEE7C3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RAID卡支持电池或电容备份单元；</w:t>
            </w:r>
          </w:p>
        </w:tc>
        <w:tc>
          <w:tcPr>
            <w:tcW w:w="456" w:type="dxa"/>
            <w:shd w:val="clear" w:color="auto" w:fill="auto"/>
            <w:vAlign w:val="center"/>
          </w:tcPr>
          <w:p w14:paraId="5F68DED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A48A3D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62A2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98CB307">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894F06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0A855AB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光驱类型（是否支持 RW，以及光盘类型CD/DVD）</w:t>
            </w:r>
          </w:p>
        </w:tc>
        <w:tc>
          <w:tcPr>
            <w:tcW w:w="4060" w:type="dxa"/>
            <w:shd w:val="clear" w:color="auto" w:fill="auto"/>
            <w:vAlign w:val="center"/>
          </w:tcPr>
          <w:p w14:paraId="76558CD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4A64368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B83B16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B808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9499F06">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6EBDF6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7B6FC16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★电源热插拔</w:t>
            </w:r>
          </w:p>
        </w:tc>
        <w:tc>
          <w:tcPr>
            <w:tcW w:w="4060" w:type="dxa"/>
            <w:shd w:val="clear" w:color="auto" w:fill="auto"/>
            <w:vAlign w:val="center"/>
          </w:tcPr>
          <w:p w14:paraId="4773A20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整机电源模块应具备热插拔功能；</w:t>
            </w:r>
          </w:p>
        </w:tc>
        <w:tc>
          <w:tcPr>
            <w:tcW w:w="456" w:type="dxa"/>
            <w:shd w:val="clear" w:color="auto" w:fill="auto"/>
            <w:vAlign w:val="center"/>
          </w:tcPr>
          <w:p w14:paraId="040224E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12EE1D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FD9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4F13082">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5AD4B8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484C3E3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★电源过流保护</w:t>
            </w:r>
          </w:p>
        </w:tc>
        <w:tc>
          <w:tcPr>
            <w:tcW w:w="4060" w:type="dxa"/>
            <w:shd w:val="clear" w:color="auto" w:fill="auto"/>
            <w:vAlign w:val="center"/>
          </w:tcPr>
          <w:p w14:paraId="04DB4DD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支持过流及短路保护的功能；</w:t>
            </w:r>
          </w:p>
        </w:tc>
        <w:tc>
          <w:tcPr>
            <w:tcW w:w="456" w:type="dxa"/>
            <w:shd w:val="clear" w:color="auto" w:fill="auto"/>
            <w:vAlign w:val="center"/>
          </w:tcPr>
          <w:p w14:paraId="16C00D2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7BE746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D17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2F463A4">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46A68C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042565F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★散热方式</w:t>
            </w:r>
          </w:p>
        </w:tc>
        <w:tc>
          <w:tcPr>
            <w:tcW w:w="4060" w:type="dxa"/>
            <w:shd w:val="clear" w:color="auto" w:fill="auto"/>
            <w:vAlign w:val="center"/>
          </w:tcPr>
          <w:p w14:paraId="095035E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支持风冷等散热方式；</w:t>
            </w:r>
          </w:p>
        </w:tc>
        <w:tc>
          <w:tcPr>
            <w:tcW w:w="456" w:type="dxa"/>
            <w:shd w:val="clear" w:color="auto" w:fill="auto"/>
            <w:vAlign w:val="center"/>
          </w:tcPr>
          <w:p w14:paraId="3D281BB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142DEF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C38C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9" w:hRule="atLeast"/>
        </w:trPr>
        <w:tc>
          <w:tcPr>
            <w:tcW w:w="505" w:type="dxa"/>
            <w:shd w:val="clear" w:color="auto" w:fill="auto"/>
            <w:vAlign w:val="center"/>
          </w:tcPr>
          <w:p w14:paraId="6C226B4C">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23009C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23FBF5C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其他功能</w:t>
            </w:r>
          </w:p>
        </w:tc>
        <w:tc>
          <w:tcPr>
            <w:tcW w:w="4060" w:type="dxa"/>
            <w:shd w:val="clear" w:color="auto" w:fill="auto"/>
            <w:vAlign w:val="center"/>
          </w:tcPr>
          <w:p w14:paraId="5786906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a)支持关键部件冗余（包括电源、风扇等）；</w:t>
            </w:r>
          </w:p>
          <w:p w14:paraId="7522BF2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b)支持熔断保护与恢复功能；</w:t>
            </w:r>
          </w:p>
        </w:tc>
        <w:tc>
          <w:tcPr>
            <w:tcW w:w="456" w:type="dxa"/>
            <w:shd w:val="clear" w:color="auto" w:fill="auto"/>
            <w:vAlign w:val="center"/>
          </w:tcPr>
          <w:p w14:paraId="5C8D225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F61FEB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E1DE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1" w:hRule="atLeast"/>
        </w:trPr>
        <w:tc>
          <w:tcPr>
            <w:tcW w:w="505" w:type="dxa"/>
            <w:shd w:val="clear" w:color="auto" w:fill="auto"/>
            <w:vAlign w:val="center"/>
          </w:tcPr>
          <w:p w14:paraId="2C0634F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431CED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5691EB8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★BMC 固件基础功能</w:t>
            </w:r>
          </w:p>
        </w:tc>
        <w:tc>
          <w:tcPr>
            <w:tcW w:w="4060" w:type="dxa"/>
            <w:shd w:val="clear" w:color="auto" w:fill="auto"/>
            <w:vAlign w:val="center"/>
          </w:tcPr>
          <w:p w14:paraId="0D57262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 支持DHCP 设置网络功能； </w:t>
            </w:r>
          </w:p>
          <w:p w14:paraId="424334D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2)支持静态IP 设置网络功能；</w:t>
            </w:r>
          </w:p>
          <w:p w14:paraId="7D0FDBE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3)支持设备日志记录，包括但不限于登录日志、操作日志和报警日志等功能；</w:t>
            </w:r>
          </w:p>
          <w:p w14:paraId="6D93D8B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4)支持日志信息导出和记录删除功能；</w:t>
            </w:r>
          </w:p>
          <w:p w14:paraId="428983B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5)支持通过管理接口向外输出准确的报警信息功能；</w:t>
            </w:r>
          </w:p>
          <w:p w14:paraId="006F437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6)设备的BMC 管理软件应能够按报警的严重程度进行区分；</w:t>
            </w:r>
          </w:p>
          <w:p w14:paraId="30480FD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7)支持IPMI2.0、SNMP 或Redfish 等接口功能；</w:t>
            </w:r>
          </w:p>
          <w:p w14:paraId="08D5500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8)支持键盘、鼠标和视频的重定向、文本控制台的重定向、远程虚拟媒体、高可靠的硬件监控和管理功能；</w:t>
            </w:r>
          </w:p>
          <w:p w14:paraId="791F441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 xml:space="preserve"> 9)支持基于网络开启、关闭和重启设备的功能，并查询当前设备开机运行状态；</w:t>
            </w:r>
          </w:p>
          <w:p w14:paraId="704F8B4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10)支持故障提示功能，并可通过接口读取服务器故障信息；</w:t>
            </w:r>
          </w:p>
          <w:p w14:paraId="324A14A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11)支持基于网络的固件更新功能， 包括BMC 和BIOS 等；</w:t>
            </w:r>
          </w:p>
          <w:p w14:paraId="5CB68B4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12)支持基于网络安装操作系统的功能，并可通过网络控制台访问设备；</w:t>
            </w:r>
          </w:p>
          <w:p w14:paraId="451DC06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13)支持通过本地的硬盘或光驱等存储设备，基于网络完成设备的操作系统安装功能；</w:t>
            </w:r>
          </w:p>
          <w:p w14:paraId="53EB4C7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14)支持通过浏览器打开管理界面并登录功能；</w:t>
            </w:r>
          </w:p>
          <w:p w14:paraId="55CB496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15)支持设置口令策略功能；</w:t>
            </w:r>
          </w:p>
          <w:p w14:paraId="4821A2A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16)支持访问权限设置功能，并通过日志记录访问事件；</w:t>
            </w:r>
          </w:p>
          <w:p w14:paraId="59A95F8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17)支持对出厂默认的用户名及口令进行安全保护功能，并提供默认口令修改提示；</w:t>
            </w:r>
          </w:p>
          <w:p w14:paraId="2406A14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18)支持读取设备主板的工作环境温度功能；</w:t>
            </w:r>
          </w:p>
          <w:p w14:paraId="5C895D6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19)支持读取服务器CPU 等核心器件的温度功能；</w:t>
            </w:r>
          </w:p>
          <w:p w14:paraId="45A2869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20)支持通过外部管理工具进行 BMC参数设置的功能，并可基于网络通过外部管理工具对BMC 进行管理；</w:t>
            </w:r>
          </w:p>
          <w:p w14:paraId="15C6C01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21)应支持固件版本查询、固件升级；</w:t>
            </w:r>
          </w:p>
          <w:p w14:paraId="2F7E895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22)支持基于网络实现开关机和复位控制的功能；</w:t>
            </w:r>
          </w:p>
          <w:p w14:paraId="13B2F65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23)BMC 启动时间应不超过 180s，实现功能包括网络、IPMI、散热、传感器服务可用；</w:t>
            </w:r>
          </w:p>
          <w:p w14:paraId="1473A3C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24)支持BMC 固件设置的恢复出厂功能；</w:t>
            </w:r>
          </w:p>
        </w:tc>
        <w:tc>
          <w:tcPr>
            <w:tcW w:w="456" w:type="dxa"/>
            <w:shd w:val="clear" w:color="auto" w:fill="auto"/>
            <w:vAlign w:val="center"/>
          </w:tcPr>
          <w:p w14:paraId="57C701B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299818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3D5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0" w:hRule="atLeast"/>
        </w:trPr>
        <w:tc>
          <w:tcPr>
            <w:tcW w:w="505" w:type="dxa"/>
            <w:shd w:val="clear" w:color="auto" w:fill="auto"/>
            <w:vAlign w:val="center"/>
          </w:tcPr>
          <w:p w14:paraId="1AB76BC0">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6A0D98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20B9261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BMC 固件增强功能</w:t>
            </w:r>
          </w:p>
        </w:tc>
        <w:tc>
          <w:tcPr>
            <w:tcW w:w="4060" w:type="dxa"/>
            <w:shd w:val="clear" w:color="auto" w:fill="auto"/>
            <w:vAlign w:val="center"/>
          </w:tcPr>
          <w:p w14:paraId="00C0205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a)网络控制、安装提供图形访问界面网络；</w:t>
            </w:r>
          </w:p>
          <w:p w14:paraId="428585A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b)设备的BMC 管理软件界面显示报警信息，且能够按报警的严重程度进行区分；</w:t>
            </w:r>
          </w:p>
          <w:p w14:paraId="203B417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c)Web GUI 采用 BMC 端口直连，平均响应时间为不大于 1s；</w:t>
            </w:r>
          </w:p>
        </w:tc>
        <w:tc>
          <w:tcPr>
            <w:tcW w:w="456" w:type="dxa"/>
            <w:shd w:val="clear" w:color="auto" w:fill="auto"/>
            <w:vAlign w:val="center"/>
          </w:tcPr>
          <w:p w14:paraId="291558D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891D53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077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505" w:type="dxa"/>
            <w:shd w:val="clear" w:color="auto" w:fill="auto"/>
            <w:vAlign w:val="center"/>
          </w:tcPr>
          <w:p w14:paraId="6E074CF3">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046C4B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02ADC9E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★BIOS 固件基础功能</w:t>
            </w:r>
          </w:p>
        </w:tc>
        <w:tc>
          <w:tcPr>
            <w:tcW w:w="4060" w:type="dxa"/>
            <w:shd w:val="clear" w:color="auto" w:fill="auto"/>
            <w:vAlign w:val="center"/>
          </w:tcPr>
          <w:p w14:paraId="15C30AB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a)支持查看固件版本、内存信息、主板信息、处理器信息和系统时间信息功能；</w:t>
            </w:r>
          </w:p>
          <w:p w14:paraId="6A92D80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b)支持上电初始化界面显示 CPU 信息、内存信息、固件版本和部分快捷键信息功能；</w:t>
            </w:r>
          </w:p>
          <w:p w14:paraId="4E381B4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c)支持设置界面中英文显示切换功能；</w:t>
            </w:r>
          </w:p>
          <w:p w14:paraId="72DF456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d)支持查看 PCIe 设备信息，SATA 设备信息功能；</w:t>
            </w:r>
          </w:p>
          <w:p w14:paraId="4905B21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e)支持操作系统安装和引导功能， 应并向操作系统提供计算机主板信息和服务接口；</w:t>
            </w:r>
          </w:p>
          <w:p w14:paraId="62DFC9C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f)支持设置启动顺序，并按照设置的启动顺序启动功能；</w:t>
            </w:r>
          </w:p>
          <w:p w14:paraId="0A842C5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g)支持安全启动功能；</w:t>
            </w:r>
          </w:p>
          <w:p w14:paraId="6CFDE9B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h)支持设置口令、修改口令、验证口令功能；</w:t>
            </w:r>
          </w:p>
          <w:p w14:paraId="6ED9F83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i)支持板载显示控制或独立显卡的显示控制功能；</w:t>
            </w:r>
          </w:p>
          <w:p w14:paraId="6E641E2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j)支持 RAID 识别和启动功能；</w:t>
            </w:r>
          </w:p>
          <w:p w14:paraId="687380D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k)支持串口重定向功能；</w:t>
            </w:r>
          </w:p>
          <w:p w14:paraId="610D688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l)支持固件更新功能；</w:t>
            </w:r>
          </w:p>
          <w:p w14:paraId="799C017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m)支持 BIOS 固件设置的恢复出厂功能；</w:t>
            </w:r>
          </w:p>
          <w:p w14:paraId="246CED5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n)支持网络引导启用和关闭功能</w:t>
            </w:r>
          </w:p>
        </w:tc>
        <w:tc>
          <w:tcPr>
            <w:tcW w:w="456" w:type="dxa"/>
            <w:shd w:val="clear" w:color="auto" w:fill="auto"/>
            <w:vAlign w:val="center"/>
          </w:tcPr>
          <w:p w14:paraId="525C313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B4EDE5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EDC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F5D958E">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A16728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1B1029D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★远程控制</w:t>
            </w:r>
          </w:p>
        </w:tc>
        <w:tc>
          <w:tcPr>
            <w:tcW w:w="4060" w:type="dxa"/>
            <w:shd w:val="clear" w:color="auto" w:fill="auto"/>
            <w:vAlign w:val="center"/>
          </w:tcPr>
          <w:p w14:paraId="2DB0356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支持远程关机和重新启动功能；</w:t>
            </w:r>
          </w:p>
        </w:tc>
        <w:tc>
          <w:tcPr>
            <w:tcW w:w="456" w:type="dxa"/>
            <w:shd w:val="clear" w:color="auto" w:fill="auto"/>
            <w:vAlign w:val="center"/>
          </w:tcPr>
          <w:p w14:paraId="2208D40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B50591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174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54513AA">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586E528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16AD0E2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13C877D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本项目要求配置服务器管理软件，可统一管理服务器（含海光、鲲鹏、飞腾、X86架构），能够把本次采购的服务器及现网的所有服务器统一纳管，配置管理节点数授权≥5000个；要求投标人提供承诺函</w:t>
            </w:r>
            <w:r>
              <w:rPr>
                <w:rFonts w:hint="eastAsia" w:ascii="宋体" w:hAnsi="宋体" w:cs="宋体"/>
                <w:i w:val="0"/>
                <w:iCs w:val="0"/>
                <w:color w:val="auto"/>
                <w:kern w:val="0"/>
                <w:sz w:val="21"/>
                <w:szCs w:val="21"/>
                <w:u w:val="none"/>
                <w:lang w:val="en-US" w:eastAsia="zh-CN" w:bidi="ar"/>
              </w:rPr>
              <w:t>并加盖公章。</w:t>
            </w:r>
          </w:p>
        </w:tc>
        <w:tc>
          <w:tcPr>
            <w:tcW w:w="456" w:type="dxa"/>
            <w:shd w:val="clear" w:color="auto" w:fill="auto"/>
            <w:vAlign w:val="center"/>
          </w:tcPr>
          <w:p w14:paraId="4792A26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2AC8E2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p>
        </w:tc>
      </w:tr>
      <w:tr w14:paraId="12AD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751379D">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132C1CD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4981EB6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1514927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嵌入式服务器BMC管理软件，要求支持智能温度监控，具备支持以图形化形式展示各部件温度传感器的分布图，可直观体现服务器整体温感状态，如发生温度告警可快速定位到具体区域。要求投标人提供承诺函，并提供第三方检测报告证明加盖投标人公章。</w:t>
            </w:r>
          </w:p>
        </w:tc>
        <w:tc>
          <w:tcPr>
            <w:tcW w:w="456" w:type="dxa"/>
            <w:shd w:val="clear" w:color="auto" w:fill="auto"/>
            <w:vAlign w:val="center"/>
          </w:tcPr>
          <w:p w14:paraId="74640C8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65CBDC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AF85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6349CAA">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33C4CDB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47F0902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14820D7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支持SNMP Trap告警功能。要求投标人提供承诺函，并提供第三方检测报告证明加盖投标人公章。</w:t>
            </w:r>
          </w:p>
        </w:tc>
        <w:tc>
          <w:tcPr>
            <w:tcW w:w="456" w:type="dxa"/>
            <w:shd w:val="clear" w:color="auto" w:fill="auto"/>
            <w:vAlign w:val="center"/>
          </w:tcPr>
          <w:p w14:paraId="3024E90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D8DEE7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p>
        </w:tc>
      </w:tr>
      <w:tr w14:paraId="3F71A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69812DA">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07E15DD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12155C2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23ADDCC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嵌入式服务器BMC管理软件，要求为简化服务器的运维管理，服务器支持不依赖OS，可带外升级BIOS、BMC版本，可通过BMC界面带外一次升级多个部件的固件（如网卡部件、存储卡部件等）,无需多次升级。要求投标人提供承诺函，并提供第三方检测报告证明加盖投标人公章。</w:t>
            </w:r>
          </w:p>
        </w:tc>
        <w:tc>
          <w:tcPr>
            <w:tcW w:w="456" w:type="dxa"/>
            <w:shd w:val="clear" w:color="auto" w:fill="auto"/>
            <w:vAlign w:val="center"/>
          </w:tcPr>
          <w:p w14:paraId="378FF07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8CA7B2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01A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80A1479">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1F24341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5E11374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0EE2A12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▲嵌入式服务器BMC管理软件，支持风扇监控和管理，包括智能动态调节风扇转速功能（风扇转速根据负载动态调整），也可以手工调节风扇转速（具有20档转速调节）。要求投标人提供承诺函，</w:t>
            </w:r>
            <w:r>
              <w:rPr>
                <w:rFonts w:hint="eastAsia" w:ascii="宋体" w:hAnsi="宋体" w:cs="宋体"/>
                <w:i w:val="0"/>
                <w:iCs w:val="0"/>
                <w:color w:val="auto"/>
                <w:kern w:val="0"/>
                <w:sz w:val="21"/>
                <w:szCs w:val="21"/>
                <w:u w:val="none"/>
                <w:lang w:val="en-US" w:eastAsia="zh-CN" w:bidi="ar"/>
              </w:rPr>
              <w:t>并</w:t>
            </w:r>
            <w:r>
              <w:rPr>
                <w:rFonts w:hint="eastAsia" w:ascii="宋体" w:hAnsi="宋体" w:eastAsia="宋体" w:cs="宋体"/>
                <w:i w:val="0"/>
                <w:iCs w:val="0"/>
                <w:color w:val="auto"/>
                <w:kern w:val="0"/>
                <w:sz w:val="21"/>
                <w:szCs w:val="21"/>
                <w:u w:val="none"/>
                <w:lang w:val="en-US" w:eastAsia="zh-CN" w:bidi="ar"/>
              </w:rPr>
              <w:t>提供功能截图证明加盖投标人公章。</w:t>
            </w:r>
          </w:p>
        </w:tc>
        <w:tc>
          <w:tcPr>
            <w:tcW w:w="456" w:type="dxa"/>
            <w:shd w:val="clear" w:color="auto" w:fill="auto"/>
            <w:vAlign w:val="center"/>
          </w:tcPr>
          <w:p w14:paraId="7847024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734113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9FFD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4F7B14C">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05BFF1A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3460B2B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262023C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▲嵌入式服务器BMC管理软件，支持通过服务U盘下载服务器设备故障诊断日志;要求投标人提供承诺函，并提供第三方检测报告证明加盖投标人公章。</w:t>
            </w:r>
          </w:p>
        </w:tc>
        <w:tc>
          <w:tcPr>
            <w:tcW w:w="456" w:type="dxa"/>
            <w:shd w:val="clear" w:color="auto" w:fill="auto"/>
            <w:vAlign w:val="center"/>
          </w:tcPr>
          <w:p w14:paraId="5AF3F31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D4D2B2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3D37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23519BA">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198F3BD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5586B07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7B80B2E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▲嵌入式服务器BMC管理软件，要求支持自动化安装操作系统，且安装过程中可自动安装驱动，同时支持系统参数配置的导入导出功能。要求投标人提供承诺函，</w:t>
            </w:r>
            <w:r>
              <w:rPr>
                <w:rFonts w:hint="eastAsia" w:ascii="宋体" w:hAnsi="宋体" w:cs="宋体"/>
                <w:i w:val="0"/>
                <w:iCs w:val="0"/>
                <w:color w:val="auto"/>
                <w:kern w:val="0"/>
                <w:sz w:val="21"/>
                <w:szCs w:val="21"/>
                <w:u w:val="none"/>
                <w:lang w:val="en-US" w:eastAsia="zh-CN" w:bidi="ar"/>
              </w:rPr>
              <w:t>并</w:t>
            </w:r>
            <w:r>
              <w:rPr>
                <w:rFonts w:hint="eastAsia" w:ascii="宋体" w:hAnsi="宋体" w:eastAsia="宋体" w:cs="宋体"/>
                <w:i w:val="0"/>
                <w:iCs w:val="0"/>
                <w:color w:val="auto"/>
                <w:kern w:val="0"/>
                <w:sz w:val="21"/>
                <w:szCs w:val="21"/>
                <w:u w:val="none"/>
                <w:lang w:val="en-US" w:eastAsia="zh-CN" w:bidi="ar"/>
              </w:rPr>
              <w:t>提供功能截图证明加盖投标人公章。</w:t>
            </w:r>
          </w:p>
        </w:tc>
        <w:tc>
          <w:tcPr>
            <w:tcW w:w="456" w:type="dxa"/>
            <w:shd w:val="clear" w:color="auto" w:fill="auto"/>
            <w:vAlign w:val="center"/>
          </w:tcPr>
          <w:p w14:paraId="66EEF9F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FD0F91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83F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B22F58E">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26D7711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1E7FB07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518DF2C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可通过安全面板上的灯效展示服务器的待机、启动阶段，以及整机负载、硬件故障和预故障等运行状态</w:t>
            </w:r>
          </w:p>
        </w:tc>
        <w:tc>
          <w:tcPr>
            <w:tcW w:w="456" w:type="dxa"/>
            <w:shd w:val="clear" w:color="auto" w:fill="auto"/>
            <w:vAlign w:val="center"/>
          </w:tcPr>
          <w:p w14:paraId="66B2041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4A7BFC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p>
        </w:tc>
      </w:tr>
      <w:tr w14:paraId="18C0D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24E4EA7">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5895A60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39F8EC1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4B2D4C2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支持通过移动APP和USB wifi登录HDM进行管理配置。</w:t>
            </w:r>
            <w:r>
              <w:rPr>
                <w:rFonts w:hint="eastAsia" w:ascii="宋体" w:hAnsi="宋体" w:eastAsia="宋体" w:cs="宋体"/>
                <w:i w:val="0"/>
                <w:iCs w:val="0"/>
                <w:color w:val="auto"/>
                <w:kern w:val="0"/>
                <w:sz w:val="21"/>
                <w:szCs w:val="21"/>
                <w:u w:val="none"/>
                <w:lang w:val="en-US" w:eastAsia="zh-CN" w:bidi="ar"/>
              </w:rPr>
              <w:t>要求投标人提供承诺函，并提供第三方检测报告证明加盖投标人公章。</w:t>
            </w:r>
          </w:p>
        </w:tc>
        <w:tc>
          <w:tcPr>
            <w:tcW w:w="456" w:type="dxa"/>
            <w:shd w:val="clear" w:color="auto" w:fill="auto"/>
            <w:vAlign w:val="center"/>
          </w:tcPr>
          <w:p w14:paraId="545CF9F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1FF698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p>
        </w:tc>
      </w:tr>
      <w:tr w14:paraId="6CCCC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1732534">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0E95A7C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658B214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1818B79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服务器支持LLDP协议；</w:t>
            </w:r>
          </w:p>
        </w:tc>
        <w:tc>
          <w:tcPr>
            <w:tcW w:w="456" w:type="dxa"/>
            <w:shd w:val="clear" w:color="auto" w:fill="auto"/>
            <w:vAlign w:val="center"/>
          </w:tcPr>
          <w:p w14:paraId="5B46CD2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EB6C32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p>
        </w:tc>
      </w:tr>
      <w:tr w14:paraId="54BF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7060521">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16C57C5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4074260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4AADAAB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嵌入式服务器BMC管理软件，通过传感器实现了对服务器的温度、电压状态全面监控，可通过BMC页面查看温度、电流、电压、风扇转速传感器的历史曲线信息。要求投标人提供承诺函，</w:t>
            </w:r>
            <w:r>
              <w:rPr>
                <w:rFonts w:hint="eastAsia" w:ascii="宋体" w:hAnsi="宋体" w:cs="宋体"/>
                <w:i w:val="0"/>
                <w:iCs w:val="0"/>
                <w:color w:val="auto"/>
                <w:kern w:val="0"/>
                <w:sz w:val="21"/>
                <w:szCs w:val="21"/>
                <w:u w:val="none"/>
                <w:lang w:val="en-US" w:eastAsia="zh-CN" w:bidi="ar"/>
              </w:rPr>
              <w:t>并</w:t>
            </w:r>
            <w:r>
              <w:rPr>
                <w:rFonts w:hint="eastAsia" w:ascii="宋体" w:hAnsi="宋体" w:eastAsia="宋体" w:cs="宋体"/>
                <w:i w:val="0"/>
                <w:iCs w:val="0"/>
                <w:color w:val="auto"/>
                <w:kern w:val="0"/>
                <w:sz w:val="21"/>
                <w:szCs w:val="21"/>
                <w:u w:val="none"/>
                <w:lang w:val="en-US" w:eastAsia="zh-CN" w:bidi="ar"/>
              </w:rPr>
              <w:t>提供功能截图证明加盖投标人公章。</w:t>
            </w:r>
          </w:p>
        </w:tc>
        <w:tc>
          <w:tcPr>
            <w:tcW w:w="456" w:type="dxa"/>
            <w:shd w:val="clear" w:color="auto" w:fill="auto"/>
            <w:vAlign w:val="center"/>
          </w:tcPr>
          <w:p w14:paraId="5F9CEF7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544DA8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p>
        </w:tc>
      </w:tr>
      <w:tr w14:paraId="4093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ABC911E">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6A60299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5A977F7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26661A9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支持批量部署操作系统，部署时可选择将操作系统安装指定目标盘（如指定逻辑盘或者物理盘）</w:t>
            </w:r>
          </w:p>
        </w:tc>
        <w:tc>
          <w:tcPr>
            <w:tcW w:w="456" w:type="dxa"/>
            <w:shd w:val="clear" w:color="auto" w:fill="auto"/>
            <w:vAlign w:val="center"/>
          </w:tcPr>
          <w:p w14:paraId="189BA2E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7C9AE8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p>
        </w:tc>
      </w:tr>
      <w:tr w14:paraId="0E8A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4308549">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2895BA7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4BCA57F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1D246BF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提升服务器版本管理效率：支持固件&amp;驱动版本自动同步以及对版本进行合规性检测，可提示管理员版本更新或自动将版本升级到最新。</w:t>
            </w:r>
          </w:p>
        </w:tc>
        <w:tc>
          <w:tcPr>
            <w:tcW w:w="456" w:type="dxa"/>
            <w:shd w:val="clear" w:color="auto" w:fill="auto"/>
            <w:vAlign w:val="center"/>
          </w:tcPr>
          <w:p w14:paraId="68D0365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449142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p>
        </w:tc>
      </w:tr>
      <w:tr w14:paraId="40EA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CC3C995">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3C7CC20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1BF014B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5C5F74A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支持查询SSD硬盘的寿命查询。要求投标人提供承诺函，并提供第三方检测报告证明加盖投标人公章。</w:t>
            </w:r>
          </w:p>
        </w:tc>
        <w:tc>
          <w:tcPr>
            <w:tcW w:w="456" w:type="dxa"/>
            <w:shd w:val="clear" w:color="auto" w:fill="auto"/>
            <w:vAlign w:val="center"/>
          </w:tcPr>
          <w:p w14:paraId="2AA961C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03B26F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p>
        </w:tc>
      </w:tr>
      <w:tr w14:paraId="75EEF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EE66AEC">
            <w:pPr>
              <w:keepNext w:val="0"/>
              <w:keepLines w:val="0"/>
              <w:widowControl/>
              <w:numPr>
                <w:ilvl w:val="0"/>
                <w:numId w:val="1"/>
              </w:numPr>
              <w:suppressLineNumbers w:val="0"/>
              <w:ind w:left="425" w:leftChars="0" w:hanging="425" w:firstLineChars="0"/>
              <w:jc w:val="center"/>
              <w:rPr>
                <w:rFonts w:hint="eastAsia" w:ascii="宋体" w:hAnsi="宋体" w:eastAsia="宋体" w:cs="宋体"/>
                <w:b w:val="0"/>
                <w:bCs/>
                <w:i w:val="0"/>
                <w:caps w:val="0"/>
                <w:color w:val="auto"/>
                <w:spacing w:val="0"/>
                <w:kern w:val="0"/>
                <w:sz w:val="24"/>
                <w:szCs w:val="24"/>
                <w:shd w:val="clear" w:fill="FFFFFF"/>
                <w:vertAlign w:val="baseline"/>
                <w:lang w:val="en-US" w:eastAsia="zh-CN" w:bidi="ar"/>
              </w:rPr>
            </w:pPr>
          </w:p>
        </w:tc>
        <w:tc>
          <w:tcPr>
            <w:tcW w:w="836" w:type="dxa"/>
            <w:shd w:val="clear" w:color="auto" w:fill="auto"/>
            <w:vAlign w:val="center"/>
          </w:tcPr>
          <w:p w14:paraId="3B8D51C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7EC78FF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3C71523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▲嵌入式服务器BMC管理软件，要求提供数据安全擦除功能，彻底删除NVDIMM、SD模块、HDD/SSD物理盘以及逻辑盘中的数据并恢复BIOS和BMC出厂默认值。要求投标人提供承诺函，并提供功能截图证明加盖投标人公章。</w:t>
            </w:r>
          </w:p>
        </w:tc>
        <w:tc>
          <w:tcPr>
            <w:tcW w:w="456" w:type="dxa"/>
            <w:shd w:val="clear" w:color="auto" w:fill="auto"/>
            <w:vAlign w:val="center"/>
          </w:tcPr>
          <w:p w14:paraId="5FCBA96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38BE55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p>
        </w:tc>
      </w:tr>
      <w:tr w14:paraId="59DD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58D5A85">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3285A4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716740A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可管理性要求</w:t>
            </w:r>
          </w:p>
        </w:tc>
        <w:tc>
          <w:tcPr>
            <w:tcW w:w="4060" w:type="dxa"/>
            <w:shd w:val="clear" w:color="auto" w:fill="auto"/>
            <w:vAlign w:val="center"/>
          </w:tcPr>
          <w:p w14:paraId="54FC51A0">
            <w:pPr>
              <w:rPr>
                <w:rFonts w:hint="eastAsia" w:asciiTheme="minorHAnsi" w:hAnsiTheme="minorHAnsi" w:eastAsiaTheme="minorEastAsia" w:cstheme="minorBidi"/>
                <w:color w:val="auto"/>
                <w:kern w:val="2"/>
                <w:sz w:val="21"/>
                <w:szCs w:val="24"/>
                <w:lang w:val="en-US" w:eastAsia="zh-CN" w:bidi="ar-SA"/>
              </w:rPr>
            </w:pPr>
            <w:r>
              <w:rPr>
                <w:rFonts w:hint="eastAsia" w:ascii="宋体" w:hAnsi="宋体" w:eastAsia="宋体" w:cs="宋体"/>
                <w:i w:val="0"/>
                <w:iCs w:val="0"/>
                <w:color w:val="auto"/>
                <w:kern w:val="0"/>
                <w:sz w:val="21"/>
                <w:szCs w:val="21"/>
                <w:u w:val="none"/>
                <w:lang w:val="en-US" w:eastAsia="zh-CN" w:bidi="ar"/>
              </w:rPr>
              <w:t>当服务器因可更换硬件故障导致启动进程挂死在POST阶段时，可以使用应急诊断功能。</w:t>
            </w:r>
          </w:p>
        </w:tc>
        <w:tc>
          <w:tcPr>
            <w:tcW w:w="456" w:type="dxa"/>
            <w:shd w:val="clear" w:color="auto" w:fill="auto"/>
            <w:vAlign w:val="center"/>
          </w:tcPr>
          <w:p w14:paraId="51B1932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11B49F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p>
        </w:tc>
      </w:tr>
      <w:tr w14:paraId="4B5D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4BA59D2">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D78B44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427B988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★操作系统及驱动的升级</w:t>
            </w:r>
          </w:p>
        </w:tc>
        <w:tc>
          <w:tcPr>
            <w:tcW w:w="4060" w:type="dxa"/>
            <w:shd w:val="clear" w:color="auto" w:fill="auto"/>
            <w:vAlign w:val="center"/>
          </w:tcPr>
          <w:p w14:paraId="3FBBC6A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kern w:val="0"/>
                <w:sz w:val="21"/>
                <w:szCs w:val="21"/>
                <w:u w:val="none"/>
                <w:lang w:val="en-US" w:eastAsia="zh-CN" w:bidi="ar"/>
              </w:rPr>
              <w:t>本项目不要求配置操作系统</w:t>
            </w:r>
            <w:r>
              <w:rPr>
                <w:rFonts w:hint="eastAsia" w:ascii="宋体" w:hAnsi="宋体" w:eastAsia="宋体" w:cs="宋体"/>
                <w:i w:val="0"/>
                <w:iCs w:val="0"/>
                <w:color w:val="auto"/>
                <w:kern w:val="0"/>
                <w:sz w:val="21"/>
                <w:szCs w:val="21"/>
                <w:u w:val="none"/>
                <w:lang w:val="en-US" w:eastAsia="zh-CN" w:bidi="ar"/>
              </w:rPr>
              <w:t>；</w:t>
            </w:r>
          </w:p>
        </w:tc>
        <w:tc>
          <w:tcPr>
            <w:tcW w:w="456" w:type="dxa"/>
            <w:shd w:val="clear" w:color="auto" w:fill="auto"/>
            <w:vAlign w:val="center"/>
          </w:tcPr>
          <w:p w14:paraId="446781A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EDEE89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B3F2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8D62552">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BE2AFF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4C339F9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操作系统及驱动的备份还原</w:t>
            </w:r>
          </w:p>
        </w:tc>
        <w:tc>
          <w:tcPr>
            <w:tcW w:w="4060" w:type="dxa"/>
            <w:shd w:val="clear" w:color="auto" w:fill="auto"/>
            <w:vAlign w:val="center"/>
          </w:tcPr>
          <w:p w14:paraId="7F5F061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kern w:val="0"/>
                <w:sz w:val="21"/>
                <w:szCs w:val="21"/>
                <w:u w:val="none"/>
                <w:lang w:val="en-US" w:eastAsia="zh-CN" w:bidi="ar"/>
              </w:rPr>
              <w:t>本项目不要求配置操作系统</w:t>
            </w:r>
            <w:r>
              <w:rPr>
                <w:rFonts w:hint="eastAsia" w:ascii="宋体" w:hAnsi="宋体" w:eastAsia="宋体" w:cs="宋体"/>
                <w:i w:val="0"/>
                <w:iCs w:val="0"/>
                <w:color w:val="auto"/>
                <w:kern w:val="0"/>
                <w:sz w:val="21"/>
                <w:szCs w:val="21"/>
                <w:u w:val="none"/>
                <w:lang w:val="en-US" w:eastAsia="zh-CN" w:bidi="ar"/>
              </w:rPr>
              <w:t>；</w:t>
            </w:r>
          </w:p>
        </w:tc>
        <w:tc>
          <w:tcPr>
            <w:tcW w:w="456" w:type="dxa"/>
            <w:shd w:val="clear" w:color="auto" w:fill="auto"/>
            <w:vAlign w:val="center"/>
          </w:tcPr>
          <w:p w14:paraId="578D6AA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BA69FD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FF9E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2A60CE5">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E81F71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1E8F0B8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★操作系统功能</w:t>
            </w:r>
          </w:p>
        </w:tc>
        <w:tc>
          <w:tcPr>
            <w:tcW w:w="4060" w:type="dxa"/>
            <w:shd w:val="clear" w:color="auto" w:fill="auto"/>
            <w:vAlign w:val="center"/>
          </w:tcPr>
          <w:p w14:paraId="1DFBDDF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kern w:val="0"/>
                <w:sz w:val="21"/>
                <w:szCs w:val="21"/>
                <w:u w:val="none"/>
                <w:lang w:val="en-US" w:eastAsia="zh-CN" w:bidi="ar"/>
              </w:rPr>
              <w:t>本项目不要求配置操作系统</w:t>
            </w:r>
            <w:r>
              <w:rPr>
                <w:rFonts w:hint="eastAsia" w:ascii="宋体" w:hAnsi="宋体" w:eastAsia="宋体" w:cs="宋体"/>
                <w:i w:val="0"/>
                <w:iCs w:val="0"/>
                <w:color w:val="auto"/>
                <w:kern w:val="0"/>
                <w:sz w:val="21"/>
                <w:szCs w:val="21"/>
                <w:u w:val="none"/>
                <w:lang w:val="en-US" w:eastAsia="zh-CN" w:bidi="ar"/>
              </w:rPr>
              <w:t>；</w:t>
            </w:r>
          </w:p>
        </w:tc>
        <w:tc>
          <w:tcPr>
            <w:tcW w:w="456" w:type="dxa"/>
            <w:shd w:val="clear" w:color="auto" w:fill="auto"/>
            <w:vAlign w:val="center"/>
          </w:tcPr>
          <w:p w14:paraId="0010836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A72280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7B2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6E6EC8A">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BCD964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52A797C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★中文信息处理</w:t>
            </w:r>
          </w:p>
        </w:tc>
        <w:tc>
          <w:tcPr>
            <w:tcW w:w="4060" w:type="dxa"/>
            <w:shd w:val="clear" w:color="auto" w:fill="auto"/>
            <w:vAlign w:val="center"/>
          </w:tcPr>
          <w:p w14:paraId="10916A4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符合GB 18030 的有关规定;</w:t>
            </w:r>
          </w:p>
        </w:tc>
        <w:tc>
          <w:tcPr>
            <w:tcW w:w="456" w:type="dxa"/>
            <w:shd w:val="clear" w:color="auto" w:fill="auto"/>
            <w:vAlign w:val="center"/>
          </w:tcPr>
          <w:p w14:paraId="38E618B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3C86FC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7BD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97C3124">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225636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0A95345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机柜管理功能</w:t>
            </w:r>
          </w:p>
        </w:tc>
        <w:tc>
          <w:tcPr>
            <w:tcW w:w="4060" w:type="dxa"/>
            <w:shd w:val="clear" w:color="auto" w:fill="auto"/>
            <w:vAlign w:val="center"/>
          </w:tcPr>
          <w:p w14:paraId="20E1794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33E80FF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DCB88A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75C8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2C0F3B4">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B5DC59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46DA071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机柜通信方式</w:t>
            </w:r>
          </w:p>
        </w:tc>
        <w:tc>
          <w:tcPr>
            <w:tcW w:w="4060" w:type="dxa"/>
            <w:shd w:val="clear" w:color="auto" w:fill="auto"/>
            <w:vAlign w:val="center"/>
          </w:tcPr>
          <w:p w14:paraId="4B20C3A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6821EE5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334B07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65A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1CA5A68">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090920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功能要求</w:t>
            </w:r>
          </w:p>
        </w:tc>
        <w:tc>
          <w:tcPr>
            <w:tcW w:w="2209" w:type="dxa"/>
            <w:shd w:val="clear" w:color="auto" w:fill="auto"/>
            <w:vAlign w:val="center"/>
          </w:tcPr>
          <w:p w14:paraId="3525C6D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多集群作业管理</w:t>
            </w:r>
          </w:p>
        </w:tc>
        <w:tc>
          <w:tcPr>
            <w:tcW w:w="4060" w:type="dxa"/>
            <w:shd w:val="clear" w:color="auto" w:fill="auto"/>
            <w:vAlign w:val="center"/>
          </w:tcPr>
          <w:p w14:paraId="4940EB9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6A69EB6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C4E52C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DF9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BA5CDF3">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FB213B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336EE29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★关键部件安全要求</w:t>
            </w:r>
          </w:p>
        </w:tc>
        <w:tc>
          <w:tcPr>
            <w:tcW w:w="4060" w:type="dxa"/>
            <w:shd w:val="clear" w:color="auto" w:fill="auto"/>
            <w:vAlign w:val="center"/>
          </w:tcPr>
          <w:p w14:paraId="52AFEE8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要求配置的国产处理器CPU芯片，已通过中国信息安全测评中心颁发的安全可靠测评结果公告；</w:t>
            </w:r>
            <w:r>
              <w:rPr>
                <w:rFonts w:hint="eastAsia" w:ascii="宋体" w:hAnsi="宋体" w:cs="宋体"/>
                <w:i w:val="0"/>
                <w:iCs w:val="0"/>
                <w:color w:val="auto"/>
                <w:kern w:val="0"/>
                <w:sz w:val="21"/>
                <w:szCs w:val="21"/>
                <w:u w:val="none"/>
                <w:lang w:val="en-US" w:eastAsia="zh-CN" w:bidi="ar"/>
              </w:rPr>
              <w:t>本项目不要求配置操作系统；</w:t>
            </w:r>
          </w:p>
        </w:tc>
        <w:tc>
          <w:tcPr>
            <w:tcW w:w="456" w:type="dxa"/>
            <w:shd w:val="clear" w:color="auto" w:fill="auto"/>
            <w:vAlign w:val="center"/>
          </w:tcPr>
          <w:p w14:paraId="123FC3A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E8E2DE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B2B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9C55316">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F26854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669F704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★故障检测</w:t>
            </w:r>
          </w:p>
        </w:tc>
        <w:tc>
          <w:tcPr>
            <w:tcW w:w="4060" w:type="dxa"/>
            <w:shd w:val="clear" w:color="auto" w:fill="auto"/>
            <w:vAlign w:val="center"/>
          </w:tcPr>
          <w:p w14:paraId="5862ABB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支持故障检测功能，可以检测到具体的FRU（内存、硬盘等）的故障并发出告警;</w:t>
            </w:r>
          </w:p>
        </w:tc>
        <w:tc>
          <w:tcPr>
            <w:tcW w:w="456" w:type="dxa"/>
            <w:shd w:val="clear" w:color="auto" w:fill="auto"/>
            <w:vAlign w:val="center"/>
          </w:tcPr>
          <w:p w14:paraId="1A4EC0B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4036B6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634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FA94823">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5738DD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11147B0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内存故障智能预测和自愈修复</w:t>
            </w:r>
          </w:p>
        </w:tc>
        <w:tc>
          <w:tcPr>
            <w:tcW w:w="4060" w:type="dxa"/>
            <w:shd w:val="clear" w:color="auto" w:fill="auto"/>
            <w:vAlign w:val="center"/>
          </w:tcPr>
          <w:p w14:paraId="5228287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1EFD451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42CC78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740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0B0BB8F">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799C2C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7B24A64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硬盘故障智能预测</w:t>
            </w:r>
          </w:p>
        </w:tc>
        <w:tc>
          <w:tcPr>
            <w:tcW w:w="4060" w:type="dxa"/>
            <w:shd w:val="clear" w:color="auto" w:fill="auto"/>
            <w:vAlign w:val="center"/>
          </w:tcPr>
          <w:p w14:paraId="1088818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1354D72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8E2CA3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65FD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2EC8EAC">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13A7C7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7F49C7D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PCIe 链路故障智能诊断</w:t>
            </w:r>
          </w:p>
        </w:tc>
        <w:tc>
          <w:tcPr>
            <w:tcW w:w="4060" w:type="dxa"/>
            <w:shd w:val="clear" w:color="auto" w:fill="auto"/>
            <w:vAlign w:val="center"/>
          </w:tcPr>
          <w:p w14:paraId="41E8A10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支持PCIe链路故障智能诊断，判断出现故障的PCIe链路;</w:t>
            </w:r>
          </w:p>
        </w:tc>
        <w:tc>
          <w:tcPr>
            <w:tcW w:w="456" w:type="dxa"/>
            <w:shd w:val="clear" w:color="auto" w:fill="auto"/>
            <w:vAlign w:val="center"/>
          </w:tcPr>
          <w:p w14:paraId="620FE56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27AFDE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9436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0893D3A">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0B4D99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4DF3FDA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内存故障隔离</w:t>
            </w:r>
          </w:p>
        </w:tc>
        <w:tc>
          <w:tcPr>
            <w:tcW w:w="4060" w:type="dxa"/>
            <w:shd w:val="clear" w:color="auto" w:fill="auto"/>
            <w:vAlign w:val="center"/>
          </w:tcPr>
          <w:p w14:paraId="5344681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支持内存故障隔离，在内存产生CE 故障时，内存地址被隔离成功，服务器正常运行，业务系统不中断;</w:t>
            </w:r>
          </w:p>
        </w:tc>
        <w:tc>
          <w:tcPr>
            <w:tcW w:w="456" w:type="dxa"/>
            <w:shd w:val="clear" w:color="auto" w:fill="auto"/>
            <w:vAlign w:val="center"/>
          </w:tcPr>
          <w:p w14:paraId="0466D8E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6BA980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283D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1E49E05">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84F25B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5BE3140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内存、PCIe 卡的故障精准告警功能</w:t>
            </w:r>
          </w:p>
        </w:tc>
        <w:tc>
          <w:tcPr>
            <w:tcW w:w="4060" w:type="dxa"/>
            <w:shd w:val="clear" w:color="auto" w:fill="auto"/>
            <w:vAlign w:val="center"/>
          </w:tcPr>
          <w:p w14:paraId="02EAE00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支持内存、PCIe 卡的故障精准告警功能，触发告警并明确指示具体的故障位置;</w:t>
            </w:r>
          </w:p>
        </w:tc>
        <w:tc>
          <w:tcPr>
            <w:tcW w:w="456" w:type="dxa"/>
            <w:shd w:val="clear" w:color="auto" w:fill="auto"/>
            <w:vAlign w:val="center"/>
          </w:tcPr>
          <w:p w14:paraId="31D20DD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68F4BB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AA3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FF8DEAB">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B59FA4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119631A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异常下电关键数据保护</w:t>
            </w:r>
          </w:p>
        </w:tc>
        <w:tc>
          <w:tcPr>
            <w:tcW w:w="4060" w:type="dxa"/>
            <w:shd w:val="clear" w:color="auto" w:fill="auto"/>
            <w:vAlign w:val="center"/>
          </w:tcPr>
          <w:p w14:paraId="6B5C337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支持异常下电关键数据保护，支持数据备份恢复机制，防止系统异常掉电导致的数据文件丢失;</w:t>
            </w:r>
          </w:p>
        </w:tc>
        <w:tc>
          <w:tcPr>
            <w:tcW w:w="456" w:type="dxa"/>
            <w:shd w:val="clear" w:color="auto" w:fill="auto"/>
            <w:vAlign w:val="center"/>
          </w:tcPr>
          <w:p w14:paraId="00A65E5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F2B454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47D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44190B7">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4B25E3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27EC69C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BMC/BIOS固件双镜像保护</w:t>
            </w:r>
          </w:p>
        </w:tc>
        <w:tc>
          <w:tcPr>
            <w:tcW w:w="4060" w:type="dxa"/>
            <w:shd w:val="clear" w:color="auto" w:fill="auto"/>
            <w:vAlign w:val="center"/>
          </w:tcPr>
          <w:p w14:paraId="54EA837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0193605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837F32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7DC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1D265AD">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B03821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71AFF24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CPU 核重启隔离</w:t>
            </w:r>
          </w:p>
        </w:tc>
        <w:tc>
          <w:tcPr>
            <w:tcW w:w="4060" w:type="dxa"/>
            <w:shd w:val="clear" w:color="auto" w:fill="auto"/>
            <w:vAlign w:val="center"/>
          </w:tcPr>
          <w:p w14:paraId="3380875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3862A1D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96B715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183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A9879A7">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20FD55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0C982BB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内存地址隔离</w:t>
            </w:r>
          </w:p>
        </w:tc>
        <w:tc>
          <w:tcPr>
            <w:tcW w:w="4060" w:type="dxa"/>
            <w:shd w:val="clear" w:color="auto" w:fill="auto"/>
            <w:vAlign w:val="center"/>
          </w:tcPr>
          <w:p w14:paraId="0F8F6F6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38494C4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57E7AE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DAC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73A973D">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3CA5BC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3F9B4A0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内存存储阵列替换</w:t>
            </w:r>
          </w:p>
        </w:tc>
        <w:tc>
          <w:tcPr>
            <w:tcW w:w="4060" w:type="dxa"/>
            <w:shd w:val="clear" w:color="auto" w:fill="auto"/>
            <w:vAlign w:val="center"/>
          </w:tcPr>
          <w:p w14:paraId="2D165CA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402F0FD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1D4672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14B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6F923BF">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F61BCC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755CF91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安全启动</w:t>
            </w:r>
          </w:p>
        </w:tc>
        <w:tc>
          <w:tcPr>
            <w:tcW w:w="4060" w:type="dxa"/>
            <w:shd w:val="clear" w:color="auto" w:fill="auto"/>
            <w:vAlign w:val="center"/>
          </w:tcPr>
          <w:p w14:paraId="3B0B20C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支持执行环境要求在整个系统启动的过程中，系统应提供一个机制来保护平台的完整性;</w:t>
            </w:r>
          </w:p>
        </w:tc>
        <w:tc>
          <w:tcPr>
            <w:tcW w:w="456" w:type="dxa"/>
            <w:shd w:val="clear" w:color="auto" w:fill="auto"/>
            <w:vAlign w:val="center"/>
          </w:tcPr>
          <w:p w14:paraId="10102F5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74DB45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961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AF106D2">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87270F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3E72884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syslog 双向鉴别</w:t>
            </w:r>
          </w:p>
        </w:tc>
        <w:tc>
          <w:tcPr>
            <w:tcW w:w="4060" w:type="dxa"/>
            <w:shd w:val="clear" w:color="auto" w:fill="auto"/>
            <w:vAlign w:val="center"/>
          </w:tcPr>
          <w:p w14:paraId="10F105C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支持系统日志双向鉴别，对服务器根证书和客户端根证书进行鉴别;</w:t>
            </w:r>
          </w:p>
        </w:tc>
        <w:tc>
          <w:tcPr>
            <w:tcW w:w="456" w:type="dxa"/>
            <w:shd w:val="clear" w:color="auto" w:fill="auto"/>
            <w:vAlign w:val="center"/>
          </w:tcPr>
          <w:p w14:paraId="451D473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850F07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A21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B2B779B">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4EF0E8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796A1AD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★弱口令字典检查</w:t>
            </w:r>
          </w:p>
        </w:tc>
        <w:tc>
          <w:tcPr>
            <w:tcW w:w="4060" w:type="dxa"/>
            <w:shd w:val="clear" w:color="auto" w:fill="auto"/>
            <w:vAlign w:val="center"/>
          </w:tcPr>
          <w:p w14:paraId="528E9B3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支持弱口令字典检查功能，出现在弱口令字典中的字符串不能被设置为用户口令;</w:t>
            </w:r>
          </w:p>
        </w:tc>
        <w:tc>
          <w:tcPr>
            <w:tcW w:w="456" w:type="dxa"/>
            <w:shd w:val="clear" w:color="auto" w:fill="auto"/>
            <w:vAlign w:val="center"/>
          </w:tcPr>
          <w:p w14:paraId="2F4EAFB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7CF60A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CA27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A3C86C0">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3D91DC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7A14BDB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★白名单访问控制</w:t>
            </w:r>
          </w:p>
        </w:tc>
        <w:tc>
          <w:tcPr>
            <w:tcW w:w="4060" w:type="dxa"/>
            <w:shd w:val="clear" w:color="auto" w:fill="auto"/>
            <w:vAlign w:val="center"/>
          </w:tcPr>
          <w:p w14:paraId="7A33D12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支持基于时间、IP 或 MAC 白名单访问控制;</w:t>
            </w:r>
          </w:p>
        </w:tc>
        <w:tc>
          <w:tcPr>
            <w:tcW w:w="456" w:type="dxa"/>
            <w:shd w:val="clear" w:color="auto" w:fill="auto"/>
            <w:vAlign w:val="center"/>
          </w:tcPr>
          <w:p w14:paraId="2DDEBC2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1711EF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EC0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1DC9426">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7546D1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10763B6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双因素鉴别</w:t>
            </w:r>
          </w:p>
        </w:tc>
        <w:tc>
          <w:tcPr>
            <w:tcW w:w="4060" w:type="dxa"/>
            <w:shd w:val="clear" w:color="auto" w:fill="auto"/>
            <w:vAlign w:val="center"/>
          </w:tcPr>
          <w:p w14:paraId="227501B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支持使用客户端证书和证书密码的双因素鉴别方式登录管理系统;</w:t>
            </w:r>
          </w:p>
        </w:tc>
        <w:tc>
          <w:tcPr>
            <w:tcW w:w="456" w:type="dxa"/>
            <w:shd w:val="clear" w:color="auto" w:fill="auto"/>
            <w:vAlign w:val="center"/>
          </w:tcPr>
          <w:p w14:paraId="54BDA3F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5A7DF0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139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3EB0B3C">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E3F315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0002548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★二次鉴别</w:t>
            </w:r>
          </w:p>
        </w:tc>
        <w:tc>
          <w:tcPr>
            <w:tcW w:w="4060" w:type="dxa"/>
            <w:shd w:val="clear" w:color="auto" w:fill="auto"/>
            <w:vAlign w:val="center"/>
          </w:tcPr>
          <w:p w14:paraId="3B41FFA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支持二次鉴别功能。对于用户配置、权限配置、公钥导入等重要的管理操作，已登录用户应通过二次鉴别后，才能执行操作;</w:t>
            </w:r>
          </w:p>
        </w:tc>
        <w:tc>
          <w:tcPr>
            <w:tcW w:w="456" w:type="dxa"/>
            <w:shd w:val="clear" w:color="auto" w:fill="auto"/>
            <w:vAlign w:val="center"/>
          </w:tcPr>
          <w:p w14:paraId="0E5D2AC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5DDAD8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DB66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837D76B">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D79470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4B68A64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匿名化用户告警接收邮箱</w:t>
            </w:r>
          </w:p>
        </w:tc>
        <w:tc>
          <w:tcPr>
            <w:tcW w:w="4060" w:type="dxa"/>
            <w:shd w:val="clear" w:color="auto" w:fill="auto"/>
            <w:vAlign w:val="center"/>
          </w:tcPr>
          <w:p w14:paraId="60E90E0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支持带外管理系统中的用户告警接收邮箱进行匿名化处理;</w:t>
            </w:r>
          </w:p>
        </w:tc>
        <w:tc>
          <w:tcPr>
            <w:tcW w:w="456" w:type="dxa"/>
            <w:shd w:val="clear" w:color="auto" w:fill="auto"/>
            <w:vAlign w:val="center"/>
          </w:tcPr>
          <w:p w14:paraId="042CAC0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5C8675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FAD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EC31F48">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46531A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5BB6706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★密码证书安全加密存储</w:t>
            </w:r>
          </w:p>
        </w:tc>
        <w:tc>
          <w:tcPr>
            <w:tcW w:w="4060" w:type="dxa"/>
            <w:shd w:val="clear" w:color="auto" w:fill="auto"/>
            <w:vAlign w:val="center"/>
          </w:tcPr>
          <w:p w14:paraId="4B0D02D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支持对带外管理系统中的用户口令和证书等敏感信息进行加密存储， 禁止使用私有的和业界已知不安全的密码算法;</w:t>
            </w:r>
          </w:p>
        </w:tc>
        <w:tc>
          <w:tcPr>
            <w:tcW w:w="456" w:type="dxa"/>
            <w:shd w:val="clear" w:color="auto" w:fill="auto"/>
            <w:vAlign w:val="center"/>
          </w:tcPr>
          <w:p w14:paraId="20B0A63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979272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EB4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71ACFAD">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0BCACE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43CB127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★敏感信息安全加密传输</w:t>
            </w:r>
          </w:p>
        </w:tc>
        <w:tc>
          <w:tcPr>
            <w:tcW w:w="4060" w:type="dxa"/>
            <w:shd w:val="clear" w:color="auto" w:fill="auto"/>
            <w:vAlign w:val="center"/>
          </w:tcPr>
          <w:p w14:paraId="0333DFE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支持使用安全的传输加密协议（如SSH 或 HTTPS 等）传输用户的敏感信息;</w:t>
            </w:r>
          </w:p>
        </w:tc>
        <w:tc>
          <w:tcPr>
            <w:tcW w:w="456" w:type="dxa"/>
            <w:shd w:val="clear" w:color="auto" w:fill="auto"/>
            <w:vAlign w:val="center"/>
          </w:tcPr>
          <w:p w14:paraId="4479645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A26FC5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786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2137F9F">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88BFC5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523B573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★研发过程安全</w:t>
            </w:r>
          </w:p>
        </w:tc>
        <w:tc>
          <w:tcPr>
            <w:tcW w:w="4060" w:type="dxa"/>
            <w:shd w:val="clear" w:color="auto" w:fill="auto"/>
            <w:vAlign w:val="center"/>
          </w:tcPr>
          <w:p w14:paraId="32281A9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投标人承诺，生产商已建立从需求、设计、开发、测试、维护端到端的开发流程管理机制，输出和保存开发流程中每个阶段的产品需求清单、设计文档、开发文档、测试记录等材料，保证各个流程可追溯</w:t>
            </w:r>
            <w:r>
              <w:rPr>
                <w:rFonts w:hint="eastAsia" w:ascii="宋体" w:hAnsi="宋体" w:cs="宋体"/>
                <w:i w:val="0"/>
                <w:iCs w:val="0"/>
                <w:color w:val="auto"/>
                <w:sz w:val="21"/>
                <w:szCs w:val="21"/>
                <w:u w:val="none"/>
                <w:lang w:eastAsia="zh-CN"/>
              </w:rPr>
              <w:t>（提供承诺函，格式自拟）</w:t>
            </w:r>
          </w:p>
        </w:tc>
        <w:tc>
          <w:tcPr>
            <w:tcW w:w="456" w:type="dxa"/>
            <w:shd w:val="clear" w:color="auto" w:fill="auto"/>
            <w:vAlign w:val="center"/>
          </w:tcPr>
          <w:p w14:paraId="5CF42B7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D3C150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1D7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0C60B75">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F4F572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37E3B5E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漏洞管理</w:t>
            </w:r>
          </w:p>
        </w:tc>
        <w:tc>
          <w:tcPr>
            <w:tcW w:w="4060" w:type="dxa"/>
            <w:shd w:val="clear" w:color="auto" w:fill="auto"/>
            <w:vAlign w:val="center"/>
          </w:tcPr>
          <w:p w14:paraId="570F10E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投标人承诺，生产商已建立漏洞全量视图，保证产品版本涉及到的所有漏洞(如驱动程序、BMC 软件等) 都可以查看；</w:t>
            </w:r>
          </w:p>
        </w:tc>
        <w:tc>
          <w:tcPr>
            <w:tcW w:w="456" w:type="dxa"/>
            <w:shd w:val="clear" w:color="auto" w:fill="auto"/>
            <w:vAlign w:val="center"/>
          </w:tcPr>
          <w:p w14:paraId="7051839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24C44E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FFF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9FAC9F5">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323B9F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6185EB2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网络关键设备服务器要求</w:t>
            </w:r>
          </w:p>
        </w:tc>
        <w:tc>
          <w:tcPr>
            <w:tcW w:w="4060" w:type="dxa"/>
            <w:shd w:val="clear" w:color="auto" w:fill="auto"/>
            <w:vAlign w:val="center"/>
          </w:tcPr>
          <w:p w14:paraId="7E6ED66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2034CD3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DBBF79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885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6EA9B8C">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C094FB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4E67E7E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增强要求</w:t>
            </w:r>
          </w:p>
        </w:tc>
        <w:tc>
          <w:tcPr>
            <w:tcW w:w="4060" w:type="dxa"/>
            <w:shd w:val="clear" w:color="auto" w:fill="auto"/>
            <w:vAlign w:val="center"/>
          </w:tcPr>
          <w:p w14:paraId="5838541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4C05BBD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EBA37A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179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E9A94EA">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8DE1CD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329DCFB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★物理安全</w:t>
            </w:r>
          </w:p>
        </w:tc>
        <w:tc>
          <w:tcPr>
            <w:tcW w:w="4060" w:type="dxa"/>
            <w:shd w:val="clear" w:color="auto" w:fill="auto"/>
            <w:vAlign w:val="center"/>
          </w:tcPr>
          <w:p w14:paraId="2C094B0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安全要求应符合GB 4943.1 的规定;</w:t>
            </w:r>
          </w:p>
        </w:tc>
        <w:tc>
          <w:tcPr>
            <w:tcW w:w="456" w:type="dxa"/>
            <w:shd w:val="clear" w:color="auto" w:fill="auto"/>
            <w:vAlign w:val="center"/>
          </w:tcPr>
          <w:p w14:paraId="2501F21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8EA49E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128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E631FB3">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76E262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安全要求</w:t>
            </w:r>
          </w:p>
        </w:tc>
        <w:tc>
          <w:tcPr>
            <w:tcW w:w="2209" w:type="dxa"/>
            <w:shd w:val="clear" w:color="auto" w:fill="auto"/>
            <w:vAlign w:val="center"/>
          </w:tcPr>
          <w:p w14:paraId="291CEE3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★限用物质的限量要求</w:t>
            </w:r>
          </w:p>
        </w:tc>
        <w:tc>
          <w:tcPr>
            <w:tcW w:w="4060" w:type="dxa"/>
            <w:shd w:val="clear" w:color="auto" w:fill="auto"/>
            <w:vAlign w:val="center"/>
          </w:tcPr>
          <w:p w14:paraId="05A3394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限用物质的限量应符合GB/T 26572 的要求;</w:t>
            </w:r>
          </w:p>
        </w:tc>
        <w:tc>
          <w:tcPr>
            <w:tcW w:w="456" w:type="dxa"/>
            <w:shd w:val="clear" w:color="auto" w:fill="auto"/>
            <w:vAlign w:val="center"/>
          </w:tcPr>
          <w:p w14:paraId="509B748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C24766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152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EF6D9E1">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A26267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性能要求</w:t>
            </w:r>
          </w:p>
        </w:tc>
        <w:tc>
          <w:tcPr>
            <w:tcW w:w="2209" w:type="dxa"/>
            <w:shd w:val="clear" w:color="auto" w:fill="auto"/>
            <w:vAlign w:val="center"/>
          </w:tcPr>
          <w:p w14:paraId="58F7385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★CPU 主频</w:t>
            </w:r>
          </w:p>
        </w:tc>
        <w:tc>
          <w:tcPr>
            <w:tcW w:w="4060" w:type="dxa"/>
            <w:shd w:val="clear" w:color="auto" w:fill="auto"/>
            <w:vAlign w:val="center"/>
          </w:tcPr>
          <w:p w14:paraId="25FD511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≥2.7GHz</w:t>
            </w:r>
          </w:p>
        </w:tc>
        <w:tc>
          <w:tcPr>
            <w:tcW w:w="456" w:type="dxa"/>
            <w:shd w:val="clear" w:color="auto" w:fill="auto"/>
            <w:vAlign w:val="center"/>
          </w:tcPr>
          <w:p w14:paraId="4679F2B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2BDCD7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7E1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F2F8AD1">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7DD3EF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性能要求</w:t>
            </w:r>
          </w:p>
        </w:tc>
        <w:tc>
          <w:tcPr>
            <w:tcW w:w="2209" w:type="dxa"/>
            <w:shd w:val="clear" w:color="auto" w:fill="auto"/>
            <w:vAlign w:val="center"/>
          </w:tcPr>
          <w:p w14:paraId="0097F37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★单CPU 核数</w:t>
            </w:r>
          </w:p>
        </w:tc>
        <w:tc>
          <w:tcPr>
            <w:tcW w:w="4060" w:type="dxa"/>
            <w:shd w:val="clear" w:color="auto" w:fill="auto"/>
            <w:vAlign w:val="center"/>
          </w:tcPr>
          <w:p w14:paraId="0648334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≥32核</w:t>
            </w:r>
          </w:p>
        </w:tc>
        <w:tc>
          <w:tcPr>
            <w:tcW w:w="456" w:type="dxa"/>
            <w:shd w:val="clear" w:color="auto" w:fill="auto"/>
            <w:vAlign w:val="center"/>
          </w:tcPr>
          <w:p w14:paraId="03D412E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B8C557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9DA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A55F5A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65493F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性能要求</w:t>
            </w:r>
          </w:p>
        </w:tc>
        <w:tc>
          <w:tcPr>
            <w:tcW w:w="2209" w:type="dxa"/>
            <w:shd w:val="clear" w:color="auto" w:fill="auto"/>
            <w:vAlign w:val="center"/>
          </w:tcPr>
          <w:p w14:paraId="32F81CE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★单CPU 末级缓存容量</w:t>
            </w:r>
          </w:p>
        </w:tc>
        <w:tc>
          <w:tcPr>
            <w:tcW w:w="4060" w:type="dxa"/>
            <w:shd w:val="clear" w:color="auto" w:fill="auto"/>
            <w:vAlign w:val="center"/>
          </w:tcPr>
          <w:p w14:paraId="7EBD5D8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≥128MB</w:t>
            </w:r>
          </w:p>
        </w:tc>
        <w:tc>
          <w:tcPr>
            <w:tcW w:w="456" w:type="dxa"/>
            <w:shd w:val="clear" w:color="auto" w:fill="auto"/>
            <w:vAlign w:val="center"/>
          </w:tcPr>
          <w:p w14:paraId="0614CBD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BF5298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B80A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04BD7A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21818E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性能要求</w:t>
            </w:r>
          </w:p>
        </w:tc>
        <w:tc>
          <w:tcPr>
            <w:tcW w:w="2209" w:type="dxa"/>
            <w:shd w:val="clear" w:color="auto" w:fill="auto"/>
            <w:vAlign w:val="center"/>
          </w:tcPr>
          <w:p w14:paraId="5E47B61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单内存模块容量</w:t>
            </w:r>
          </w:p>
        </w:tc>
        <w:tc>
          <w:tcPr>
            <w:tcW w:w="4060" w:type="dxa"/>
            <w:shd w:val="clear" w:color="auto" w:fill="auto"/>
            <w:vAlign w:val="center"/>
          </w:tcPr>
          <w:p w14:paraId="658144E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≥32GB</w:t>
            </w:r>
          </w:p>
        </w:tc>
        <w:tc>
          <w:tcPr>
            <w:tcW w:w="456" w:type="dxa"/>
            <w:shd w:val="clear" w:color="auto" w:fill="auto"/>
            <w:vAlign w:val="center"/>
          </w:tcPr>
          <w:p w14:paraId="3E6CCF9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8199E1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E05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A01B3D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F50994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性能要求</w:t>
            </w:r>
          </w:p>
        </w:tc>
        <w:tc>
          <w:tcPr>
            <w:tcW w:w="2209" w:type="dxa"/>
            <w:shd w:val="clear" w:color="auto" w:fill="auto"/>
            <w:vAlign w:val="center"/>
          </w:tcPr>
          <w:p w14:paraId="66FE95A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★内存速率</w:t>
            </w:r>
          </w:p>
        </w:tc>
        <w:tc>
          <w:tcPr>
            <w:tcW w:w="4060" w:type="dxa"/>
            <w:shd w:val="clear" w:color="auto" w:fill="auto"/>
            <w:vAlign w:val="center"/>
          </w:tcPr>
          <w:p w14:paraId="6DC9F1B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≥3200MT/s</w:t>
            </w:r>
          </w:p>
        </w:tc>
        <w:tc>
          <w:tcPr>
            <w:tcW w:w="456" w:type="dxa"/>
            <w:shd w:val="clear" w:color="auto" w:fill="auto"/>
            <w:vAlign w:val="center"/>
          </w:tcPr>
          <w:p w14:paraId="3F94289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6DA89B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AC1B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5D1FCE3">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D19C1F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性能要求</w:t>
            </w:r>
          </w:p>
        </w:tc>
        <w:tc>
          <w:tcPr>
            <w:tcW w:w="2209" w:type="dxa"/>
            <w:shd w:val="clear" w:color="auto" w:fill="auto"/>
            <w:vAlign w:val="center"/>
          </w:tcPr>
          <w:p w14:paraId="11D988F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硬盘转速</w:t>
            </w:r>
          </w:p>
        </w:tc>
        <w:tc>
          <w:tcPr>
            <w:tcW w:w="4060" w:type="dxa"/>
            <w:shd w:val="clear" w:color="auto" w:fill="auto"/>
            <w:vAlign w:val="center"/>
          </w:tcPr>
          <w:p w14:paraId="6DBED89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安装的硬磁盘转速不小于 7200 rpm;</w:t>
            </w:r>
          </w:p>
        </w:tc>
        <w:tc>
          <w:tcPr>
            <w:tcW w:w="456" w:type="dxa"/>
            <w:shd w:val="clear" w:color="auto" w:fill="auto"/>
            <w:vAlign w:val="center"/>
          </w:tcPr>
          <w:p w14:paraId="3D9E460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567C5E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970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2F716E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26E2A2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性能要求</w:t>
            </w:r>
          </w:p>
        </w:tc>
        <w:tc>
          <w:tcPr>
            <w:tcW w:w="2209" w:type="dxa"/>
            <w:shd w:val="clear" w:color="auto" w:fill="auto"/>
            <w:vAlign w:val="center"/>
          </w:tcPr>
          <w:p w14:paraId="5ED40C8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RAID 卡缓存容量大小</w:t>
            </w:r>
          </w:p>
        </w:tc>
        <w:tc>
          <w:tcPr>
            <w:tcW w:w="4060" w:type="dxa"/>
            <w:shd w:val="clear" w:color="auto" w:fill="auto"/>
            <w:vAlign w:val="center"/>
          </w:tcPr>
          <w:p w14:paraId="4D2E447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配备RAID 卡且 RAID 卡有缓存容量，容量不少于2GB;</w:t>
            </w:r>
          </w:p>
        </w:tc>
        <w:tc>
          <w:tcPr>
            <w:tcW w:w="456" w:type="dxa"/>
            <w:shd w:val="clear" w:color="auto" w:fill="auto"/>
            <w:vAlign w:val="center"/>
          </w:tcPr>
          <w:p w14:paraId="782FDDD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3F5919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CEE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F75F06A">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4516E0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性能要求</w:t>
            </w:r>
          </w:p>
        </w:tc>
        <w:tc>
          <w:tcPr>
            <w:tcW w:w="2209" w:type="dxa"/>
            <w:shd w:val="clear" w:color="auto" w:fill="auto"/>
            <w:vAlign w:val="center"/>
          </w:tcPr>
          <w:p w14:paraId="48BD2DD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FC HBA 卡速率</w:t>
            </w:r>
          </w:p>
        </w:tc>
        <w:tc>
          <w:tcPr>
            <w:tcW w:w="4060" w:type="dxa"/>
            <w:shd w:val="clear" w:color="auto" w:fill="auto"/>
            <w:vAlign w:val="center"/>
          </w:tcPr>
          <w:p w14:paraId="277AF1E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配备FC HBA 卡，单端口最大的连接速率不少于16Gb/s；</w:t>
            </w:r>
          </w:p>
        </w:tc>
        <w:tc>
          <w:tcPr>
            <w:tcW w:w="456" w:type="dxa"/>
            <w:shd w:val="clear" w:color="auto" w:fill="auto"/>
            <w:vAlign w:val="center"/>
          </w:tcPr>
          <w:p w14:paraId="307C10D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37EFDA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527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1DE1EBC">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B40B4A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性能要求</w:t>
            </w:r>
          </w:p>
        </w:tc>
        <w:tc>
          <w:tcPr>
            <w:tcW w:w="2209" w:type="dxa"/>
            <w:shd w:val="clear" w:color="auto" w:fill="auto"/>
            <w:vAlign w:val="center"/>
          </w:tcPr>
          <w:p w14:paraId="71CFC96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独立网卡速率</w:t>
            </w:r>
          </w:p>
        </w:tc>
        <w:tc>
          <w:tcPr>
            <w:tcW w:w="4060" w:type="dxa"/>
            <w:shd w:val="clear" w:color="auto" w:fill="auto"/>
            <w:vAlign w:val="center"/>
          </w:tcPr>
          <w:p w14:paraId="4188BA1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≥10GE</w:t>
            </w:r>
          </w:p>
        </w:tc>
        <w:tc>
          <w:tcPr>
            <w:tcW w:w="456" w:type="dxa"/>
            <w:shd w:val="clear" w:color="auto" w:fill="auto"/>
            <w:vAlign w:val="center"/>
          </w:tcPr>
          <w:p w14:paraId="3543960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CB78DB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354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248680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B1A473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性能要求</w:t>
            </w:r>
          </w:p>
        </w:tc>
        <w:tc>
          <w:tcPr>
            <w:tcW w:w="2209" w:type="dxa"/>
            <w:shd w:val="clear" w:color="auto" w:fill="auto"/>
            <w:vAlign w:val="center"/>
          </w:tcPr>
          <w:p w14:paraId="6E9B4D8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板载网卡速率</w:t>
            </w:r>
          </w:p>
        </w:tc>
        <w:tc>
          <w:tcPr>
            <w:tcW w:w="4060" w:type="dxa"/>
            <w:shd w:val="clear" w:color="auto" w:fill="auto"/>
            <w:vAlign w:val="center"/>
          </w:tcPr>
          <w:p w14:paraId="5E90FFB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≥1GE</w:t>
            </w:r>
          </w:p>
        </w:tc>
        <w:tc>
          <w:tcPr>
            <w:tcW w:w="456" w:type="dxa"/>
            <w:shd w:val="clear" w:color="auto" w:fill="auto"/>
            <w:vAlign w:val="center"/>
          </w:tcPr>
          <w:p w14:paraId="33BD9DC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8867DF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5C3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0886D93">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F32D08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性能要求</w:t>
            </w:r>
          </w:p>
        </w:tc>
        <w:tc>
          <w:tcPr>
            <w:tcW w:w="2209" w:type="dxa"/>
            <w:shd w:val="clear" w:color="auto" w:fill="auto"/>
            <w:vAlign w:val="center"/>
          </w:tcPr>
          <w:p w14:paraId="36DC256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★电源能耗</w:t>
            </w:r>
          </w:p>
        </w:tc>
        <w:tc>
          <w:tcPr>
            <w:tcW w:w="4060" w:type="dxa"/>
            <w:shd w:val="clear" w:color="auto" w:fill="auto"/>
            <w:vAlign w:val="center"/>
          </w:tcPr>
          <w:p w14:paraId="59B549B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符合GB/T 9813.3 的有关规定;</w:t>
            </w:r>
          </w:p>
        </w:tc>
        <w:tc>
          <w:tcPr>
            <w:tcW w:w="456" w:type="dxa"/>
            <w:shd w:val="clear" w:color="auto" w:fill="auto"/>
            <w:vAlign w:val="center"/>
          </w:tcPr>
          <w:p w14:paraId="4A735E7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E70509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3EF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C82C846">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D30E7B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兼容要求</w:t>
            </w:r>
          </w:p>
        </w:tc>
        <w:tc>
          <w:tcPr>
            <w:tcW w:w="2209" w:type="dxa"/>
            <w:shd w:val="clear" w:color="auto" w:fill="auto"/>
            <w:vAlign w:val="center"/>
          </w:tcPr>
          <w:p w14:paraId="2ECA323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★内存兼容性</w:t>
            </w:r>
          </w:p>
        </w:tc>
        <w:tc>
          <w:tcPr>
            <w:tcW w:w="4060" w:type="dxa"/>
            <w:shd w:val="clear" w:color="auto" w:fill="auto"/>
            <w:vAlign w:val="center"/>
          </w:tcPr>
          <w:p w14:paraId="49AB30B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适配 3 种及以上厂商的内存产品， 且均不低于产品支持的内存规格;</w:t>
            </w:r>
          </w:p>
        </w:tc>
        <w:tc>
          <w:tcPr>
            <w:tcW w:w="456" w:type="dxa"/>
            <w:shd w:val="clear" w:color="auto" w:fill="auto"/>
            <w:vAlign w:val="center"/>
          </w:tcPr>
          <w:p w14:paraId="6A9E6E5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37AE77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FF1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98B4A74">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3B30DC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兼容要求</w:t>
            </w:r>
          </w:p>
        </w:tc>
        <w:tc>
          <w:tcPr>
            <w:tcW w:w="2209" w:type="dxa"/>
            <w:shd w:val="clear" w:color="auto" w:fill="auto"/>
            <w:vAlign w:val="center"/>
          </w:tcPr>
          <w:p w14:paraId="6524789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★固态存储兼容性</w:t>
            </w:r>
          </w:p>
        </w:tc>
        <w:tc>
          <w:tcPr>
            <w:tcW w:w="4060" w:type="dxa"/>
            <w:shd w:val="clear" w:color="auto" w:fill="auto"/>
            <w:vAlign w:val="center"/>
          </w:tcPr>
          <w:p w14:paraId="5431F7D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适配 3 种或以上厂商的固态存储产品，且均不低于产品支持的固态存储设备规格;</w:t>
            </w:r>
          </w:p>
        </w:tc>
        <w:tc>
          <w:tcPr>
            <w:tcW w:w="456" w:type="dxa"/>
            <w:shd w:val="clear" w:color="auto" w:fill="auto"/>
            <w:vAlign w:val="center"/>
          </w:tcPr>
          <w:p w14:paraId="0AFFC97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9EE011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B0F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C0684D5">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42755B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兼容要求</w:t>
            </w:r>
          </w:p>
        </w:tc>
        <w:tc>
          <w:tcPr>
            <w:tcW w:w="2209" w:type="dxa"/>
            <w:shd w:val="clear" w:color="auto" w:fill="auto"/>
            <w:vAlign w:val="center"/>
          </w:tcPr>
          <w:p w14:paraId="7C4F990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FC HBA 卡兼容性</w:t>
            </w:r>
          </w:p>
        </w:tc>
        <w:tc>
          <w:tcPr>
            <w:tcW w:w="4060" w:type="dxa"/>
            <w:shd w:val="clear" w:color="auto" w:fill="auto"/>
            <w:vAlign w:val="center"/>
          </w:tcPr>
          <w:p w14:paraId="27DF749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FC HBA 应适配两种或以上厂商产品；</w:t>
            </w:r>
          </w:p>
        </w:tc>
        <w:tc>
          <w:tcPr>
            <w:tcW w:w="456" w:type="dxa"/>
            <w:shd w:val="clear" w:color="auto" w:fill="auto"/>
            <w:vAlign w:val="center"/>
          </w:tcPr>
          <w:p w14:paraId="5CF4AFF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7875DA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F73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7162AA7">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9D52BE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兼容要求</w:t>
            </w:r>
          </w:p>
        </w:tc>
        <w:tc>
          <w:tcPr>
            <w:tcW w:w="2209" w:type="dxa"/>
            <w:shd w:val="clear" w:color="auto" w:fill="auto"/>
            <w:vAlign w:val="center"/>
          </w:tcPr>
          <w:p w14:paraId="6879400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RAID 卡兼容性</w:t>
            </w:r>
          </w:p>
        </w:tc>
        <w:tc>
          <w:tcPr>
            <w:tcW w:w="4060" w:type="dxa"/>
            <w:shd w:val="clear" w:color="auto" w:fill="auto"/>
            <w:vAlign w:val="center"/>
          </w:tcPr>
          <w:p w14:paraId="6DCADFA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RAID 卡应适配两种或以上厂商产品;</w:t>
            </w:r>
          </w:p>
        </w:tc>
        <w:tc>
          <w:tcPr>
            <w:tcW w:w="456" w:type="dxa"/>
            <w:shd w:val="clear" w:color="auto" w:fill="auto"/>
            <w:vAlign w:val="center"/>
          </w:tcPr>
          <w:p w14:paraId="331E168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31FA7D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506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9A6512B">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9DECD0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兼容要求</w:t>
            </w:r>
          </w:p>
        </w:tc>
        <w:tc>
          <w:tcPr>
            <w:tcW w:w="2209" w:type="dxa"/>
            <w:shd w:val="clear" w:color="auto" w:fill="auto"/>
            <w:vAlign w:val="center"/>
          </w:tcPr>
          <w:p w14:paraId="1A3CBCE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★网卡兼容性</w:t>
            </w:r>
          </w:p>
        </w:tc>
        <w:tc>
          <w:tcPr>
            <w:tcW w:w="4060" w:type="dxa"/>
            <w:shd w:val="clear" w:color="auto" w:fill="auto"/>
            <w:vAlign w:val="center"/>
          </w:tcPr>
          <w:p w14:paraId="52E217D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网卡应适配两种或以上厂商产品;</w:t>
            </w:r>
          </w:p>
        </w:tc>
        <w:tc>
          <w:tcPr>
            <w:tcW w:w="456" w:type="dxa"/>
            <w:shd w:val="clear" w:color="auto" w:fill="auto"/>
            <w:vAlign w:val="center"/>
          </w:tcPr>
          <w:p w14:paraId="20A18B5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6E707B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10A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6C122D1">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80FF37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兼容要求</w:t>
            </w:r>
          </w:p>
        </w:tc>
        <w:tc>
          <w:tcPr>
            <w:tcW w:w="2209" w:type="dxa"/>
            <w:shd w:val="clear" w:color="auto" w:fill="auto"/>
            <w:vAlign w:val="center"/>
          </w:tcPr>
          <w:p w14:paraId="6E51571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★功能卡兼容性</w:t>
            </w:r>
          </w:p>
        </w:tc>
        <w:tc>
          <w:tcPr>
            <w:tcW w:w="4060" w:type="dxa"/>
            <w:shd w:val="clear" w:color="auto" w:fill="auto"/>
            <w:vAlign w:val="center"/>
          </w:tcPr>
          <w:p w14:paraId="427C214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内置或适配符合PCIe 的功能卡，如： 网络功能卡、存储功能卡及图形显示功能卡;</w:t>
            </w:r>
          </w:p>
        </w:tc>
        <w:tc>
          <w:tcPr>
            <w:tcW w:w="456" w:type="dxa"/>
            <w:shd w:val="clear" w:color="auto" w:fill="auto"/>
            <w:vAlign w:val="center"/>
          </w:tcPr>
          <w:p w14:paraId="45F8EF1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1606B5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61B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FB21516">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891716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兼容要求</w:t>
            </w:r>
          </w:p>
        </w:tc>
        <w:tc>
          <w:tcPr>
            <w:tcW w:w="2209" w:type="dxa"/>
            <w:shd w:val="clear" w:color="auto" w:fill="auto"/>
            <w:vAlign w:val="center"/>
          </w:tcPr>
          <w:p w14:paraId="47237A9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★外设兼容性</w:t>
            </w:r>
          </w:p>
        </w:tc>
        <w:tc>
          <w:tcPr>
            <w:tcW w:w="4060" w:type="dxa"/>
            <w:shd w:val="clear" w:color="auto" w:fill="auto"/>
            <w:vAlign w:val="center"/>
          </w:tcPr>
          <w:p w14:paraId="56B8DBE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兼容多种主流生产商的外部设备， 包括显示器、键盘、鼠标、闪存盘、移动硬盘、USB 光驱及 KVM 等，要求使用不同厂商的外部设备时，系统均能正常识别和安装驱动</w:t>
            </w:r>
          </w:p>
        </w:tc>
        <w:tc>
          <w:tcPr>
            <w:tcW w:w="456" w:type="dxa"/>
            <w:shd w:val="clear" w:color="auto" w:fill="auto"/>
            <w:vAlign w:val="center"/>
          </w:tcPr>
          <w:p w14:paraId="1889C62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8DEB11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020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037282D">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864D5B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兼容要求</w:t>
            </w:r>
          </w:p>
        </w:tc>
        <w:tc>
          <w:tcPr>
            <w:tcW w:w="2209" w:type="dxa"/>
            <w:shd w:val="clear" w:color="auto" w:fill="auto"/>
            <w:vAlign w:val="center"/>
          </w:tcPr>
          <w:p w14:paraId="5DFFE59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★数据库兼容</w:t>
            </w:r>
          </w:p>
        </w:tc>
        <w:tc>
          <w:tcPr>
            <w:tcW w:w="4060" w:type="dxa"/>
            <w:shd w:val="clear" w:color="auto" w:fill="auto"/>
            <w:vAlign w:val="center"/>
          </w:tcPr>
          <w:p w14:paraId="0B83BD6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兼容 3 个及以上厂商的数据库产品;</w:t>
            </w:r>
          </w:p>
        </w:tc>
        <w:tc>
          <w:tcPr>
            <w:tcW w:w="456" w:type="dxa"/>
            <w:shd w:val="clear" w:color="auto" w:fill="auto"/>
            <w:vAlign w:val="center"/>
          </w:tcPr>
          <w:p w14:paraId="5585A0B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976EE6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4D14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AE92065">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56066A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兼容要求</w:t>
            </w:r>
          </w:p>
        </w:tc>
        <w:tc>
          <w:tcPr>
            <w:tcW w:w="2209" w:type="dxa"/>
            <w:shd w:val="clear" w:color="auto" w:fill="auto"/>
            <w:vAlign w:val="center"/>
          </w:tcPr>
          <w:p w14:paraId="65249D8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★中间件兼容</w:t>
            </w:r>
          </w:p>
        </w:tc>
        <w:tc>
          <w:tcPr>
            <w:tcW w:w="4060" w:type="dxa"/>
            <w:shd w:val="clear" w:color="auto" w:fill="auto"/>
            <w:vAlign w:val="center"/>
          </w:tcPr>
          <w:p w14:paraId="77A6B1C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兼容 3 个及以上厂商的中间件产品;</w:t>
            </w:r>
          </w:p>
        </w:tc>
        <w:tc>
          <w:tcPr>
            <w:tcW w:w="456" w:type="dxa"/>
            <w:shd w:val="clear" w:color="auto" w:fill="auto"/>
            <w:vAlign w:val="center"/>
          </w:tcPr>
          <w:p w14:paraId="5D8BECF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D3424B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BC23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64D559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426493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兼容要求</w:t>
            </w:r>
          </w:p>
        </w:tc>
        <w:tc>
          <w:tcPr>
            <w:tcW w:w="2209" w:type="dxa"/>
            <w:shd w:val="clear" w:color="auto" w:fill="auto"/>
            <w:vAlign w:val="center"/>
          </w:tcPr>
          <w:p w14:paraId="58C1837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★平台软件兼容</w:t>
            </w:r>
          </w:p>
        </w:tc>
        <w:tc>
          <w:tcPr>
            <w:tcW w:w="4060" w:type="dxa"/>
            <w:shd w:val="clear" w:color="auto" w:fill="auto"/>
            <w:vAlign w:val="center"/>
          </w:tcPr>
          <w:p w14:paraId="1277029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兼容 3 个及以上厂商的大数据平台;</w:t>
            </w:r>
          </w:p>
        </w:tc>
        <w:tc>
          <w:tcPr>
            <w:tcW w:w="456" w:type="dxa"/>
            <w:shd w:val="clear" w:color="auto" w:fill="auto"/>
            <w:vAlign w:val="center"/>
          </w:tcPr>
          <w:p w14:paraId="10644FA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DA9564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8DC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C723480">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6C451C4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兼容要求</w:t>
            </w:r>
          </w:p>
        </w:tc>
        <w:tc>
          <w:tcPr>
            <w:tcW w:w="2209" w:type="dxa"/>
            <w:shd w:val="clear" w:color="auto" w:fill="auto"/>
            <w:vAlign w:val="center"/>
          </w:tcPr>
          <w:p w14:paraId="197B1D8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虚拟化软件兼容</w:t>
            </w:r>
          </w:p>
        </w:tc>
        <w:tc>
          <w:tcPr>
            <w:tcW w:w="4060" w:type="dxa"/>
            <w:shd w:val="clear" w:color="auto" w:fill="auto"/>
            <w:vAlign w:val="center"/>
          </w:tcPr>
          <w:p w14:paraId="5AEDB10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兼容 2 款及以上虚拟化软件;</w:t>
            </w:r>
          </w:p>
        </w:tc>
        <w:tc>
          <w:tcPr>
            <w:tcW w:w="456" w:type="dxa"/>
            <w:shd w:val="clear" w:color="auto" w:fill="auto"/>
            <w:vAlign w:val="center"/>
          </w:tcPr>
          <w:p w14:paraId="6AB530C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82A2FE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64F1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A52EADF">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9E1B25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可靠性要求</w:t>
            </w:r>
          </w:p>
        </w:tc>
        <w:tc>
          <w:tcPr>
            <w:tcW w:w="2209" w:type="dxa"/>
            <w:shd w:val="clear" w:color="auto" w:fill="auto"/>
            <w:vAlign w:val="center"/>
          </w:tcPr>
          <w:p w14:paraId="6DAFAC2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SATA SSD可靠性</w:t>
            </w:r>
          </w:p>
        </w:tc>
        <w:tc>
          <w:tcPr>
            <w:tcW w:w="4060" w:type="dxa"/>
            <w:shd w:val="clear" w:color="auto" w:fill="auto"/>
            <w:vAlign w:val="center"/>
          </w:tcPr>
          <w:p w14:paraId="60C84BD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SSD的m1 值（MTBF 的不可接受值）不低于 200000h;</w:t>
            </w:r>
          </w:p>
        </w:tc>
        <w:tc>
          <w:tcPr>
            <w:tcW w:w="456" w:type="dxa"/>
            <w:shd w:val="clear" w:color="auto" w:fill="auto"/>
            <w:vAlign w:val="center"/>
          </w:tcPr>
          <w:p w14:paraId="41CA4DD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DC8E14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FD8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C741BDE">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FE2DE0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可靠性要求</w:t>
            </w:r>
          </w:p>
        </w:tc>
        <w:tc>
          <w:tcPr>
            <w:tcW w:w="2209" w:type="dxa"/>
            <w:shd w:val="clear" w:color="auto" w:fill="auto"/>
            <w:vAlign w:val="center"/>
          </w:tcPr>
          <w:p w14:paraId="280EC65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★整机可靠性</w:t>
            </w:r>
          </w:p>
        </w:tc>
        <w:tc>
          <w:tcPr>
            <w:tcW w:w="4060" w:type="dxa"/>
            <w:shd w:val="clear" w:color="auto" w:fill="auto"/>
            <w:vAlign w:val="center"/>
          </w:tcPr>
          <w:p w14:paraId="3FDEF11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sz w:val="21"/>
                <w:szCs w:val="21"/>
                <w:u w:val="none"/>
              </w:rPr>
              <w:t>m1 值（MTBF 的不可接受值）不得低于 200000h;</w:t>
            </w:r>
          </w:p>
        </w:tc>
        <w:tc>
          <w:tcPr>
            <w:tcW w:w="456" w:type="dxa"/>
            <w:shd w:val="clear" w:color="auto" w:fill="auto"/>
            <w:vAlign w:val="center"/>
          </w:tcPr>
          <w:p w14:paraId="1061F24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8558AE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325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01D63E8">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81064A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可靠性要求</w:t>
            </w:r>
          </w:p>
        </w:tc>
        <w:tc>
          <w:tcPr>
            <w:tcW w:w="2209" w:type="dxa"/>
            <w:shd w:val="clear" w:color="auto" w:fill="auto"/>
            <w:vAlign w:val="center"/>
          </w:tcPr>
          <w:p w14:paraId="42D5BFE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★风扇可靠性</w:t>
            </w:r>
          </w:p>
        </w:tc>
        <w:tc>
          <w:tcPr>
            <w:tcW w:w="4060" w:type="dxa"/>
            <w:shd w:val="clear" w:color="auto" w:fill="auto"/>
            <w:vAlign w:val="center"/>
          </w:tcPr>
          <w:p w14:paraId="742514F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风扇寿命应不低于 40000h;</w:t>
            </w:r>
          </w:p>
        </w:tc>
        <w:tc>
          <w:tcPr>
            <w:tcW w:w="456" w:type="dxa"/>
            <w:shd w:val="clear" w:color="auto" w:fill="auto"/>
            <w:vAlign w:val="center"/>
          </w:tcPr>
          <w:p w14:paraId="52BA9DB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D4506D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7281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4E4C733">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58EF4F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可靠性要求</w:t>
            </w:r>
          </w:p>
        </w:tc>
        <w:tc>
          <w:tcPr>
            <w:tcW w:w="2209" w:type="dxa"/>
            <w:shd w:val="clear" w:color="auto" w:fill="auto"/>
            <w:vAlign w:val="center"/>
          </w:tcPr>
          <w:p w14:paraId="7B3EDB6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★部件可靠性</w:t>
            </w:r>
          </w:p>
        </w:tc>
        <w:tc>
          <w:tcPr>
            <w:tcW w:w="4060" w:type="dxa"/>
            <w:shd w:val="clear" w:color="auto" w:fill="auto"/>
            <w:vAlign w:val="center"/>
          </w:tcPr>
          <w:p w14:paraId="6E3A472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支持硬盘、电源、风扇热插拔(内置风扇除外);</w:t>
            </w:r>
          </w:p>
        </w:tc>
        <w:tc>
          <w:tcPr>
            <w:tcW w:w="456" w:type="dxa"/>
            <w:shd w:val="clear" w:color="auto" w:fill="auto"/>
            <w:vAlign w:val="center"/>
          </w:tcPr>
          <w:p w14:paraId="083C6A7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B3D7F8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BEA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BAB599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A9F445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包装及运输要求</w:t>
            </w:r>
          </w:p>
        </w:tc>
        <w:tc>
          <w:tcPr>
            <w:tcW w:w="2209" w:type="dxa"/>
            <w:shd w:val="clear" w:color="auto" w:fill="auto"/>
            <w:vAlign w:val="center"/>
          </w:tcPr>
          <w:p w14:paraId="33A5D10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★标志、包装、运输和贮存</w:t>
            </w:r>
          </w:p>
        </w:tc>
        <w:tc>
          <w:tcPr>
            <w:tcW w:w="4060" w:type="dxa"/>
            <w:shd w:val="clear" w:color="auto" w:fill="auto"/>
            <w:vAlign w:val="center"/>
          </w:tcPr>
          <w:p w14:paraId="3B33B55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符合GB/T 9813.3 和商品包装政府采购需求标准的相关规定;</w:t>
            </w:r>
          </w:p>
        </w:tc>
        <w:tc>
          <w:tcPr>
            <w:tcW w:w="456" w:type="dxa"/>
            <w:shd w:val="clear" w:color="auto" w:fill="auto"/>
            <w:vAlign w:val="center"/>
          </w:tcPr>
          <w:p w14:paraId="5469641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E64A4F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A5F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7" w:hRule="atLeast"/>
        </w:trPr>
        <w:tc>
          <w:tcPr>
            <w:tcW w:w="505" w:type="dxa"/>
            <w:shd w:val="clear" w:color="auto" w:fill="auto"/>
            <w:vAlign w:val="center"/>
          </w:tcPr>
          <w:p w14:paraId="0CED9804">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606D86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3523FBA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★服务响应</w:t>
            </w:r>
          </w:p>
        </w:tc>
        <w:tc>
          <w:tcPr>
            <w:tcW w:w="4060" w:type="dxa"/>
            <w:shd w:val="clear" w:color="auto" w:fill="auto"/>
            <w:vAlign w:val="center"/>
          </w:tcPr>
          <w:p w14:paraId="37F6BBD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a)投标人提供电话、电子邮件、远程连接等多种形式服务；</w:t>
            </w:r>
          </w:p>
          <w:p w14:paraId="2AF0A86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b)投标人提供同城4h、异地12h技术响应服务，2个工作日解决问题，对于未能解决的问题和故障应提供可行的升级方案，并提供周转设备；</w:t>
            </w:r>
          </w:p>
          <w:p w14:paraId="5DB566A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c)建立全国技术服务体系和服务团体，符合专业服务体系标准要求， 提供原厂中文服务；</w:t>
            </w:r>
          </w:p>
          <w:p w14:paraId="72D9978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d)服务周期内提供产品的维修、换件和升级服务；</w:t>
            </w:r>
          </w:p>
        </w:tc>
        <w:tc>
          <w:tcPr>
            <w:tcW w:w="456" w:type="dxa"/>
            <w:shd w:val="clear" w:color="auto" w:fill="auto"/>
            <w:vAlign w:val="center"/>
          </w:tcPr>
          <w:p w14:paraId="0DDF290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8F9C95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C02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EF2C910">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4275C8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7E4B000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★培训服务</w:t>
            </w:r>
          </w:p>
        </w:tc>
        <w:tc>
          <w:tcPr>
            <w:tcW w:w="4060" w:type="dxa"/>
            <w:shd w:val="clear" w:color="auto" w:fill="auto"/>
            <w:vAlign w:val="center"/>
          </w:tcPr>
          <w:p w14:paraId="309DBFC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投标人提供培训材料、产品手册、培训视频等培训相关内容；</w:t>
            </w:r>
          </w:p>
        </w:tc>
        <w:tc>
          <w:tcPr>
            <w:tcW w:w="456" w:type="dxa"/>
            <w:shd w:val="clear" w:color="auto" w:fill="auto"/>
            <w:vAlign w:val="center"/>
          </w:tcPr>
          <w:p w14:paraId="04ACBD6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FB3183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B79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505" w:type="dxa"/>
            <w:shd w:val="clear" w:color="auto" w:fill="auto"/>
            <w:vAlign w:val="center"/>
          </w:tcPr>
          <w:p w14:paraId="53177E9B">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769265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79E49BE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★服务周期</w:t>
            </w:r>
          </w:p>
        </w:tc>
        <w:tc>
          <w:tcPr>
            <w:tcW w:w="4060" w:type="dxa"/>
            <w:shd w:val="clear" w:color="auto" w:fill="auto"/>
            <w:vAlign w:val="center"/>
          </w:tcPr>
          <w:p w14:paraId="0693E3D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a)产品免费服务周期（含换件和维修）应不小于3年；</w:t>
            </w:r>
          </w:p>
          <w:p w14:paraId="573F459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b)设备停产后继续提供质量保障服务（含备品备件），服务终止时间与最后一批设备交付时间间隔不低于6年；</w:t>
            </w:r>
          </w:p>
          <w:p w14:paraId="5D94231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c)产品停止服务时间应提前1年告知客户；</w:t>
            </w:r>
          </w:p>
          <w:p w14:paraId="4A1D61A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d)产品发布日期需在随机文件中明确；</w:t>
            </w:r>
          </w:p>
        </w:tc>
        <w:tc>
          <w:tcPr>
            <w:tcW w:w="456" w:type="dxa"/>
            <w:shd w:val="clear" w:color="auto" w:fill="auto"/>
            <w:vAlign w:val="center"/>
          </w:tcPr>
          <w:p w14:paraId="0F63B5E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B0BF56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1C1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086B292">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1C99AE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58FF4B3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★工具要求</w:t>
            </w:r>
          </w:p>
        </w:tc>
        <w:tc>
          <w:tcPr>
            <w:tcW w:w="4060" w:type="dxa"/>
            <w:shd w:val="clear" w:color="auto" w:fill="auto"/>
            <w:vAlign w:val="center"/>
          </w:tcPr>
          <w:p w14:paraId="1C6FE14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投标人提供设置服务器硬件、辅助操作系统安装等功能的辅助工具和管理软件。且随附软件应具有合法授权或版权；</w:t>
            </w:r>
          </w:p>
        </w:tc>
        <w:tc>
          <w:tcPr>
            <w:tcW w:w="456" w:type="dxa"/>
            <w:shd w:val="clear" w:color="auto" w:fill="auto"/>
            <w:vAlign w:val="center"/>
          </w:tcPr>
          <w:p w14:paraId="2923496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1EA81A7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38B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662B461B">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4A3540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7E1D411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辅助工具</w:t>
            </w:r>
          </w:p>
        </w:tc>
        <w:tc>
          <w:tcPr>
            <w:tcW w:w="4060" w:type="dxa"/>
            <w:shd w:val="clear" w:color="auto" w:fill="auto"/>
            <w:vAlign w:val="center"/>
          </w:tcPr>
          <w:p w14:paraId="7662E60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2ABDB17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366038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284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89AFF88">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0645642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2298D96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★驱动安装升级指引</w:t>
            </w:r>
          </w:p>
        </w:tc>
        <w:tc>
          <w:tcPr>
            <w:tcW w:w="4060" w:type="dxa"/>
            <w:shd w:val="clear" w:color="auto" w:fill="auto"/>
            <w:vAlign w:val="center"/>
          </w:tcPr>
          <w:p w14:paraId="4412AC0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投标人提供出厂安装的配件所需的驱动程序，形式包括但不限于驱动光盘、驱动下载链接等，其他配件应提供指引；</w:t>
            </w:r>
          </w:p>
        </w:tc>
        <w:tc>
          <w:tcPr>
            <w:tcW w:w="456" w:type="dxa"/>
            <w:shd w:val="clear" w:color="auto" w:fill="auto"/>
            <w:vAlign w:val="center"/>
          </w:tcPr>
          <w:p w14:paraId="655EAA9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6F9F050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54DF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6553548">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FF8903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6D73F97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随机附开盖工具</w:t>
            </w:r>
          </w:p>
        </w:tc>
        <w:tc>
          <w:tcPr>
            <w:tcW w:w="4060" w:type="dxa"/>
            <w:shd w:val="clear" w:color="auto" w:fill="auto"/>
            <w:vAlign w:val="center"/>
          </w:tcPr>
          <w:p w14:paraId="6AF9ADA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随服务器打包提供开机箱工具；</w:t>
            </w:r>
          </w:p>
        </w:tc>
        <w:tc>
          <w:tcPr>
            <w:tcW w:w="456" w:type="dxa"/>
            <w:shd w:val="clear" w:color="auto" w:fill="auto"/>
            <w:vAlign w:val="center"/>
          </w:tcPr>
          <w:p w14:paraId="7238EF9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18E87C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17E2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4931415B">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55D0D8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2A337C1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代码迁移工具</w:t>
            </w:r>
          </w:p>
        </w:tc>
        <w:tc>
          <w:tcPr>
            <w:tcW w:w="4060" w:type="dxa"/>
            <w:shd w:val="clear" w:color="auto" w:fill="auto"/>
            <w:vAlign w:val="center"/>
          </w:tcPr>
          <w:p w14:paraId="4091806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40AE24C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038E59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5CF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CA8ED0C">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5B6129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309E844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性能分析工具</w:t>
            </w:r>
          </w:p>
        </w:tc>
        <w:tc>
          <w:tcPr>
            <w:tcW w:w="4060" w:type="dxa"/>
            <w:shd w:val="clear" w:color="auto" w:fill="auto"/>
            <w:vAlign w:val="center"/>
          </w:tcPr>
          <w:p w14:paraId="7FFBC80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7329D31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85D5AD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1A3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074016BF">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3DD4732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554CB59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跨架构平台应用兼容</w:t>
            </w:r>
          </w:p>
        </w:tc>
        <w:tc>
          <w:tcPr>
            <w:tcW w:w="4060" w:type="dxa"/>
            <w:shd w:val="clear" w:color="auto" w:fill="auto"/>
            <w:vAlign w:val="center"/>
          </w:tcPr>
          <w:p w14:paraId="735740E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本项目不涉及；</w:t>
            </w:r>
          </w:p>
        </w:tc>
        <w:tc>
          <w:tcPr>
            <w:tcW w:w="456" w:type="dxa"/>
            <w:shd w:val="clear" w:color="auto" w:fill="auto"/>
            <w:vAlign w:val="center"/>
          </w:tcPr>
          <w:p w14:paraId="6DBCD748">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5481FD3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215A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5CD3F5FA">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4A576C3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2D03580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★管理软件</w:t>
            </w:r>
          </w:p>
        </w:tc>
        <w:tc>
          <w:tcPr>
            <w:tcW w:w="4060" w:type="dxa"/>
            <w:shd w:val="clear" w:color="auto" w:fill="auto"/>
            <w:vAlign w:val="center"/>
          </w:tcPr>
          <w:p w14:paraId="5E5E38D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具备资源管理、系统管理、性能监控、健康监控、基于网络控制、报警设置功能；</w:t>
            </w:r>
          </w:p>
        </w:tc>
        <w:tc>
          <w:tcPr>
            <w:tcW w:w="456" w:type="dxa"/>
            <w:shd w:val="clear" w:color="auto" w:fill="auto"/>
            <w:vAlign w:val="center"/>
          </w:tcPr>
          <w:p w14:paraId="5B94E6E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3489AA0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426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4360D96">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51C8AA2D">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055EB2C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★厂家升级产品软件与扩容服务</w:t>
            </w:r>
          </w:p>
        </w:tc>
        <w:tc>
          <w:tcPr>
            <w:tcW w:w="4060" w:type="dxa"/>
            <w:shd w:val="clear" w:color="auto" w:fill="auto"/>
            <w:vAlign w:val="center"/>
          </w:tcPr>
          <w:p w14:paraId="06155CB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要求提供原厂级的部件/软件产品升级和扩容能力；</w:t>
            </w:r>
          </w:p>
        </w:tc>
        <w:tc>
          <w:tcPr>
            <w:tcW w:w="456" w:type="dxa"/>
            <w:shd w:val="clear" w:color="auto" w:fill="auto"/>
            <w:vAlign w:val="center"/>
          </w:tcPr>
          <w:p w14:paraId="7B600162">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8090E0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71A5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74CA229B">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2DDF506">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4E79FBA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服务保障升级</w:t>
            </w:r>
          </w:p>
        </w:tc>
        <w:tc>
          <w:tcPr>
            <w:tcW w:w="4060" w:type="dxa"/>
            <w:shd w:val="clear" w:color="auto" w:fill="auto"/>
            <w:vAlign w:val="center"/>
          </w:tcPr>
          <w:p w14:paraId="49C8086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投标人提供远程技术支持、软件授权服务、备件更换服务、现场支承服务；</w:t>
            </w:r>
          </w:p>
        </w:tc>
        <w:tc>
          <w:tcPr>
            <w:tcW w:w="456" w:type="dxa"/>
            <w:shd w:val="clear" w:color="auto" w:fill="auto"/>
            <w:vAlign w:val="center"/>
          </w:tcPr>
          <w:p w14:paraId="357C33C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06F852DC">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670FC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0E0A7C7">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F30087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4AB936E0">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★提供上门服务</w:t>
            </w:r>
          </w:p>
        </w:tc>
        <w:tc>
          <w:tcPr>
            <w:tcW w:w="4060" w:type="dxa"/>
            <w:shd w:val="clear" w:color="auto" w:fill="auto"/>
            <w:vAlign w:val="center"/>
          </w:tcPr>
          <w:p w14:paraId="3742CD5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要求投标人具备提供上门服务的能力；</w:t>
            </w:r>
          </w:p>
        </w:tc>
        <w:tc>
          <w:tcPr>
            <w:tcW w:w="456" w:type="dxa"/>
            <w:shd w:val="clear" w:color="auto" w:fill="auto"/>
            <w:vAlign w:val="center"/>
          </w:tcPr>
          <w:p w14:paraId="7F8AE0F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AD686D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1361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3FB1EC3D">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216D5A6F">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服务要求</w:t>
            </w:r>
          </w:p>
        </w:tc>
        <w:tc>
          <w:tcPr>
            <w:tcW w:w="2209" w:type="dxa"/>
            <w:shd w:val="clear" w:color="auto" w:fill="auto"/>
            <w:vAlign w:val="center"/>
          </w:tcPr>
          <w:p w14:paraId="196081D5">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业务场景性能优化服务及整体架构升级服务</w:t>
            </w:r>
          </w:p>
        </w:tc>
        <w:tc>
          <w:tcPr>
            <w:tcW w:w="4060" w:type="dxa"/>
            <w:shd w:val="clear" w:color="auto" w:fill="auto"/>
            <w:vAlign w:val="center"/>
          </w:tcPr>
          <w:p w14:paraId="187425EB">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投标人提供针对特定业务场景性能优化服务及整体架构升级服务；</w:t>
            </w:r>
          </w:p>
        </w:tc>
        <w:tc>
          <w:tcPr>
            <w:tcW w:w="456" w:type="dxa"/>
            <w:shd w:val="clear" w:color="auto" w:fill="auto"/>
            <w:vAlign w:val="center"/>
          </w:tcPr>
          <w:p w14:paraId="1E03F48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2BB21343">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0300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1353AA8F">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7159A619">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供保要求</w:t>
            </w:r>
          </w:p>
        </w:tc>
        <w:tc>
          <w:tcPr>
            <w:tcW w:w="2209" w:type="dxa"/>
            <w:shd w:val="clear" w:color="auto" w:fill="auto"/>
            <w:vAlign w:val="center"/>
          </w:tcPr>
          <w:p w14:paraId="008479B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★抗干扰性</w:t>
            </w:r>
          </w:p>
        </w:tc>
        <w:tc>
          <w:tcPr>
            <w:tcW w:w="4060" w:type="dxa"/>
            <w:shd w:val="clear" w:color="auto" w:fill="auto"/>
            <w:vAlign w:val="center"/>
          </w:tcPr>
          <w:p w14:paraId="5BB9BC1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当产品部件出现供应风险时，应通知客户并提供风险应对方案确保产品的服务保障，必要时应停止相关受影响产品的销售；</w:t>
            </w:r>
          </w:p>
        </w:tc>
        <w:tc>
          <w:tcPr>
            <w:tcW w:w="456" w:type="dxa"/>
            <w:shd w:val="clear" w:color="auto" w:fill="auto"/>
            <w:vAlign w:val="center"/>
          </w:tcPr>
          <w:p w14:paraId="50E6B27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704EAD34">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r w14:paraId="3E4D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shd w:val="clear" w:color="auto" w:fill="auto"/>
            <w:vAlign w:val="center"/>
          </w:tcPr>
          <w:p w14:paraId="2F652496">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0" w:beforeLines="0" w:after="0" w:afterLines="0" w:line="240" w:lineRule="auto"/>
              <w:ind w:left="425" w:leftChars="0" w:hanging="425" w:firstLineChars="0"/>
              <w:jc w:val="center"/>
              <w:textAlignment w:val="center"/>
              <w:rPr>
                <w:rFonts w:hint="eastAsia" w:ascii="宋体" w:hAnsi="宋体" w:eastAsia="宋体" w:cs="宋体"/>
                <w:b/>
                <w:bCs/>
                <w:i w:val="0"/>
                <w:iCs w:val="0"/>
                <w:color w:val="auto"/>
                <w:kern w:val="2"/>
                <w:sz w:val="24"/>
                <w:szCs w:val="24"/>
                <w:u w:val="none"/>
                <w:lang w:val="en-US" w:eastAsia="zh-CN" w:bidi="ar-SA"/>
              </w:rPr>
            </w:pPr>
          </w:p>
        </w:tc>
        <w:tc>
          <w:tcPr>
            <w:tcW w:w="836" w:type="dxa"/>
            <w:shd w:val="clear" w:color="auto" w:fill="auto"/>
            <w:vAlign w:val="center"/>
          </w:tcPr>
          <w:p w14:paraId="1C896FD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供保要求</w:t>
            </w:r>
          </w:p>
        </w:tc>
        <w:tc>
          <w:tcPr>
            <w:tcW w:w="2209" w:type="dxa"/>
            <w:shd w:val="clear" w:color="auto" w:fill="auto"/>
            <w:vAlign w:val="center"/>
          </w:tcPr>
          <w:p w14:paraId="7C01A43A">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★供应能力证明</w:t>
            </w:r>
          </w:p>
        </w:tc>
        <w:tc>
          <w:tcPr>
            <w:tcW w:w="4060" w:type="dxa"/>
            <w:shd w:val="clear" w:color="auto" w:fill="auto"/>
            <w:vAlign w:val="center"/>
          </w:tcPr>
          <w:p w14:paraId="467D8041">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投标人提供供应链稳定承诺书，确保产品的部件在产品服务周期内稳定供货；</w:t>
            </w:r>
          </w:p>
        </w:tc>
        <w:tc>
          <w:tcPr>
            <w:tcW w:w="456" w:type="dxa"/>
            <w:shd w:val="clear" w:color="auto" w:fill="auto"/>
            <w:vAlign w:val="center"/>
          </w:tcPr>
          <w:p w14:paraId="59D5C337">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center"/>
              <w:rPr>
                <w:rFonts w:hint="eastAsia" w:ascii="宋体" w:hAnsi="宋体" w:eastAsia="宋体" w:cs="宋体"/>
                <w:b/>
                <w:bCs/>
                <w:i w:val="0"/>
                <w:iCs w:val="0"/>
                <w:color w:val="auto"/>
                <w:kern w:val="2"/>
                <w:sz w:val="21"/>
                <w:szCs w:val="21"/>
                <w:u w:val="none"/>
                <w:lang w:val="en-US" w:eastAsia="zh-CN" w:bidi="ar-SA"/>
              </w:rPr>
            </w:pPr>
          </w:p>
        </w:tc>
        <w:tc>
          <w:tcPr>
            <w:tcW w:w="456" w:type="dxa"/>
            <w:shd w:val="clear" w:color="auto" w:fill="auto"/>
            <w:vAlign w:val="center"/>
          </w:tcPr>
          <w:p w14:paraId="4DB1983E">
            <w:pPr>
              <w:keepNext w:val="0"/>
              <w:keepLines w:val="0"/>
              <w:pageBreakBefore w:val="0"/>
              <w:widowControl/>
              <w:suppressLineNumbers w:val="0"/>
              <w:kinsoku/>
              <w:wordWrap/>
              <w:overflowPunct/>
              <w:topLinePunct w:val="0"/>
              <w:autoSpaceDE/>
              <w:autoSpaceDN/>
              <w:bidi w:val="0"/>
              <w:adjustRightInd w:val="0"/>
              <w:snapToGrid w:val="0"/>
              <w:spacing w:before="0" w:beforeLines="0" w:after="0" w:afterLines="0" w:line="240" w:lineRule="auto"/>
              <w:ind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p>
        </w:tc>
      </w:tr>
    </w:tbl>
    <w:p w14:paraId="307A1BCF">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lang w:val="en-US" w:eastAsia="zh-CN" w:bidi="ar"/>
        </w:rPr>
      </w:pPr>
    </w:p>
    <w:p w14:paraId="03B00EC3">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lang w:val="en-US" w:eastAsia="zh-CN" w:bidi="ar"/>
        </w:rPr>
      </w:pPr>
      <w:r>
        <w:rPr>
          <w:rFonts w:ascii="sans-serif" w:hAnsi="sans-serif" w:eastAsia="sans-serif" w:cs="sans-serif"/>
          <w:b/>
          <w:i w:val="0"/>
          <w:caps w:val="0"/>
          <w:color w:val="auto"/>
          <w:spacing w:val="0"/>
          <w:kern w:val="0"/>
          <w:sz w:val="24"/>
          <w:szCs w:val="24"/>
          <w:shd w:val="clear" w:fill="FFFFFF"/>
          <w:lang w:val="en-US" w:eastAsia="zh-CN" w:bidi="ar"/>
        </w:rPr>
        <w:t>3.4 服务要求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82F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5316AFF7">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序号</w:t>
            </w:r>
          </w:p>
        </w:tc>
        <w:tc>
          <w:tcPr>
            <w:tcW w:w="1420" w:type="dxa"/>
          </w:tcPr>
          <w:p w14:paraId="06B641E5">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指标种类</w:t>
            </w:r>
          </w:p>
        </w:tc>
        <w:tc>
          <w:tcPr>
            <w:tcW w:w="1420" w:type="dxa"/>
          </w:tcPr>
          <w:p w14:paraId="5D280E52">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指标名称</w:t>
            </w:r>
          </w:p>
        </w:tc>
        <w:tc>
          <w:tcPr>
            <w:tcW w:w="1420" w:type="dxa"/>
          </w:tcPr>
          <w:p w14:paraId="149F9471">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指标内容</w:t>
            </w:r>
          </w:p>
        </w:tc>
        <w:tc>
          <w:tcPr>
            <w:tcW w:w="1421" w:type="dxa"/>
          </w:tcPr>
          <w:p w14:paraId="67FAF7EA">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重要性</w:t>
            </w:r>
          </w:p>
        </w:tc>
        <w:tc>
          <w:tcPr>
            <w:tcW w:w="1421" w:type="dxa"/>
          </w:tcPr>
          <w:p w14:paraId="31D6A794">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是否需要证明材料</w:t>
            </w:r>
          </w:p>
        </w:tc>
      </w:tr>
      <w:tr w14:paraId="1118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701E76BA">
            <w:pPr>
              <w:keepNext w:val="0"/>
              <w:keepLines w:val="0"/>
              <w:widowControl/>
              <w:suppressLineNumbers w:val="0"/>
              <w:jc w:val="left"/>
              <w:rPr>
                <w:rFonts w:hint="default"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1</w:t>
            </w:r>
          </w:p>
        </w:tc>
        <w:tc>
          <w:tcPr>
            <w:tcW w:w="1420" w:type="dxa"/>
          </w:tcPr>
          <w:p w14:paraId="3E8705C3">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技术评审</w:t>
            </w:r>
          </w:p>
        </w:tc>
        <w:tc>
          <w:tcPr>
            <w:tcW w:w="1420" w:type="dxa"/>
          </w:tcPr>
          <w:p w14:paraId="06E08DE9">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项目服务要求</w:t>
            </w:r>
          </w:p>
        </w:tc>
        <w:tc>
          <w:tcPr>
            <w:tcW w:w="1420" w:type="dxa"/>
          </w:tcPr>
          <w:p w14:paraId="06317D25">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仿宋_GB2312" w:hAnsi="仿宋_GB2312" w:eastAsia="仿宋_GB2312" w:cs="仿宋_GB2312"/>
                <w:color w:val="auto"/>
                <w:kern w:val="0"/>
                <w:szCs w:val="20"/>
                <w:lang w:val="en-US" w:eastAsia="zh-CN" w:bidi="ar-SA"/>
              </w:rPr>
              <w:t>根据但不限于对“4.3服务要求”相关要求（★号、▲号要求除外），对投标人提供的项目服务方案进行评价，应包含</w:t>
            </w:r>
            <w:r>
              <w:rPr>
                <w:rFonts w:hint="eastAsia" w:ascii="宋体" w:hAnsi="宋体"/>
                <w:color w:val="auto"/>
                <w:szCs w:val="21"/>
              </w:rPr>
              <w:t>供货</w:t>
            </w:r>
            <w:r>
              <w:rPr>
                <w:rFonts w:hint="eastAsia"/>
                <w:color w:val="auto"/>
                <w:szCs w:val="21"/>
                <w:lang w:val="en-US" w:eastAsia="zh-CN"/>
              </w:rPr>
              <w:t>方案</w:t>
            </w:r>
            <w:r>
              <w:rPr>
                <w:rFonts w:hint="eastAsia"/>
                <w:color w:val="auto"/>
                <w:szCs w:val="21"/>
                <w:lang w:eastAsia="zh-CN"/>
              </w:rPr>
              <w:t>、</w:t>
            </w:r>
            <w:r>
              <w:rPr>
                <w:rFonts w:hint="eastAsia"/>
                <w:color w:val="auto"/>
                <w:szCs w:val="21"/>
                <w:lang w:val="en-US" w:eastAsia="zh-CN"/>
              </w:rPr>
              <w:t>工期。</w:t>
            </w:r>
          </w:p>
        </w:tc>
        <w:tc>
          <w:tcPr>
            <w:tcW w:w="1421" w:type="dxa"/>
          </w:tcPr>
          <w:p w14:paraId="18D33B8E">
            <w:pPr>
              <w:keepNext w:val="0"/>
              <w:keepLines w:val="0"/>
              <w:widowControl/>
              <w:suppressLineNumbers w:val="0"/>
              <w:jc w:val="left"/>
              <w:rPr>
                <w:rFonts w:hint="default"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w:t>
            </w:r>
          </w:p>
        </w:tc>
        <w:tc>
          <w:tcPr>
            <w:tcW w:w="1421" w:type="dxa"/>
          </w:tcPr>
          <w:p w14:paraId="7DDEB834">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是</w:t>
            </w:r>
          </w:p>
        </w:tc>
      </w:tr>
      <w:tr w14:paraId="5D16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09E793E2">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p>
        </w:tc>
        <w:tc>
          <w:tcPr>
            <w:tcW w:w="1420" w:type="dxa"/>
          </w:tcPr>
          <w:p w14:paraId="44F27742">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技术评审</w:t>
            </w:r>
          </w:p>
        </w:tc>
        <w:tc>
          <w:tcPr>
            <w:tcW w:w="1420" w:type="dxa"/>
          </w:tcPr>
          <w:p w14:paraId="5303D512">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服务便利性</w:t>
            </w:r>
          </w:p>
        </w:tc>
        <w:tc>
          <w:tcPr>
            <w:tcW w:w="1420" w:type="dxa"/>
          </w:tcPr>
          <w:p w14:paraId="2F125B95">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default" w:ascii="仿宋_GB2312" w:hAnsi="仿宋_GB2312" w:eastAsia="仿宋_GB2312" w:cs="仿宋_GB2312"/>
                <w:color w:val="auto"/>
                <w:kern w:val="0"/>
                <w:szCs w:val="20"/>
                <w:lang w:val="en-US" w:eastAsia="zh-CN" w:bidi="ar-SA"/>
              </w:rPr>
              <w:t>投标人承诺在</w:t>
            </w:r>
            <w:r>
              <w:rPr>
                <w:rFonts w:hint="eastAsia" w:ascii="仿宋_GB2312" w:hAnsi="仿宋_GB2312" w:eastAsia="仿宋_GB2312" w:cs="仿宋_GB2312"/>
                <w:color w:val="auto"/>
                <w:kern w:val="0"/>
                <w:szCs w:val="20"/>
                <w:lang w:val="en-US" w:eastAsia="zh-CN" w:bidi="ar-SA"/>
              </w:rPr>
              <w:t>维保期内</w:t>
            </w:r>
            <w:r>
              <w:rPr>
                <w:rFonts w:hint="default" w:ascii="仿宋_GB2312" w:hAnsi="仿宋_GB2312" w:eastAsia="仿宋_GB2312" w:cs="仿宋_GB2312"/>
                <w:color w:val="auto"/>
                <w:kern w:val="0"/>
                <w:szCs w:val="20"/>
                <w:lang w:val="en-US" w:eastAsia="zh-CN" w:bidi="ar-SA"/>
              </w:rPr>
              <w:t>出现故障时，能在3小时内到达采购人现场</w:t>
            </w:r>
            <w:r>
              <w:rPr>
                <w:rFonts w:hint="eastAsia" w:ascii="仿宋_GB2312" w:hAnsi="仿宋_GB2312" w:eastAsia="仿宋_GB2312" w:cs="仿宋_GB2312"/>
                <w:color w:val="auto"/>
                <w:kern w:val="0"/>
                <w:szCs w:val="20"/>
                <w:lang w:val="en-US" w:eastAsia="zh-CN" w:bidi="ar-SA"/>
              </w:rPr>
              <w:t>。</w:t>
            </w:r>
            <w:r>
              <w:rPr>
                <w:rFonts w:hint="default" w:ascii="仿宋_GB2312" w:hAnsi="仿宋_GB2312" w:eastAsia="仿宋_GB2312" w:cs="仿宋_GB2312"/>
                <w:color w:val="auto"/>
                <w:kern w:val="0"/>
                <w:szCs w:val="20"/>
                <w:lang w:val="en-US" w:eastAsia="zh-CN" w:bidi="ar-SA"/>
              </w:rPr>
              <w:t xml:space="preserve"> （采购人现场地址：广州市华夏路 3 号）</w:t>
            </w:r>
          </w:p>
        </w:tc>
        <w:tc>
          <w:tcPr>
            <w:tcW w:w="1421" w:type="dxa"/>
          </w:tcPr>
          <w:p w14:paraId="440DB838">
            <w:pPr>
              <w:keepNext w:val="0"/>
              <w:keepLines w:val="0"/>
              <w:widowControl/>
              <w:suppressLineNumbers w:val="0"/>
              <w:jc w:val="left"/>
              <w:rPr>
                <w:rFonts w:hint="default"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w:t>
            </w:r>
          </w:p>
        </w:tc>
        <w:tc>
          <w:tcPr>
            <w:tcW w:w="1421" w:type="dxa"/>
          </w:tcPr>
          <w:p w14:paraId="45AA122B">
            <w:pPr>
              <w:keepNext w:val="0"/>
              <w:keepLines w:val="0"/>
              <w:widowControl/>
              <w:suppressLineNumbers w:val="0"/>
              <w:jc w:val="left"/>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是</w:t>
            </w:r>
          </w:p>
        </w:tc>
      </w:tr>
    </w:tbl>
    <w:p w14:paraId="3C3A206F">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lang w:val="en-US" w:eastAsia="zh-CN" w:bidi="ar"/>
        </w:rPr>
      </w:pPr>
    </w:p>
    <w:p w14:paraId="009BC760">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3.5 其他要求</w:t>
      </w:r>
    </w:p>
    <w:p w14:paraId="032BCA04">
      <w:pPr>
        <w:keepNext w:val="0"/>
        <w:keepLines w:val="0"/>
        <w:widowControl/>
        <w:suppressLineNumbers w:val="0"/>
        <w:jc w:val="left"/>
        <w:rPr>
          <w:rFonts w:hint="eastAsia"/>
          <w:color w:val="auto"/>
          <w:lang w:val="en-US" w:eastAsia="zh-CN"/>
        </w:rPr>
      </w:pPr>
      <w:r>
        <w:rPr>
          <w:rFonts w:hint="eastAsia"/>
          <w:color w:val="auto"/>
          <w:lang w:val="en-US" w:eastAsia="zh-CN"/>
        </w:rPr>
        <w:t>无</w:t>
      </w:r>
    </w:p>
    <w:p w14:paraId="21667344">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lang w:val="en-US" w:eastAsia="zh-CN" w:bidi="ar"/>
        </w:rPr>
      </w:pPr>
      <w:r>
        <w:rPr>
          <w:rFonts w:ascii="sans-serif" w:hAnsi="sans-serif" w:eastAsia="sans-serif" w:cs="sans-serif"/>
          <w:b/>
          <w:i w:val="0"/>
          <w:caps w:val="0"/>
          <w:color w:val="auto"/>
          <w:spacing w:val="0"/>
          <w:kern w:val="0"/>
          <w:sz w:val="24"/>
          <w:szCs w:val="24"/>
          <w:shd w:val="clear" w:fill="FFFFFF"/>
          <w:lang w:val="en-US" w:eastAsia="zh-CN" w:bidi="ar"/>
        </w:rPr>
        <w:t>4 人员要求</w:t>
      </w:r>
    </w:p>
    <w:p w14:paraId="00FCF947">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lang w:val="en-US" w:eastAsia="zh-CN" w:bidi="ar"/>
        </w:rPr>
      </w:pPr>
      <w:r>
        <w:rPr>
          <w:rFonts w:ascii="sans-serif" w:hAnsi="sans-serif" w:eastAsia="sans-serif" w:cs="sans-serif"/>
          <w:b/>
          <w:i w:val="0"/>
          <w:caps w:val="0"/>
          <w:color w:val="auto"/>
          <w:spacing w:val="0"/>
          <w:kern w:val="0"/>
          <w:sz w:val="24"/>
          <w:szCs w:val="24"/>
          <w:shd w:val="clear" w:fill="FFFFFF"/>
          <w:lang w:val="en-US" w:eastAsia="zh-CN" w:bidi="ar"/>
        </w:rPr>
        <w:t>4.1 团队要求</w:t>
      </w:r>
    </w:p>
    <w:p w14:paraId="2613965A">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4.1.1 基本要求</w:t>
      </w:r>
    </w:p>
    <w:p w14:paraId="23366CD0">
      <w:pPr>
        <w:keepNext w:val="0"/>
        <w:keepLines w:val="0"/>
        <w:widowControl/>
        <w:suppressLineNumbers w:val="0"/>
        <w:jc w:val="left"/>
        <w:rPr>
          <w:rFonts w:hint="eastAsia"/>
          <w:color w:val="auto"/>
          <w:lang w:val="en-US" w:eastAsia="zh-CN"/>
        </w:rPr>
      </w:pPr>
      <w:r>
        <w:rPr>
          <w:rFonts w:hint="eastAsia"/>
          <w:color w:val="auto"/>
          <w:lang w:val="en-US" w:eastAsia="zh-CN"/>
        </w:rPr>
        <w:t>无</w:t>
      </w:r>
    </w:p>
    <w:p w14:paraId="61C2A568">
      <w:pPr>
        <w:keepNext w:val="0"/>
        <w:keepLines w:val="0"/>
        <w:widowControl/>
        <w:suppressLineNumbers w:val="0"/>
        <w:jc w:val="left"/>
        <w:rPr>
          <w:color w:val="auto"/>
        </w:rPr>
      </w:pPr>
      <w:r>
        <w:rPr>
          <w:rFonts w:hint="eastAsia" w:ascii="sans-serif" w:hAnsi="sans-serif" w:eastAsia="sans-serif" w:cs="sans-serif"/>
          <w:b/>
          <w:i w:val="0"/>
          <w:caps w:val="0"/>
          <w:color w:val="auto"/>
          <w:spacing w:val="0"/>
          <w:kern w:val="0"/>
          <w:sz w:val="24"/>
          <w:szCs w:val="24"/>
          <w:shd w:val="clear" w:fill="FFFFFF"/>
          <w:lang w:val="en-US" w:eastAsia="zh-CN" w:bidi="ar"/>
        </w:rPr>
        <w:t>4.1.2</w:t>
      </w:r>
      <w:r>
        <w:rPr>
          <w:rFonts w:ascii="sans-serif" w:hAnsi="sans-serif" w:eastAsia="sans-serif" w:cs="sans-serif"/>
          <w:b/>
          <w:i w:val="0"/>
          <w:caps w:val="0"/>
          <w:color w:val="auto"/>
          <w:spacing w:val="0"/>
          <w:kern w:val="0"/>
          <w:sz w:val="24"/>
          <w:szCs w:val="24"/>
          <w:shd w:val="clear" w:fill="FFFFFF"/>
          <w:lang w:val="en-US" w:eastAsia="zh-CN" w:bidi="ar"/>
        </w:rPr>
        <w:t>优选资质/优选指标</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7A4A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258DD1D1">
            <w:pPr>
              <w:rPr>
                <w:rFonts w:hint="default"/>
                <w:color w:val="auto"/>
                <w:vertAlign w:val="baseline"/>
                <w:lang w:val="en-US" w:eastAsia="zh-CN"/>
              </w:rPr>
            </w:pPr>
            <w:r>
              <w:rPr>
                <w:rFonts w:hint="eastAsia" w:ascii="sans-serif" w:hAnsi="sans-serif" w:eastAsia="sans-serif" w:cs="sans-serif"/>
                <w:b/>
                <w:i w:val="0"/>
                <w:caps w:val="0"/>
                <w:color w:val="auto"/>
                <w:spacing w:val="0"/>
                <w:kern w:val="0"/>
                <w:sz w:val="24"/>
                <w:szCs w:val="24"/>
                <w:shd w:val="clear" w:fill="FFFFFF"/>
                <w:lang w:val="en-US" w:eastAsia="zh-CN" w:bidi="ar"/>
              </w:rPr>
              <w:t>序号</w:t>
            </w:r>
          </w:p>
        </w:tc>
        <w:tc>
          <w:tcPr>
            <w:tcW w:w="1704" w:type="dxa"/>
          </w:tcPr>
          <w:p w14:paraId="233E5E48">
            <w:pPr>
              <w:rPr>
                <w:rFonts w:hint="default" w:ascii="sans-serif" w:hAnsi="sans-serif" w:eastAsia="sans-serif" w:cs="sans-serif"/>
                <w:b/>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人员类别</w:t>
            </w:r>
          </w:p>
        </w:tc>
        <w:tc>
          <w:tcPr>
            <w:tcW w:w="1704" w:type="dxa"/>
          </w:tcPr>
          <w:p w14:paraId="2EC28490">
            <w:pPr>
              <w:rPr>
                <w:rFonts w:hint="default" w:ascii="sans-serif" w:hAnsi="sans-serif" w:eastAsia="sans-serif" w:cs="sans-serif"/>
                <w:b/>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人员岗位</w:t>
            </w:r>
          </w:p>
        </w:tc>
        <w:tc>
          <w:tcPr>
            <w:tcW w:w="1705" w:type="dxa"/>
          </w:tcPr>
          <w:p w14:paraId="0892D2CA">
            <w:pPr>
              <w:rPr>
                <w:rFonts w:hint="default" w:ascii="sans-serif" w:hAnsi="sans-serif" w:eastAsia="sans-serif" w:cs="sans-serif"/>
                <w:b/>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人员要求</w:t>
            </w:r>
          </w:p>
        </w:tc>
        <w:tc>
          <w:tcPr>
            <w:tcW w:w="1705" w:type="dxa"/>
          </w:tcPr>
          <w:p w14:paraId="7947C487">
            <w:pPr>
              <w:rPr>
                <w:rFonts w:hint="default" w:ascii="sans-serif" w:hAnsi="sans-serif" w:eastAsia="sans-serif" w:cs="sans-serif"/>
                <w:b/>
                <w:i w:val="0"/>
                <w:caps w:val="0"/>
                <w:color w:val="auto"/>
                <w:spacing w:val="0"/>
                <w:kern w:val="0"/>
                <w:sz w:val="24"/>
                <w:szCs w:val="24"/>
                <w:shd w:val="clear" w:fill="FFFFFF"/>
                <w:lang w:val="en-US" w:eastAsia="zh-CN" w:bidi="ar"/>
              </w:rPr>
            </w:pPr>
            <w:r>
              <w:rPr>
                <w:rFonts w:hint="eastAsia" w:ascii="sans-serif" w:hAnsi="sans-serif" w:eastAsia="sans-serif" w:cs="sans-serif"/>
                <w:b/>
                <w:i w:val="0"/>
                <w:caps w:val="0"/>
                <w:color w:val="auto"/>
                <w:spacing w:val="0"/>
                <w:kern w:val="0"/>
                <w:sz w:val="24"/>
                <w:szCs w:val="24"/>
                <w:shd w:val="clear" w:fill="FFFFFF"/>
                <w:lang w:val="en-US" w:eastAsia="zh-CN" w:bidi="ar"/>
              </w:rPr>
              <w:t>是否作为加分项</w:t>
            </w:r>
          </w:p>
        </w:tc>
      </w:tr>
      <w:tr w14:paraId="5646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Pr>
          <w:p w14:paraId="4A39F62B">
            <w:pPr>
              <w:ind w:left="105" w:hanging="105" w:hangingChars="50"/>
              <w:rPr>
                <w:rFonts w:hint="default"/>
                <w:color w:val="auto"/>
                <w:vertAlign w:val="baseline"/>
                <w:lang w:val="en-US" w:eastAsia="zh-CN"/>
              </w:rPr>
            </w:pPr>
            <w:r>
              <w:rPr>
                <w:rFonts w:hint="eastAsia"/>
                <w:color w:val="auto"/>
                <w:lang w:val="en-US" w:eastAsia="zh-CN"/>
              </w:rPr>
              <w:t>1</w:t>
            </w:r>
          </w:p>
        </w:tc>
        <w:tc>
          <w:tcPr>
            <w:tcW w:w="1704" w:type="dxa"/>
          </w:tcPr>
          <w:p w14:paraId="42BF2AFC">
            <w:pPr>
              <w:rPr>
                <w:rFonts w:hint="default"/>
                <w:color w:val="auto"/>
                <w:vertAlign w:val="baseline"/>
                <w:lang w:val="en-US" w:eastAsia="zh-CN"/>
              </w:rPr>
            </w:pPr>
            <w:r>
              <w:rPr>
                <w:rFonts w:hint="eastAsia" w:ascii="仿宋_GB2312" w:hAnsi="仿宋_GB2312" w:eastAsia="仿宋_GB2312" w:cs="仿宋_GB2312"/>
                <w:color w:val="auto"/>
                <w:kern w:val="0"/>
                <w:szCs w:val="20"/>
                <w:lang w:val="en-US" w:eastAsia="zh-CN" w:bidi="ar-SA"/>
              </w:rPr>
              <w:t>项目经理</w:t>
            </w:r>
          </w:p>
        </w:tc>
        <w:tc>
          <w:tcPr>
            <w:tcW w:w="1704" w:type="dxa"/>
          </w:tcPr>
          <w:p w14:paraId="66F4D59D">
            <w:pPr>
              <w:rPr>
                <w:rFonts w:hint="default"/>
                <w:color w:val="auto"/>
                <w:vertAlign w:val="baseline"/>
                <w:lang w:val="en-US" w:eastAsia="zh-CN"/>
              </w:rPr>
            </w:pPr>
            <w:r>
              <w:rPr>
                <w:rFonts w:hint="eastAsia" w:ascii="仿宋_GB2312" w:hAnsi="仿宋_GB2312" w:eastAsia="仿宋_GB2312" w:cs="仿宋_GB2312"/>
                <w:color w:val="auto"/>
                <w:kern w:val="0"/>
                <w:szCs w:val="20"/>
                <w:lang w:val="en-US" w:eastAsia="zh-CN" w:bidi="ar-SA"/>
              </w:rPr>
              <w:t>项目经理</w:t>
            </w:r>
          </w:p>
        </w:tc>
        <w:tc>
          <w:tcPr>
            <w:tcW w:w="1705" w:type="dxa"/>
          </w:tcPr>
          <w:p w14:paraId="64D49D56">
            <w:pPr>
              <w:rPr>
                <w:rFonts w:hint="default"/>
                <w:color w:val="auto"/>
                <w:vertAlign w:val="baseline"/>
                <w:lang w:val="en-US" w:eastAsia="zh-CN"/>
              </w:rPr>
            </w:pPr>
            <w:r>
              <w:rPr>
                <w:rFonts w:hint="default"/>
                <w:color w:val="auto"/>
                <w:vertAlign w:val="baseline"/>
                <w:lang w:val="en-US" w:eastAsia="zh-CN"/>
              </w:rPr>
              <w:t>系统集成项目管理工程师</w:t>
            </w:r>
          </w:p>
        </w:tc>
        <w:tc>
          <w:tcPr>
            <w:tcW w:w="1705" w:type="dxa"/>
          </w:tcPr>
          <w:p w14:paraId="7382F600">
            <w:pPr>
              <w:rPr>
                <w:rFonts w:hint="default"/>
                <w:color w:val="auto"/>
                <w:vertAlign w:val="baseline"/>
                <w:lang w:val="en-US" w:eastAsia="zh-CN"/>
              </w:rPr>
            </w:pPr>
            <w:r>
              <w:rPr>
                <w:rFonts w:hint="eastAsia"/>
                <w:color w:val="auto"/>
                <w:vertAlign w:val="baseline"/>
                <w:lang w:val="en-US" w:eastAsia="zh-CN"/>
              </w:rPr>
              <w:t>是</w:t>
            </w:r>
          </w:p>
        </w:tc>
      </w:tr>
      <w:tr w14:paraId="60B2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001DA7F4">
            <w:pPr>
              <w:rPr>
                <w:rFonts w:hint="default"/>
                <w:color w:val="auto"/>
                <w:vertAlign w:val="baseline"/>
                <w:lang w:val="en-US" w:eastAsia="zh-CN"/>
              </w:rPr>
            </w:pPr>
          </w:p>
        </w:tc>
        <w:tc>
          <w:tcPr>
            <w:tcW w:w="1704" w:type="dxa"/>
          </w:tcPr>
          <w:p w14:paraId="4FA5284A">
            <w:pPr>
              <w:rPr>
                <w:rFonts w:hint="default"/>
                <w:color w:val="auto"/>
                <w:vertAlign w:val="baseline"/>
                <w:lang w:val="en-US" w:eastAsia="zh-CN"/>
              </w:rPr>
            </w:pPr>
          </w:p>
        </w:tc>
        <w:tc>
          <w:tcPr>
            <w:tcW w:w="1704" w:type="dxa"/>
          </w:tcPr>
          <w:p w14:paraId="5B43385C">
            <w:pPr>
              <w:rPr>
                <w:rFonts w:hint="default"/>
                <w:color w:val="auto"/>
                <w:vertAlign w:val="baseline"/>
                <w:lang w:val="en-US" w:eastAsia="zh-CN"/>
              </w:rPr>
            </w:pPr>
          </w:p>
        </w:tc>
        <w:tc>
          <w:tcPr>
            <w:tcW w:w="1705" w:type="dxa"/>
          </w:tcPr>
          <w:p w14:paraId="230A39DA">
            <w:pPr>
              <w:rPr>
                <w:rFonts w:hint="default"/>
                <w:color w:val="auto"/>
                <w:vertAlign w:val="baseline"/>
                <w:lang w:val="en-US" w:eastAsia="zh-CN"/>
              </w:rPr>
            </w:pPr>
          </w:p>
        </w:tc>
        <w:tc>
          <w:tcPr>
            <w:tcW w:w="1705" w:type="dxa"/>
          </w:tcPr>
          <w:p w14:paraId="021ED232">
            <w:pPr>
              <w:rPr>
                <w:rFonts w:hint="default"/>
                <w:color w:val="auto"/>
                <w:vertAlign w:val="baseline"/>
                <w:lang w:val="en-US" w:eastAsia="zh-CN"/>
              </w:rPr>
            </w:pPr>
          </w:p>
        </w:tc>
      </w:tr>
    </w:tbl>
    <w:p w14:paraId="700E8EDD">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5 管理实施要求</w:t>
      </w:r>
    </w:p>
    <w:p w14:paraId="60E4A953">
      <w:pPr>
        <w:widowControl/>
        <w:spacing w:line="360" w:lineRule="auto"/>
        <w:ind w:firstLine="420" w:firstLineChars="200"/>
        <w:rPr>
          <w:rFonts w:ascii="宋体" w:hAnsi="宋体"/>
          <w:color w:val="auto"/>
          <w:szCs w:val="21"/>
        </w:rPr>
      </w:pPr>
      <w:r>
        <w:rPr>
          <w:rFonts w:hint="eastAsia" w:ascii="宋体" w:hAnsi="宋体"/>
          <w:color w:val="auto"/>
          <w:szCs w:val="21"/>
        </w:rPr>
        <w:t xml:space="preserve">1）中标人负责根据各品目不同的安装地点，负责将设备材料送到指定现场过程中的全部运输；包括装卸车、货物现场的搬运、设备的安装、调试等； </w:t>
      </w:r>
    </w:p>
    <w:p w14:paraId="1FFE0E2F">
      <w:pPr>
        <w:widowControl/>
        <w:spacing w:line="360" w:lineRule="auto"/>
        <w:ind w:firstLine="420" w:firstLineChars="200"/>
        <w:rPr>
          <w:rFonts w:ascii="宋体" w:hAnsi="宋体"/>
          <w:color w:val="auto"/>
          <w:szCs w:val="21"/>
        </w:rPr>
      </w:pPr>
      <w:r>
        <w:rPr>
          <w:rFonts w:hint="eastAsia" w:ascii="宋体" w:hAnsi="宋体"/>
          <w:color w:val="auto"/>
          <w:szCs w:val="21"/>
        </w:rPr>
        <w:t xml:space="preserve">2）各种设备，需提供装箱清单，按装箱清单验收货物； </w:t>
      </w:r>
    </w:p>
    <w:p w14:paraId="6199B44A">
      <w:pPr>
        <w:widowControl/>
        <w:spacing w:line="360" w:lineRule="auto"/>
        <w:ind w:firstLine="420" w:firstLineChars="200"/>
        <w:rPr>
          <w:rFonts w:ascii="宋体" w:hAnsi="宋体"/>
          <w:color w:val="auto"/>
          <w:szCs w:val="21"/>
        </w:rPr>
      </w:pPr>
      <w:r>
        <w:rPr>
          <w:rFonts w:hint="eastAsia" w:ascii="宋体" w:hAnsi="宋体"/>
          <w:color w:val="auto"/>
          <w:szCs w:val="21"/>
        </w:rPr>
        <w:t xml:space="preserve">3）货物在现场的保管由中标人负责，直至项目安装、验收完毕； </w:t>
      </w:r>
    </w:p>
    <w:p w14:paraId="01A9DC0F">
      <w:pPr>
        <w:widowControl/>
        <w:spacing w:line="360" w:lineRule="auto"/>
        <w:ind w:firstLine="420" w:firstLineChars="200"/>
        <w:rPr>
          <w:rFonts w:ascii="宋体" w:hAnsi="宋体"/>
          <w:color w:val="auto"/>
          <w:szCs w:val="21"/>
        </w:rPr>
      </w:pPr>
      <w:r>
        <w:rPr>
          <w:rFonts w:hint="eastAsia" w:ascii="宋体" w:hAnsi="宋体"/>
          <w:color w:val="auto"/>
          <w:szCs w:val="21"/>
        </w:rPr>
        <w:t>4）货物在安装调试验收合格前的保险由中标人负责，中标人负责其派出的现场服务人员人身意外保险。安装调试过程中，中标人需保证采购人和中标人双方人员和财产的安全，如发生人身或财产损害，由中标人承担责任。</w:t>
      </w:r>
    </w:p>
    <w:p w14:paraId="3FECE5D6">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6 风险管控要求</w:t>
      </w:r>
    </w:p>
    <w:p w14:paraId="022A2284">
      <w:pPr>
        <w:tabs>
          <w:tab w:val="left" w:pos="709"/>
        </w:tabs>
        <w:spacing w:line="360" w:lineRule="auto"/>
        <w:ind w:firstLine="480" w:firstLineChars="200"/>
        <w:outlineLvl w:val="0"/>
        <w:rPr>
          <w:rFonts w:ascii="宋体" w:hAnsi="宋体"/>
          <w:color w:val="auto"/>
          <w:sz w:val="24"/>
        </w:rPr>
      </w:pPr>
      <w:r>
        <w:rPr>
          <w:rFonts w:hint="eastAsia" w:ascii="宋体" w:hAnsi="宋体"/>
          <w:color w:val="auto"/>
          <w:sz w:val="24"/>
          <w:lang w:eastAsia="zh-CN"/>
        </w:rPr>
        <w:t>中标人</w:t>
      </w:r>
      <w:r>
        <w:rPr>
          <w:rFonts w:hint="eastAsia" w:ascii="宋体" w:hAnsi="宋体"/>
          <w:color w:val="auto"/>
          <w:sz w:val="24"/>
        </w:rPr>
        <w:t>交付的货物、工程/提供的服务不符合本合同规定的，</w:t>
      </w:r>
      <w:r>
        <w:rPr>
          <w:rFonts w:hint="eastAsia" w:ascii="宋体" w:hAnsi="宋体"/>
          <w:color w:val="auto"/>
          <w:sz w:val="24"/>
          <w:lang w:eastAsia="zh-CN"/>
        </w:rPr>
        <w:t>采购人</w:t>
      </w:r>
      <w:r>
        <w:rPr>
          <w:rFonts w:hint="eastAsia" w:ascii="宋体" w:hAnsi="宋体"/>
          <w:color w:val="auto"/>
          <w:sz w:val="24"/>
        </w:rPr>
        <w:t>有权拒收，并且</w:t>
      </w:r>
      <w:r>
        <w:rPr>
          <w:rFonts w:hint="eastAsia" w:ascii="宋体" w:hAnsi="宋体"/>
          <w:color w:val="auto"/>
          <w:sz w:val="24"/>
          <w:lang w:eastAsia="zh-CN"/>
        </w:rPr>
        <w:t>中标人</w:t>
      </w:r>
      <w:r>
        <w:rPr>
          <w:rFonts w:hint="eastAsia" w:ascii="宋体" w:hAnsi="宋体"/>
          <w:color w:val="auto"/>
          <w:sz w:val="24"/>
        </w:rPr>
        <w:t>须向</w:t>
      </w:r>
      <w:r>
        <w:rPr>
          <w:rFonts w:hint="eastAsia" w:ascii="宋体" w:hAnsi="宋体"/>
          <w:color w:val="auto"/>
          <w:sz w:val="24"/>
          <w:lang w:eastAsia="zh-CN"/>
        </w:rPr>
        <w:t>采购人</w:t>
      </w:r>
      <w:r>
        <w:rPr>
          <w:rFonts w:hint="eastAsia" w:ascii="宋体" w:hAnsi="宋体"/>
          <w:color w:val="auto"/>
          <w:sz w:val="24"/>
        </w:rPr>
        <w:t>支付本合同总价5%的违约金。</w:t>
      </w:r>
    </w:p>
    <w:p w14:paraId="02CD5928">
      <w:pPr>
        <w:tabs>
          <w:tab w:val="left" w:pos="709"/>
        </w:tabs>
        <w:spacing w:line="360" w:lineRule="auto"/>
        <w:ind w:firstLine="480" w:firstLineChars="200"/>
        <w:outlineLvl w:val="0"/>
        <w:rPr>
          <w:rFonts w:ascii="宋体" w:hAnsi="宋体"/>
          <w:color w:val="auto"/>
          <w:sz w:val="24"/>
        </w:rPr>
      </w:pPr>
      <w:r>
        <w:rPr>
          <w:rFonts w:hint="eastAsia" w:ascii="宋体" w:hAnsi="宋体"/>
          <w:color w:val="auto"/>
          <w:sz w:val="24"/>
          <w:lang w:eastAsia="zh-CN"/>
        </w:rPr>
        <w:t>中标人</w:t>
      </w:r>
      <w:r>
        <w:rPr>
          <w:rFonts w:hint="eastAsia" w:ascii="宋体" w:hAnsi="宋体"/>
          <w:color w:val="auto"/>
          <w:sz w:val="24"/>
        </w:rPr>
        <w:t>未能按本合同规定的交货时间交付货物的/提供服务，从逾期之日起每日按本合同总价3‰的数额向</w:t>
      </w:r>
      <w:r>
        <w:rPr>
          <w:rFonts w:hint="eastAsia" w:ascii="宋体" w:hAnsi="宋体"/>
          <w:color w:val="auto"/>
          <w:sz w:val="24"/>
          <w:lang w:eastAsia="zh-CN"/>
        </w:rPr>
        <w:t>采购人</w:t>
      </w:r>
      <w:r>
        <w:rPr>
          <w:rFonts w:hint="eastAsia" w:ascii="宋体" w:hAnsi="宋体"/>
          <w:color w:val="auto"/>
          <w:sz w:val="24"/>
        </w:rPr>
        <w:t>支付违约金；逾期半个月以上的，</w:t>
      </w:r>
      <w:r>
        <w:rPr>
          <w:rFonts w:hint="eastAsia" w:ascii="宋体" w:hAnsi="宋体"/>
          <w:color w:val="auto"/>
          <w:sz w:val="24"/>
          <w:lang w:eastAsia="zh-CN"/>
        </w:rPr>
        <w:t>采购人</w:t>
      </w:r>
      <w:r>
        <w:rPr>
          <w:rFonts w:hint="eastAsia" w:ascii="宋体" w:hAnsi="宋体"/>
          <w:color w:val="auto"/>
          <w:sz w:val="24"/>
        </w:rPr>
        <w:t>有权终止合同，由此造成的</w:t>
      </w:r>
      <w:r>
        <w:rPr>
          <w:rFonts w:hint="eastAsia" w:ascii="宋体" w:hAnsi="宋体"/>
          <w:color w:val="auto"/>
          <w:sz w:val="24"/>
          <w:lang w:eastAsia="zh-CN"/>
        </w:rPr>
        <w:t>采购人</w:t>
      </w:r>
      <w:r>
        <w:rPr>
          <w:rFonts w:hint="eastAsia" w:ascii="宋体" w:hAnsi="宋体"/>
          <w:color w:val="auto"/>
          <w:sz w:val="24"/>
        </w:rPr>
        <w:t>经济损失由</w:t>
      </w:r>
      <w:r>
        <w:rPr>
          <w:rFonts w:hint="eastAsia" w:ascii="宋体" w:hAnsi="宋体"/>
          <w:color w:val="auto"/>
          <w:sz w:val="24"/>
          <w:lang w:eastAsia="zh-CN"/>
        </w:rPr>
        <w:t>中标人</w:t>
      </w:r>
      <w:r>
        <w:rPr>
          <w:rFonts w:hint="eastAsia" w:ascii="宋体" w:hAnsi="宋体"/>
          <w:color w:val="auto"/>
          <w:sz w:val="24"/>
        </w:rPr>
        <w:t>承担。</w:t>
      </w:r>
    </w:p>
    <w:p w14:paraId="2CEA6B51">
      <w:pPr>
        <w:spacing w:line="360" w:lineRule="auto"/>
        <w:ind w:firstLine="480" w:firstLineChars="200"/>
        <w:rPr>
          <w:rFonts w:ascii="宋体" w:hAnsi="宋体"/>
          <w:color w:val="auto"/>
          <w:sz w:val="24"/>
        </w:rPr>
      </w:pPr>
      <w:r>
        <w:rPr>
          <w:rFonts w:hint="eastAsia" w:ascii="宋体" w:hAnsi="宋体"/>
          <w:color w:val="auto"/>
          <w:sz w:val="24"/>
          <w:lang w:eastAsia="zh-CN"/>
        </w:rPr>
        <w:t>采购人</w:t>
      </w:r>
      <w:r>
        <w:rPr>
          <w:rFonts w:hint="eastAsia" w:ascii="宋体" w:hAnsi="宋体"/>
          <w:color w:val="auto"/>
          <w:sz w:val="24"/>
        </w:rPr>
        <w:t>无正当理由拒绝接受货物、工程/提供的服务，到期拒付服务款项的，</w:t>
      </w:r>
      <w:r>
        <w:rPr>
          <w:rFonts w:hint="eastAsia" w:ascii="宋体" w:hAnsi="宋体"/>
          <w:color w:val="auto"/>
          <w:sz w:val="24"/>
          <w:lang w:eastAsia="zh-CN"/>
        </w:rPr>
        <w:t>采购人</w:t>
      </w:r>
      <w:r>
        <w:rPr>
          <w:rFonts w:hint="eastAsia" w:ascii="宋体" w:hAnsi="宋体"/>
          <w:color w:val="auto"/>
          <w:sz w:val="24"/>
        </w:rPr>
        <w:t>向</w:t>
      </w:r>
      <w:r>
        <w:rPr>
          <w:rFonts w:hint="eastAsia" w:ascii="宋体" w:hAnsi="宋体"/>
          <w:color w:val="auto"/>
          <w:sz w:val="24"/>
          <w:lang w:eastAsia="zh-CN"/>
        </w:rPr>
        <w:t>中标人</w:t>
      </w:r>
      <w:r>
        <w:rPr>
          <w:rFonts w:hint="eastAsia" w:ascii="宋体" w:hAnsi="宋体"/>
          <w:color w:val="auto"/>
          <w:sz w:val="24"/>
        </w:rPr>
        <w:t>偿付合同金额的5%的违约金。</w:t>
      </w:r>
      <w:r>
        <w:rPr>
          <w:rFonts w:hint="eastAsia" w:ascii="宋体" w:hAnsi="宋体"/>
          <w:color w:val="auto"/>
          <w:sz w:val="24"/>
          <w:lang w:eastAsia="zh-CN"/>
        </w:rPr>
        <w:t>采购人</w:t>
      </w:r>
      <w:r>
        <w:rPr>
          <w:rFonts w:hint="eastAsia" w:ascii="宋体" w:hAnsi="宋体"/>
          <w:color w:val="auto"/>
          <w:sz w:val="24"/>
        </w:rPr>
        <w:t>逾期付款，则每日按逾期款项的3‰向</w:t>
      </w:r>
      <w:r>
        <w:rPr>
          <w:rFonts w:hint="eastAsia" w:ascii="宋体" w:hAnsi="宋体"/>
          <w:color w:val="auto"/>
          <w:sz w:val="24"/>
          <w:lang w:eastAsia="zh-CN"/>
        </w:rPr>
        <w:t>中标人</w:t>
      </w:r>
      <w:r>
        <w:rPr>
          <w:rFonts w:hint="eastAsia" w:ascii="宋体" w:hAnsi="宋体"/>
          <w:color w:val="auto"/>
          <w:sz w:val="24"/>
        </w:rPr>
        <w:t>偿付违约金，但因</w:t>
      </w:r>
      <w:r>
        <w:rPr>
          <w:rFonts w:hint="eastAsia" w:ascii="宋体" w:hAnsi="宋体"/>
          <w:color w:val="auto"/>
          <w:sz w:val="24"/>
          <w:lang w:eastAsia="zh-CN"/>
        </w:rPr>
        <w:t>中标人</w:t>
      </w:r>
      <w:r>
        <w:rPr>
          <w:rFonts w:hint="eastAsia" w:ascii="宋体" w:hAnsi="宋体"/>
          <w:color w:val="auto"/>
          <w:sz w:val="24"/>
        </w:rPr>
        <w:t>自身原因导致无法及时支付的除外。</w:t>
      </w:r>
    </w:p>
    <w:p w14:paraId="3E972654">
      <w:pPr>
        <w:spacing w:line="360" w:lineRule="auto"/>
        <w:ind w:firstLine="480" w:firstLineChars="200"/>
        <w:rPr>
          <w:rFonts w:ascii="宋体" w:hAnsi="宋体"/>
          <w:color w:val="auto"/>
          <w:sz w:val="24"/>
        </w:rPr>
      </w:pPr>
      <w:r>
        <w:rPr>
          <w:rFonts w:hint="eastAsia" w:ascii="宋体" w:hAnsi="宋体"/>
          <w:color w:val="auto"/>
          <w:sz w:val="24"/>
          <w:lang w:eastAsia="zh-CN"/>
        </w:rPr>
        <w:t>中标人</w:t>
      </w:r>
      <w:r>
        <w:rPr>
          <w:rFonts w:hint="eastAsia" w:ascii="宋体" w:hAnsi="宋体"/>
          <w:color w:val="auto"/>
          <w:sz w:val="24"/>
        </w:rPr>
        <w:t>应建立防止违法违规聘用离职税务人员的风险控制制度。</w:t>
      </w:r>
      <w:r>
        <w:rPr>
          <w:rFonts w:hint="eastAsia" w:ascii="宋体" w:hAnsi="宋体"/>
          <w:color w:val="auto"/>
          <w:sz w:val="24"/>
          <w:lang w:eastAsia="zh-CN"/>
        </w:rPr>
        <w:t>中标人</w:t>
      </w:r>
      <w:r>
        <w:rPr>
          <w:rFonts w:hint="eastAsia" w:ascii="宋体" w:hAnsi="宋体"/>
          <w:color w:val="auto"/>
          <w:sz w:val="24"/>
        </w:rPr>
        <w:t>违法违规聘用离职税务人员的，</w:t>
      </w:r>
      <w:r>
        <w:rPr>
          <w:rFonts w:hint="eastAsia" w:ascii="宋体" w:hAnsi="宋体"/>
          <w:color w:val="auto"/>
          <w:sz w:val="24"/>
          <w:lang w:eastAsia="zh-CN"/>
        </w:rPr>
        <w:t>采购人</w:t>
      </w:r>
      <w:r>
        <w:rPr>
          <w:rFonts w:hint="eastAsia" w:ascii="宋体" w:hAnsi="宋体"/>
          <w:color w:val="auto"/>
          <w:sz w:val="24"/>
        </w:rPr>
        <w:t>有权采取以下一项或多项措施：</w:t>
      </w:r>
    </w:p>
    <w:p w14:paraId="0C786C4A">
      <w:pPr>
        <w:spacing w:line="360" w:lineRule="auto"/>
        <w:ind w:firstLine="480" w:firstLineChars="200"/>
        <w:rPr>
          <w:rFonts w:ascii="宋体" w:hAnsi="宋体"/>
          <w:color w:val="auto"/>
          <w:sz w:val="24"/>
        </w:rPr>
      </w:pPr>
      <w:r>
        <w:rPr>
          <w:rFonts w:hint="eastAsia" w:ascii="宋体" w:hAnsi="宋体"/>
          <w:color w:val="auto"/>
          <w:sz w:val="24"/>
        </w:rPr>
        <w:t>（1）</w:t>
      </w:r>
      <w:r>
        <w:rPr>
          <w:rFonts w:hint="eastAsia" w:ascii="宋体" w:hAnsi="宋体"/>
          <w:color w:val="auto"/>
          <w:sz w:val="24"/>
          <w:lang w:eastAsia="zh-CN"/>
        </w:rPr>
        <w:t>采购人</w:t>
      </w:r>
      <w:r>
        <w:rPr>
          <w:rFonts w:hint="eastAsia" w:ascii="宋体" w:hAnsi="宋体"/>
          <w:color w:val="auto"/>
          <w:sz w:val="24"/>
        </w:rPr>
        <w:t>要求</w:t>
      </w:r>
      <w:r>
        <w:rPr>
          <w:rFonts w:hint="eastAsia" w:ascii="宋体" w:hAnsi="宋体"/>
          <w:color w:val="auto"/>
          <w:sz w:val="24"/>
          <w:lang w:eastAsia="zh-CN"/>
        </w:rPr>
        <w:t>中标人</w:t>
      </w:r>
      <w:r>
        <w:rPr>
          <w:rFonts w:hint="eastAsia" w:ascii="宋体" w:hAnsi="宋体"/>
          <w:color w:val="auto"/>
          <w:sz w:val="24"/>
        </w:rPr>
        <w:t>限期改正。</w:t>
      </w:r>
    </w:p>
    <w:p w14:paraId="279B4285">
      <w:pPr>
        <w:spacing w:line="360" w:lineRule="auto"/>
        <w:ind w:firstLine="480" w:firstLineChars="200"/>
        <w:rPr>
          <w:rFonts w:ascii="宋体" w:hAnsi="宋体"/>
          <w:color w:val="auto"/>
          <w:sz w:val="24"/>
        </w:rPr>
      </w:pPr>
      <w:r>
        <w:rPr>
          <w:rFonts w:hint="eastAsia" w:ascii="宋体" w:hAnsi="宋体"/>
          <w:color w:val="auto"/>
          <w:sz w:val="24"/>
        </w:rPr>
        <w:t>（2）</w:t>
      </w:r>
      <w:r>
        <w:rPr>
          <w:rFonts w:hint="eastAsia" w:ascii="宋体" w:hAnsi="宋体"/>
          <w:color w:val="auto"/>
          <w:sz w:val="24"/>
          <w:lang w:eastAsia="zh-CN"/>
        </w:rPr>
        <w:t>中标人</w:t>
      </w:r>
      <w:r>
        <w:rPr>
          <w:rFonts w:hint="eastAsia" w:ascii="宋体" w:hAnsi="宋体"/>
          <w:color w:val="auto"/>
          <w:sz w:val="24"/>
        </w:rPr>
        <w:t>按合同总价10%的数额向</w:t>
      </w:r>
      <w:r>
        <w:rPr>
          <w:rFonts w:hint="eastAsia" w:ascii="宋体" w:hAnsi="宋体"/>
          <w:color w:val="auto"/>
          <w:sz w:val="24"/>
          <w:lang w:eastAsia="zh-CN"/>
        </w:rPr>
        <w:t>采购人</w:t>
      </w:r>
      <w:r>
        <w:rPr>
          <w:rFonts w:hint="eastAsia" w:ascii="宋体" w:hAnsi="宋体"/>
          <w:color w:val="auto"/>
          <w:sz w:val="24"/>
        </w:rPr>
        <w:t>支付违约金。</w:t>
      </w:r>
    </w:p>
    <w:p w14:paraId="69C6AD89">
      <w:pPr>
        <w:spacing w:line="360" w:lineRule="auto"/>
        <w:ind w:firstLine="480" w:firstLineChars="200"/>
        <w:rPr>
          <w:rFonts w:ascii="宋体" w:hAnsi="宋体"/>
          <w:color w:val="auto"/>
          <w:sz w:val="24"/>
        </w:rPr>
      </w:pPr>
      <w:r>
        <w:rPr>
          <w:rFonts w:hint="eastAsia" w:ascii="宋体" w:hAnsi="宋体"/>
          <w:color w:val="auto"/>
          <w:sz w:val="24"/>
        </w:rPr>
        <w:t>（3）</w:t>
      </w:r>
      <w:r>
        <w:rPr>
          <w:rFonts w:hint="eastAsia" w:ascii="宋体" w:hAnsi="宋体"/>
          <w:color w:val="auto"/>
          <w:sz w:val="24"/>
          <w:lang w:eastAsia="zh-CN"/>
        </w:rPr>
        <w:t>采购人</w:t>
      </w:r>
      <w:r>
        <w:rPr>
          <w:rFonts w:hint="eastAsia" w:ascii="宋体" w:hAnsi="宋体"/>
          <w:color w:val="auto"/>
          <w:sz w:val="24"/>
        </w:rPr>
        <w:t>有权解除部分或全部合同。</w:t>
      </w:r>
    </w:p>
    <w:p w14:paraId="4C0D8F13">
      <w:pPr>
        <w:spacing w:line="360" w:lineRule="auto"/>
        <w:ind w:firstLine="480" w:firstLineChars="200"/>
        <w:rPr>
          <w:rFonts w:hint="eastAsia" w:ascii="宋体" w:hAnsi="宋体"/>
          <w:color w:val="auto"/>
          <w:sz w:val="24"/>
        </w:rPr>
      </w:pPr>
      <w:r>
        <w:rPr>
          <w:rFonts w:hint="eastAsia" w:ascii="宋体" w:hAnsi="宋体"/>
          <w:color w:val="auto"/>
          <w:sz w:val="24"/>
        </w:rPr>
        <w:t>其它违约责任按《中华人民共和国民法典》处理。</w:t>
      </w:r>
    </w:p>
    <w:p w14:paraId="2C0099D4">
      <w:pPr>
        <w:spacing w:line="360" w:lineRule="auto"/>
        <w:ind w:firstLine="480" w:firstLineChars="200"/>
        <w:rPr>
          <w:rFonts w:hint="eastAsia" w:ascii="宋体" w:hAnsi="宋体"/>
          <w:color w:val="auto"/>
          <w:sz w:val="24"/>
        </w:rPr>
      </w:pPr>
    </w:p>
    <w:p w14:paraId="0A32A38E">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7 履约验收要求</w:t>
      </w:r>
    </w:p>
    <w:p w14:paraId="408BA08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hint="default" w:ascii="sans-serif" w:hAnsi="sans-serif" w:eastAsia="sans-serif" w:cs="sans-serif"/>
          <w:b/>
          <w:i w:val="0"/>
          <w:caps w:val="0"/>
          <w:color w:val="auto"/>
          <w:spacing w:val="0"/>
          <w:sz w:val="24"/>
          <w:szCs w:val="24"/>
        </w:rPr>
      </w:pPr>
      <w:r>
        <w:rPr>
          <w:rFonts w:hint="eastAsia" w:ascii="sans-serif" w:hAnsi="sans-serif" w:eastAsia="sans-serif" w:cs="sans-serif"/>
          <w:b/>
          <w:i w:val="0"/>
          <w:caps w:val="0"/>
          <w:color w:val="auto"/>
          <w:spacing w:val="0"/>
          <w:kern w:val="0"/>
          <w:sz w:val="24"/>
          <w:szCs w:val="24"/>
          <w:shd w:val="clear" w:fill="FFFFFF"/>
          <w:lang w:val="en-US" w:eastAsia="zh-CN" w:bidi="ar"/>
        </w:rPr>
        <w:t>7</w:t>
      </w:r>
      <w:r>
        <w:rPr>
          <w:rFonts w:hint="default" w:ascii="sans-serif" w:hAnsi="sans-serif" w:eastAsia="sans-serif" w:cs="sans-serif"/>
          <w:b/>
          <w:i w:val="0"/>
          <w:caps w:val="0"/>
          <w:color w:val="auto"/>
          <w:spacing w:val="0"/>
          <w:kern w:val="0"/>
          <w:sz w:val="24"/>
          <w:szCs w:val="24"/>
          <w:shd w:val="clear" w:fill="FFFFFF"/>
          <w:lang w:val="en-US" w:eastAsia="zh-CN" w:bidi="ar"/>
        </w:rPr>
        <w:t>.1 总体要求</w:t>
      </w:r>
    </w:p>
    <w:p w14:paraId="3946FA54">
      <w:pPr>
        <w:keepNext w:val="0"/>
        <w:keepLines w:val="0"/>
        <w:widowControl/>
        <w:suppressLineNumbers w:val="0"/>
        <w:ind w:firstLine="420" w:firstLineChars="200"/>
        <w:jc w:val="left"/>
        <w:rPr>
          <w:rFonts w:hint="eastAsia"/>
          <w:color w:val="auto"/>
          <w:lang w:val="en-US" w:eastAsia="zh-CN"/>
        </w:rPr>
      </w:pPr>
      <w:r>
        <w:rPr>
          <w:rFonts w:hint="eastAsia"/>
          <w:color w:val="auto"/>
          <w:lang w:val="en-US" w:eastAsia="zh-CN"/>
        </w:rPr>
        <w:t>按照合同与国家相关法律法规履约验收。</w:t>
      </w:r>
    </w:p>
    <w:p w14:paraId="2F96F837">
      <w:pPr>
        <w:keepNext w:val="0"/>
        <w:keepLines w:val="0"/>
        <w:widowControl/>
        <w:suppressLineNumbers w:val="0"/>
        <w:jc w:val="left"/>
        <w:rPr>
          <w:color w:val="auto"/>
        </w:rPr>
      </w:pPr>
      <w:r>
        <w:rPr>
          <w:rFonts w:hint="eastAsia" w:ascii="sans-serif" w:hAnsi="sans-serif" w:eastAsia="sans-serif" w:cs="sans-serif"/>
          <w:b/>
          <w:i w:val="0"/>
          <w:caps w:val="0"/>
          <w:color w:val="auto"/>
          <w:spacing w:val="0"/>
          <w:kern w:val="0"/>
          <w:sz w:val="24"/>
          <w:szCs w:val="24"/>
          <w:shd w:val="clear" w:fill="FFFFFF"/>
          <w:lang w:val="en-US" w:eastAsia="zh-CN" w:bidi="ar"/>
        </w:rPr>
        <w:t>7</w:t>
      </w:r>
      <w:r>
        <w:rPr>
          <w:rFonts w:ascii="sans-serif" w:hAnsi="sans-serif" w:eastAsia="sans-serif" w:cs="sans-serif"/>
          <w:b/>
          <w:i w:val="0"/>
          <w:caps w:val="0"/>
          <w:color w:val="auto"/>
          <w:spacing w:val="0"/>
          <w:kern w:val="0"/>
          <w:sz w:val="24"/>
          <w:szCs w:val="24"/>
          <w:shd w:val="clear" w:fill="FFFFFF"/>
          <w:lang w:val="en-US" w:eastAsia="zh-CN" w:bidi="ar"/>
        </w:rPr>
        <w:t>.2 具体要求</w:t>
      </w:r>
    </w:p>
    <w:p w14:paraId="5B0D629B">
      <w:pPr>
        <w:tabs>
          <w:tab w:val="left" w:pos="709"/>
        </w:tabs>
        <w:spacing w:line="360" w:lineRule="auto"/>
        <w:ind w:firstLine="480" w:firstLineChars="200"/>
        <w:outlineLvl w:val="0"/>
        <w:rPr>
          <w:rFonts w:ascii="宋体" w:hAnsi="宋体"/>
          <w:color w:val="auto"/>
          <w:sz w:val="24"/>
        </w:rPr>
      </w:pPr>
      <w:r>
        <w:rPr>
          <w:rFonts w:hint="eastAsia" w:ascii="宋体" w:hAnsi="宋体"/>
          <w:color w:val="auto"/>
          <w:sz w:val="24"/>
        </w:rPr>
        <w:t>交付验收标准</w:t>
      </w:r>
      <w:r>
        <w:rPr>
          <w:rFonts w:hint="eastAsia" w:ascii="宋体" w:hAnsi="宋体"/>
          <w:color w:val="auto"/>
          <w:sz w:val="24"/>
          <w:lang w:val="en-GB"/>
        </w:rPr>
        <w:t>依次序对照适用</w:t>
      </w:r>
      <w:r>
        <w:rPr>
          <w:rFonts w:hint="eastAsia" w:ascii="宋体" w:hAnsi="宋体"/>
          <w:color w:val="auto"/>
          <w:sz w:val="24"/>
        </w:rPr>
        <w:t>标准</w:t>
      </w:r>
      <w:r>
        <w:rPr>
          <w:rFonts w:hint="eastAsia" w:ascii="宋体" w:hAnsi="宋体"/>
          <w:color w:val="auto"/>
          <w:sz w:val="24"/>
          <w:lang w:val="en-GB"/>
        </w:rPr>
        <w:t>为：</w:t>
      </w:r>
      <w:r>
        <w:rPr>
          <w:rFonts w:hint="eastAsia" w:ascii="宋体" w:hAnsi="宋体"/>
          <w:color w:val="auto"/>
          <w:sz w:val="24"/>
        </w:rPr>
        <w:t>①符合中华人民共和国国家安全质量标准、环保标准或行业标准；②符合招标文件和响应承诺中</w:t>
      </w:r>
      <w:r>
        <w:rPr>
          <w:rFonts w:hint="eastAsia" w:ascii="宋体" w:hAnsi="宋体"/>
          <w:color w:val="auto"/>
          <w:sz w:val="24"/>
          <w:lang w:eastAsia="zh-CN"/>
        </w:rPr>
        <w:t>采购人</w:t>
      </w:r>
      <w:r>
        <w:rPr>
          <w:rFonts w:hint="eastAsia" w:ascii="宋体" w:hAnsi="宋体"/>
          <w:color w:val="auto"/>
          <w:sz w:val="24"/>
        </w:rPr>
        <w:t>认可的合理最佳配置、参数及各项要求；③货物来源国官方标准。</w:t>
      </w:r>
    </w:p>
    <w:p w14:paraId="5C4B19D1">
      <w:pPr>
        <w:tabs>
          <w:tab w:val="left" w:pos="709"/>
        </w:tabs>
        <w:spacing w:line="360" w:lineRule="auto"/>
        <w:ind w:firstLine="480" w:firstLineChars="200"/>
        <w:outlineLvl w:val="0"/>
        <w:rPr>
          <w:rFonts w:ascii="宋体" w:hAnsi="宋体"/>
          <w:color w:val="auto"/>
          <w:sz w:val="24"/>
        </w:rPr>
      </w:pPr>
      <w:r>
        <w:rPr>
          <w:rFonts w:hint="eastAsia" w:ascii="宋体" w:hAnsi="宋体"/>
          <w:color w:val="auto"/>
          <w:sz w:val="24"/>
        </w:rPr>
        <w:t>货物为原厂商未启封全新包装，具出厂合格证，序列号、包装箱号与出厂批号一致，并可追索查阅。所有随设备的附件必须齐全。</w:t>
      </w:r>
    </w:p>
    <w:p w14:paraId="7240EC93">
      <w:pPr>
        <w:tabs>
          <w:tab w:val="left" w:pos="709"/>
        </w:tabs>
        <w:spacing w:line="360" w:lineRule="auto"/>
        <w:ind w:firstLine="480" w:firstLineChars="200"/>
        <w:outlineLvl w:val="0"/>
        <w:rPr>
          <w:rFonts w:ascii="宋体" w:hAnsi="宋体"/>
          <w:color w:val="auto"/>
          <w:sz w:val="24"/>
        </w:rPr>
      </w:pPr>
      <w:r>
        <w:rPr>
          <w:rFonts w:hint="eastAsia" w:ascii="宋体" w:hAnsi="宋体"/>
          <w:color w:val="auto"/>
          <w:sz w:val="24"/>
          <w:lang w:eastAsia="zh-CN"/>
        </w:rPr>
        <w:t>中标人</w:t>
      </w:r>
      <w:r>
        <w:rPr>
          <w:rFonts w:hint="eastAsia" w:ascii="宋体" w:hAnsi="宋体"/>
          <w:color w:val="auto"/>
          <w:sz w:val="24"/>
        </w:rPr>
        <w:t>应将关键主机设备的用户手册、保修手册、有关单证资料及配备件、随机工具等交付给</w:t>
      </w:r>
      <w:r>
        <w:rPr>
          <w:rFonts w:hint="eastAsia" w:ascii="宋体" w:hAnsi="宋体"/>
          <w:color w:val="auto"/>
          <w:sz w:val="24"/>
          <w:lang w:eastAsia="zh-CN"/>
        </w:rPr>
        <w:t>采购人</w:t>
      </w:r>
      <w:r>
        <w:rPr>
          <w:rFonts w:hint="eastAsia" w:ascii="宋体" w:hAnsi="宋体"/>
          <w:color w:val="auto"/>
          <w:sz w:val="24"/>
        </w:rPr>
        <w:t>，使用操作及安全须知等重要资料应附有中文说明。</w:t>
      </w:r>
    </w:p>
    <w:p w14:paraId="42CCB272">
      <w:pPr>
        <w:tabs>
          <w:tab w:val="left" w:pos="709"/>
        </w:tabs>
        <w:spacing w:line="360" w:lineRule="auto"/>
        <w:ind w:firstLine="480" w:firstLineChars="200"/>
        <w:outlineLvl w:val="0"/>
        <w:rPr>
          <w:rFonts w:ascii="宋体" w:hAnsi="宋体"/>
          <w:color w:val="auto"/>
          <w:sz w:val="24"/>
        </w:rPr>
      </w:pPr>
      <w:r>
        <w:rPr>
          <w:rFonts w:hint="eastAsia" w:ascii="宋体" w:hAnsi="宋体"/>
          <w:color w:val="auto"/>
          <w:sz w:val="24"/>
          <w:lang w:eastAsia="zh-CN"/>
        </w:rPr>
        <w:t>采购人</w:t>
      </w:r>
      <w:r>
        <w:rPr>
          <w:rFonts w:hint="eastAsia" w:ascii="宋体" w:hAnsi="宋体"/>
          <w:color w:val="auto"/>
          <w:sz w:val="24"/>
        </w:rPr>
        <w:t>组成验收小组按国家有关规定、规范进行验收，必要时邀请相关的专业人员或机构参与验收。因货物质量问题发生争议时，由本地质量技术监督部门鉴定。货物符合质量技术标准的，鉴定费由</w:t>
      </w:r>
      <w:r>
        <w:rPr>
          <w:rFonts w:hint="eastAsia" w:ascii="宋体" w:hAnsi="宋体"/>
          <w:color w:val="auto"/>
          <w:sz w:val="24"/>
          <w:lang w:eastAsia="zh-CN"/>
        </w:rPr>
        <w:t>采购人</w:t>
      </w:r>
      <w:r>
        <w:rPr>
          <w:rFonts w:hint="eastAsia" w:ascii="宋体" w:hAnsi="宋体"/>
          <w:color w:val="auto"/>
          <w:sz w:val="24"/>
        </w:rPr>
        <w:t>承担；否则鉴定费由</w:t>
      </w:r>
      <w:r>
        <w:rPr>
          <w:rFonts w:hint="eastAsia" w:ascii="宋体" w:hAnsi="宋体"/>
          <w:color w:val="auto"/>
          <w:sz w:val="24"/>
          <w:lang w:eastAsia="zh-CN"/>
        </w:rPr>
        <w:t>中标人</w:t>
      </w:r>
      <w:r>
        <w:rPr>
          <w:rFonts w:hint="eastAsia" w:ascii="宋体" w:hAnsi="宋体"/>
          <w:color w:val="auto"/>
          <w:sz w:val="24"/>
        </w:rPr>
        <w:t>承担。</w:t>
      </w:r>
    </w:p>
    <w:p w14:paraId="3038604B">
      <w:pPr>
        <w:tabs>
          <w:tab w:val="left" w:pos="709"/>
        </w:tabs>
        <w:spacing w:line="360" w:lineRule="auto"/>
        <w:ind w:firstLine="480" w:firstLineChars="200"/>
        <w:outlineLvl w:val="0"/>
        <w:rPr>
          <w:rFonts w:hint="eastAsia" w:ascii="宋体" w:hAnsi="宋体"/>
          <w:color w:val="auto"/>
          <w:sz w:val="24"/>
        </w:rPr>
      </w:pPr>
      <w:r>
        <w:rPr>
          <w:rFonts w:hint="eastAsia" w:ascii="宋体" w:hAnsi="宋体"/>
          <w:color w:val="auto"/>
          <w:sz w:val="24"/>
        </w:rPr>
        <w:t>所有货物安装完成并正常运行，达到标书规定的性能要求和</w:t>
      </w:r>
      <w:r>
        <w:rPr>
          <w:rFonts w:hint="eastAsia" w:ascii="宋体" w:hAnsi="宋体"/>
          <w:color w:val="auto"/>
          <w:sz w:val="24"/>
          <w:lang w:eastAsia="zh-CN"/>
        </w:rPr>
        <w:t>采购人</w:t>
      </w:r>
      <w:r>
        <w:rPr>
          <w:rFonts w:hint="eastAsia" w:ascii="宋体" w:hAnsi="宋体"/>
          <w:color w:val="auto"/>
          <w:sz w:val="24"/>
        </w:rPr>
        <w:t>的使用要求。</w:t>
      </w:r>
    </w:p>
    <w:p w14:paraId="01559385">
      <w:pPr>
        <w:tabs>
          <w:tab w:val="left" w:pos="709"/>
        </w:tabs>
        <w:spacing w:line="360" w:lineRule="auto"/>
        <w:ind w:firstLine="480" w:firstLineChars="200"/>
        <w:outlineLvl w:val="0"/>
        <w:rPr>
          <w:rFonts w:hint="eastAsia" w:ascii="宋体" w:hAnsi="宋体" w:eastAsiaTheme="minorEastAsia"/>
          <w:color w:val="auto"/>
          <w:sz w:val="24"/>
          <w:lang w:eastAsia="zh-CN"/>
        </w:rPr>
      </w:pPr>
      <w:r>
        <w:rPr>
          <w:rFonts w:hint="eastAsia" w:ascii="宋体" w:hAnsi="宋体"/>
          <w:color w:val="auto"/>
          <w:sz w:val="24"/>
        </w:rPr>
        <w:t>验收交付成果物</w:t>
      </w:r>
      <w:r>
        <w:rPr>
          <w:rFonts w:hint="eastAsia" w:ascii="宋体" w:hAnsi="宋体"/>
          <w:color w:val="auto"/>
          <w:sz w:val="24"/>
          <w:lang w:eastAsia="zh-CN"/>
        </w:rPr>
        <w:t>：</w:t>
      </w:r>
    </w:p>
    <w:p w14:paraId="6646AA91">
      <w:pPr>
        <w:tabs>
          <w:tab w:val="left" w:pos="709"/>
        </w:tabs>
        <w:spacing w:line="360" w:lineRule="auto"/>
        <w:ind w:firstLine="480" w:firstLineChars="200"/>
        <w:outlineLvl w:val="0"/>
        <w:rPr>
          <w:rFonts w:hint="eastAsia" w:ascii="宋体" w:hAnsi="宋体"/>
          <w:color w:val="auto"/>
          <w:sz w:val="24"/>
        </w:rPr>
      </w:pPr>
      <w:r>
        <w:rPr>
          <w:rFonts w:hint="eastAsia" w:ascii="宋体" w:hAnsi="宋体"/>
          <w:color w:val="auto"/>
          <w:sz w:val="24"/>
        </w:rPr>
        <w:t>(1)提交验收报告</w:t>
      </w:r>
    </w:p>
    <w:p w14:paraId="0BC9EC7E">
      <w:pPr>
        <w:tabs>
          <w:tab w:val="left" w:pos="709"/>
        </w:tabs>
        <w:spacing w:line="360" w:lineRule="auto"/>
        <w:ind w:firstLine="480" w:firstLineChars="200"/>
        <w:outlineLvl w:val="0"/>
        <w:rPr>
          <w:rFonts w:hint="eastAsia" w:ascii="宋体" w:hAnsi="宋体"/>
          <w:color w:val="auto"/>
          <w:sz w:val="24"/>
        </w:rPr>
      </w:pPr>
      <w:r>
        <w:rPr>
          <w:rFonts w:hint="eastAsia" w:ascii="宋体" w:hAnsi="宋体"/>
          <w:color w:val="auto"/>
          <w:sz w:val="24"/>
        </w:rPr>
        <w:t>(2)提交移交物清单及移交物</w:t>
      </w:r>
    </w:p>
    <w:p w14:paraId="2A388081">
      <w:pPr>
        <w:tabs>
          <w:tab w:val="left" w:pos="709"/>
        </w:tabs>
        <w:spacing w:line="360" w:lineRule="auto"/>
        <w:ind w:firstLine="480" w:firstLineChars="200"/>
        <w:outlineLvl w:val="0"/>
        <w:rPr>
          <w:rFonts w:hint="eastAsia" w:ascii="宋体" w:hAnsi="宋体"/>
          <w:color w:val="auto"/>
          <w:sz w:val="24"/>
        </w:rPr>
      </w:pPr>
      <w:r>
        <w:rPr>
          <w:rFonts w:hint="eastAsia" w:ascii="宋体" w:hAnsi="宋体"/>
          <w:color w:val="auto"/>
          <w:sz w:val="24"/>
        </w:rPr>
        <w:t>(3)工作量统计表</w:t>
      </w:r>
    </w:p>
    <w:p w14:paraId="226415C7">
      <w:pPr>
        <w:tabs>
          <w:tab w:val="left" w:pos="709"/>
        </w:tabs>
        <w:spacing w:line="360" w:lineRule="auto"/>
        <w:ind w:firstLine="480" w:firstLineChars="200"/>
        <w:outlineLvl w:val="0"/>
        <w:rPr>
          <w:rFonts w:hint="eastAsia" w:ascii="宋体" w:hAnsi="宋体"/>
          <w:color w:val="auto"/>
          <w:sz w:val="24"/>
        </w:rPr>
      </w:pPr>
      <w:r>
        <w:rPr>
          <w:rFonts w:hint="eastAsia" w:ascii="宋体" w:hAnsi="宋体"/>
          <w:color w:val="auto"/>
          <w:sz w:val="24"/>
        </w:rPr>
        <w:t>(4)效益评估报告</w:t>
      </w:r>
    </w:p>
    <w:p w14:paraId="60D10CB2">
      <w:pPr>
        <w:pStyle w:val="2"/>
        <w:rPr>
          <w:color w:val="auto"/>
        </w:rPr>
      </w:pPr>
    </w:p>
    <w:p w14:paraId="1BAA26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ascii="sans-serif" w:hAnsi="sans-serif" w:eastAsia="sans-serif" w:cs="sans-serif"/>
          <w:b/>
          <w:i w:val="0"/>
          <w:caps w:val="0"/>
          <w:color w:val="auto"/>
          <w:spacing w:val="0"/>
          <w:sz w:val="24"/>
          <w:szCs w:val="24"/>
        </w:rPr>
      </w:pPr>
      <w:r>
        <w:rPr>
          <w:rFonts w:hint="eastAsia" w:ascii="sans-serif" w:hAnsi="sans-serif" w:eastAsia="sans-serif" w:cs="sans-serif"/>
          <w:b/>
          <w:i w:val="0"/>
          <w:caps w:val="0"/>
          <w:color w:val="auto"/>
          <w:spacing w:val="0"/>
          <w:kern w:val="0"/>
          <w:sz w:val="24"/>
          <w:szCs w:val="24"/>
          <w:shd w:val="clear" w:fill="FFFFFF"/>
          <w:lang w:val="en-US" w:eastAsia="zh-CN" w:bidi="ar"/>
        </w:rPr>
        <w:t>8</w:t>
      </w:r>
      <w:r>
        <w:rPr>
          <w:rFonts w:hint="default" w:ascii="sans-serif" w:hAnsi="sans-serif" w:eastAsia="sans-serif" w:cs="sans-serif"/>
          <w:b/>
          <w:i w:val="0"/>
          <w:caps w:val="0"/>
          <w:color w:val="auto"/>
          <w:spacing w:val="0"/>
          <w:kern w:val="0"/>
          <w:sz w:val="24"/>
          <w:szCs w:val="24"/>
          <w:shd w:val="clear" w:fill="FFFFFF"/>
          <w:lang w:val="en-US" w:eastAsia="zh-CN" w:bidi="ar"/>
        </w:rPr>
        <w:t xml:space="preserve"> 其他要求</w:t>
      </w:r>
    </w:p>
    <w:p w14:paraId="1E1611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hint="default" w:ascii="sans-serif" w:hAnsi="sans-serif" w:eastAsia="sans-serif" w:cs="sans-serif"/>
          <w:b/>
          <w:i w:val="0"/>
          <w:caps w:val="0"/>
          <w:color w:val="auto"/>
          <w:spacing w:val="0"/>
          <w:sz w:val="24"/>
          <w:szCs w:val="24"/>
        </w:rPr>
      </w:pPr>
      <w:r>
        <w:rPr>
          <w:rFonts w:hint="eastAsia" w:ascii="sans-serif" w:hAnsi="sans-serif" w:eastAsia="sans-serif" w:cs="sans-serif"/>
          <w:b/>
          <w:i w:val="0"/>
          <w:caps w:val="0"/>
          <w:color w:val="auto"/>
          <w:spacing w:val="0"/>
          <w:kern w:val="0"/>
          <w:sz w:val="24"/>
          <w:szCs w:val="24"/>
          <w:shd w:val="clear" w:fill="FFFFFF"/>
          <w:lang w:val="en-US" w:eastAsia="zh-CN" w:bidi="ar"/>
        </w:rPr>
        <w:t>8</w:t>
      </w:r>
      <w:r>
        <w:rPr>
          <w:rFonts w:hint="default" w:ascii="sans-serif" w:hAnsi="sans-serif" w:eastAsia="sans-serif" w:cs="sans-serif"/>
          <w:b/>
          <w:i w:val="0"/>
          <w:caps w:val="0"/>
          <w:color w:val="auto"/>
          <w:spacing w:val="0"/>
          <w:kern w:val="0"/>
          <w:sz w:val="24"/>
          <w:szCs w:val="24"/>
          <w:shd w:val="clear" w:fill="FFFFFF"/>
          <w:lang w:val="en-US" w:eastAsia="zh-CN" w:bidi="ar"/>
        </w:rPr>
        <w:t>.1 必备要求</w:t>
      </w:r>
    </w:p>
    <w:p w14:paraId="1A552F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hint="default" w:ascii="sans-serif" w:hAnsi="sans-serif" w:eastAsia="sans-serif" w:cs="sans-serif"/>
          <w:b/>
          <w:i w:val="0"/>
          <w:caps w:val="0"/>
          <w:color w:val="auto"/>
          <w:spacing w:val="0"/>
          <w:sz w:val="24"/>
          <w:szCs w:val="24"/>
        </w:rPr>
      </w:pPr>
      <w:r>
        <w:rPr>
          <w:rFonts w:hint="eastAsia" w:ascii="sans-serif" w:hAnsi="sans-serif" w:eastAsia="sans-serif" w:cs="sans-serif"/>
          <w:b/>
          <w:i w:val="0"/>
          <w:caps w:val="0"/>
          <w:color w:val="auto"/>
          <w:spacing w:val="0"/>
          <w:kern w:val="0"/>
          <w:sz w:val="24"/>
          <w:szCs w:val="24"/>
          <w:shd w:val="clear" w:fill="FFFFFF"/>
          <w:lang w:val="en-US" w:eastAsia="zh-CN" w:bidi="ar"/>
        </w:rPr>
        <w:t>8</w:t>
      </w:r>
      <w:r>
        <w:rPr>
          <w:rFonts w:hint="default" w:ascii="sans-serif" w:hAnsi="sans-serif" w:eastAsia="sans-serif" w:cs="sans-serif"/>
          <w:b/>
          <w:i w:val="0"/>
          <w:caps w:val="0"/>
          <w:color w:val="auto"/>
          <w:spacing w:val="0"/>
          <w:kern w:val="0"/>
          <w:sz w:val="24"/>
          <w:szCs w:val="24"/>
          <w:shd w:val="clear" w:fill="FFFFFF"/>
          <w:lang w:val="en-US" w:eastAsia="zh-CN" w:bidi="ar"/>
        </w:rPr>
        <w:t xml:space="preserve">.1.1 </w:t>
      </w:r>
      <w:r>
        <w:rPr>
          <w:rFonts w:hint="eastAsia" w:ascii="sans-serif" w:hAnsi="sans-serif" w:eastAsia="sans-serif" w:cs="sans-serif"/>
          <w:b/>
          <w:i w:val="0"/>
          <w:caps w:val="0"/>
          <w:color w:val="auto"/>
          <w:spacing w:val="0"/>
          <w:kern w:val="0"/>
          <w:sz w:val="24"/>
          <w:szCs w:val="24"/>
          <w:shd w:val="clear" w:fill="FFFFFF"/>
          <w:lang w:val="en-US" w:eastAsia="zh-CN" w:bidi="ar"/>
        </w:rPr>
        <w:t>通用必备要求</w:t>
      </w:r>
    </w:p>
    <w:p w14:paraId="1BB7F795">
      <w:pPr>
        <w:ind w:firstLine="480" w:firstLineChars="200"/>
        <w:rPr>
          <w:rFonts w:hint="eastAsia" w:ascii="sans-serif" w:hAnsi="sans-serif" w:eastAsia="sans-serif" w:cs="sans-serif"/>
          <w:b w:val="0"/>
          <w:bCs/>
          <w:i w:val="0"/>
          <w:caps w:val="0"/>
          <w:color w:val="auto"/>
          <w:spacing w:val="0"/>
          <w:kern w:val="0"/>
          <w:sz w:val="24"/>
          <w:szCs w:val="24"/>
          <w:shd w:val="clear" w:fill="FFFFFF"/>
          <w:lang w:val="en-US" w:eastAsia="zh-CN" w:bidi="ar"/>
        </w:rPr>
      </w:pPr>
      <w:r>
        <w:rPr>
          <w:rFonts w:hint="eastAsia" w:ascii="sans-serif" w:hAnsi="sans-serif" w:eastAsia="sans-serif" w:cs="sans-serif"/>
          <w:b w:val="0"/>
          <w:bCs/>
          <w:i w:val="0"/>
          <w:caps w:val="0"/>
          <w:color w:val="auto"/>
          <w:spacing w:val="0"/>
          <w:kern w:val="0"/>
          <w:sz w:val="24"/>
          <w:szCs w:val="24"/>
          <w:shd w:val="clear" w:fill="FFFFFF"/>
          <w:lang w:val="en-US" w:eastAsia="zh-CN" w:bidi="ar"/>
        </w:rPr>
        <w:t>1.本项目中如涉及商品包装的，其包装需求标准应不低于《关于印发</w:t>
      </w:r>
      <w:r>
        <w:rPr>
          <w:rFonts w:hint="default" w:ascii="sans-serif" w:hAnsi="sans-serif" w:eastAsia="sans-serif" w:cs="sans-serif"/>
          <w:b w:val="0"/>
          <w:bCs/>
          <w:i w:val="0"/>
          <w:caps w:val="0"/>
          <w:color w:val="auto"/>
          <w:spacing w:val="0"/>
          <w:kern w:val="0"/>
          <w:sz w:val="24"/>
          <w:szCs w:val="24"/>
          <w:shd w:val="clear" w:fill="FFFFFF"/>
          <w:lang w:val="en" w:eastAsia="zh-CN" w:bidi="ar"/>
        </w:rPr>
        <w:t>&lt;</w:t>
      </w:r>
      <w:r>
        <w:rPr>
          <w:rFonts w:hint="eastAsia" w:ascii="sans-serif" w:hAnsi="sans-serif" w:eastAsia="sans-serif" w:cs="sans-serif"/>
          <w:b w:val="0"/>
          <w:bCs/>
          <w:i w:val="0"/>
          <w:caps w:val="0"/>
          <w:color w:val="auto"/>
          <w:spacing w:val="0"/>
          <w:kern w:val="0"/>
          <w:sz w:val="24"/>
          <w:szCs w:val="24"/>
          <w:shd w:val="clear" w:fill="FFFFFF"/>
          <w:lang w:val="en" w:eastAsia="zh-CN" w:bidi="ar"/>
        </w:rPr>
        <w:t>商品包装政府采购需求标准（试行）</w:t>
      </w:r>
      <w:r>
        <w:rPr>
          <w:rFonts w:hint="default" w:ascii="sans-serif" w:hAnsi="sans-serif" w:eastAsia="sans-serif" w:cs="sans-serif"/>
          <w:b w:val="0"/>
          <w:bCs/>
          <w:i w:val="0"/>
          <w:caps w:val="0"/>
          <w:color w:val="auto"/>
          <w:spacing w:val="0"/>
          <w:kern w:val="0"/>
          <w:sz w:val="24"/>
          <w:szCs w:val="24"/>
          <w:shd w:val="clear" w:fill="FFFFFF"/>
          <w:lang w:val="en" w:eastAsia="zh-CN" w:bidi="ar"/>
        </w:rPr>
        <w:t>&gt;</w:t>
      </w:r>
      <w:r>
        <w:rPr>
          <w:rFonts w:hint="eastAsia" w:ascii="sans-serif" w:hAnsi="sans-serif" w:eastAsia="sans-serif" w:cs="sans-serif"/>
          <w:b w:val="0"/>
          <w:bCs/>
          <w:i w:val="0"/>
          <w:caps w:val="0"/>
          <w:color w:val="auto"/>
          <w:spacing w:val="0"/>
          <w:kern w:val="0"/>
          <w:sz w:val="24"/>
          <w:szCs w:val="24"/>
          <w:shd w:val="clear" w:fill="FFFFFF"/>
          <w:lang w:val="en" w:eastAsia="zh-CN" w:bidi="ar"/>
        </w:rPr>
        <w:t>、</w:t>
      </w:r>
      <w:r>
        <w:rPr>
          <w:rFonts w:hint="default" w:ascii="sans-serif" w:hAnsi="sans-serif" w:eastAsia="sans-serif" w:cs="sans-serif"/>
          <w:b w:val="0"/>
          <w:bCs/>
          <w:i w:val="0"/>
          <w:caps w:val="0"/>
          <w:color w:val="auto"/>
          <w:spacing w:val="0"/>
          <w:kern w:val="0"/>
          <w:sz w:val="24"/>
          <w:szCs w:val="24"/>
          <w:shd w:val="clear" w:fill="FFFFFF"/>
          <w:lang w:val="en" w:eastAsia="zh-CN" w:bidi="ar"/>
        </w:rPr>
        <w:t>&lt;</w:t>
      </w:r>
      <w:r>
        <w:rPr>
          <w:rFonts w:hint="eastAsia" w:ascii="sans-serif" w:hAnsi="sans-serif" w:eastAsia="sans-serif" w:cs="sans-serif"/>
          <w:b w:val="0"/>
          <w:bCs/>
          <w:i w:val="0"/>
          <w:caps w:val="0"/>
          <w:color w:val="auto"/>
          <w:spacing w:val="0"/>
          <w:kern w:val="0"/>
          <w:sz w:val="24"/>
          <w:szCs w:val="24"/>
          <w:shd w:val="clear" w:fill="FFFFFF"/>
          <w:lang w:val="en" w:eastAsia="zh-CN" w:bidi="ar"/>
        </w:rPr>
        <w:t>快递包装政府采购需求标准（试行）的通知</w:t>
      </w:r>
      <w:r>
        <w:rPr>
          <w:rFonts w:hint="default" w:ascii="sans-serif" w:hAnsi="sans-serif" w:eastAsia="sans-serif" w:cs="sans-serif"/>
          <w:b w:val="0"/>
          <w:bCs/>
          <w:i w:val="0"/>
          <w:caps w:val="0"/>
          <w:color w:val="auto"/>
          <w:spacing w:val="0"/>
          <w:kern w:val="0"/>
          <w:sz w:val="24"/>
          <w:szCs w:val="24"/>
          <w:shd w:val="clear" w:fill="FFFFFF"/>
          <w:lang w:val="en" w:eastAsia="zh-CN" w:bidi="ar"/>
        </w:rPr>
        <w:t>&gt;</w:t>
      </w:r>
      <w:r>
        <w:rPr>
          <w:rFonts w:hint="eastAsia" w:ascii="sans-serif" w:hAnsi="sans-serif" w:eastAsia="sans-serif" w:cs="sans-serif"/>
          <w:b w:val="0"/>
          <w:bCs/>
          <w:i w:val="0"/>
          <w:caps w:val="0"/>
          <w:color w:val="auto"/>
          <w:spacing w:val="0"/>
          <w:kern w:val="0"/>
          <w:sz w:val="24"/>
          <w:szCs w:val="24"/>
          <w:shd w:val="clear" w:fill="FFFFFF"/>
          <w:lang w:val="en-US" w:eastAsia="zh-CN" w:bidi="ar"/>
        </w:rPr>
        <w:t>》（财办库</w:t>
      </w:r>
      <w:r>
        <w:rPr>
          <w:rFonts w:hint="default" w:ascii="sans-serif" w:hAnsi="sans-serif" w:eastAsia="sans-serif" w:cs="sans-serif"/>
          <w:b w:val="0"/>
          <w:bCs/>
          <w:i w:val="0"/>
          <w:caps w:val="0"/>
          <w:color w:val="auto"/>
          <w:spacing w:val="0"/>
          <w:kern w:val="0"/>
          <w:sz w:val="24"/>
          <w:szCs w:val="24"/>
          <w:shd w:val="clear" w:fill="FFFFFF"/>
          <w:lang w:val="en" w:eastAsia="zh-CN" w:bidi="ar"/>
        </w:rPr>
        <w:t>[2020]123</w:t>
      </w:r>
      <w:r>
        <w:rPr>
          <w:rFonts w:hint="eastAsia" w:ascii="sans-serif" w:hAnsi="sans-serif" w:eastAsia="sans-serif" w:cs="sans-serif"/>
          <w:b w:val="0"/>
          <w:bCs/>
          <w:i w:val="0"/>
          <w:caps w:val="0"/>
          <w:color w:val="auto"/>
          <w:spacing w:val="0"/>
          <w:kern w:val="0"/>
          <w:sz w:val="24"/>
          <w:szCs w:val="24"/>
          <w:shd w:val="clear" w:fill="FFFFFF"/>
          <w:lang w:val="en" w:eastAsia="zh-CN" w:bidi="ar"/>
        </w:rPr>
        <w:t>号</w:t>
      </w:r>
      <w:r>
        <w:rPr>
          <w:rFonts w:hint="eastAsia" w:ascii="sans-serif" w:hAnsi="sans-serif" w:eastAsia="sans-serif" w:cs="sans-serif"/>
          <w:b w:val="0"/>
          <w:bCs/>
          <w:i w:val="0"/>
          <w:caps w:val="0"/>
          <w:color w:val="auto"/>
          <w:spacing w:val="0"/>
          <w:kern w:val="0"/>
          <w:sz w:val="24"/>
          <w:szCs w:val="24"/>
          <w:shd w:val="clear" w:fill="FFFFFF"/>
          <w:lang w:val="en-US" w:eastAsia="zh-CN" w:bidi="ar"/>
        </w:rPr>
        <w:t>）规定的包装要求，如有其他包装需求，详见采购文件技术部分相关章节。</w:t>
      </w:r>
    </w:p>
    <w:p w14:paraId="535E03EF">
      <w:pPr>
        <w:ind w:firstLine="480" w:firstLineChars="200"/>
        <w:rPr>
          <w:rFonts w:hint="eastAsia" w:ascii="sans-serif" w:hAnsi="sans-serif" w:eastAsia="sans-serif" w:cs="sans-serif"/>
          <w:b w:val="0"/>
          <w:bCs/>
          <w:i w:val="0"/>
          <w:caps w:val="0"/>
          <w:color w:val="auto"/>
          <w:spacing w:val="0"/>
          <w:kern w:val="0"/>
          <w:sz w:val="24"/>
          <w:szCs w:val="24"/>
          <w:shd w:val="clear" w:fill="FFFFFF"/>
          <w:lang w:val="en-US" w:eastAsia="zh-CN" w:bidi="ar"/>
        </w:rPr>
      </w:pPr>
      <w:r>
        <w:rPr>
          <w:rFonts w:hint="eastAsia" w:ascii="sans-serif" w:hAnsi="sans-serif" w:eastAsia="sans-serif" w:cs="sans-serif"/>
          <w:b w:val="0"/>
          <w:bCs/>
          <w:i w:val="0"/>
          <w:caps w:val="0"/>
          <w:color w:val="auto"/>
          <w:spacing w:val="0"/>
          <w:kern w:val="0"/>
          <w:sz w:val="24"/>
          <w:szCs w:val="24"/>
          <w:shd w:val="clear" w:fill="FFFFFF"/>
          <w:lang w:val="en-US" w:eastAsia="zh-CN" w:bidi="ar"/>
        </w:rPr>
        <w:t>2.本项目中如涉及网络关键设备或网络安全专用产品的，应严格执行国家互联网信息办公室、工业和信息化部、公安部和国家认证认可监督管理委员会2023年第1号《关于调整网络安全专用产品安全管理有关事项的公告》及国家互联网办公室、工业和信息化部、公安部和国家认证认可监督管理委员会2023年第2号《关于调整</w:t>
      </w:r>
      <w:r>
        <w:rPr>
          <w:rFonts w:hint="default" w:ascii="sans-serif" w:hAnsi="sans-serif" w:eastAsia="sans-serif" w:cs="sans-serif"/>
          <w:b w:val="0"/>
          <w:bCs/>
          <w:i w:val="0"/>
          <w:caps w:val="0"/>
          <w:color w:val="auto"/>
          <w:spacing w:val="0"/>
          <w:kern w:val="0"/>
          <w:sz w:val="24"/>
          <w:szCs w:val="24"/>
          <w:shd w:val="clear" w:fill="FFFFFF"/>
          <w:lang w:val="en" w:eastAsia="zh-CN" w:bidi="ar"/>
        </w:rPr>
        <w:t>&lt;</w:t>
      </w:r>
      <w:r>
        <w:rPr>
          <w:rFonts w:hint="eastAsia" w:ascii="sans-serif" w:hAnsi="sans-serif" w:eastAsia="sans-serif" w:cs="sans-serif"/>
          <w:b w:val="0"/>
          <w:bCs/>
          <w:i w:val="0"/>
          <w:caps w:val="0"/>
          <w:color w:val="auto"/>
          <w:spacing w:val="0"/>
          <w:kern w:val="0"/>
          <w:sz w:val="24"/>
          <w:szCs w:val="24"/>
          <w:shd w:val="clear" w:fill="FFFFFF"/>
          <w:lang w:val="en" w:eastAsia="zh-CN" w:bidi="ar"/>
        </w:rPr>
        <w:t>网络关键设备和网络安全专用产品目录</w:t>
      </w:r>
      <w:r>
        <w:rPr>
          <w:rFonts w:hint="default" w:ascii="sans-serif" w:hAnsi="sans-serif" w:eastAsia="sans-serif" w:cs="sans-serif"/>
          <w:b w:val="0"/>
          <w:bCs/>
          <w:i w:val="0"/>
          <w:caps w:val="0"/>
          <w:color w:val="auto"/>
          <w:spacing w:val="0"/>
          <w:kern w:val="0"/>
          <w:sz w:val="24"/>
          <w:szCs w:val="24"/>
          <w:shd w:val="clear" w:fill="FFFFFF"/>
          <w:lang w:val="en" w:eastAsia="zh-CN" w:bidi="ar"/>
        </w:rPr>
        <w:t>&gt;</w:t>
      </w:r>
      <w:r>
        <w:rPr>
          <w:rFonts w:hint="eastAsia" w:ascii="sans-serif" w:hAnsi="sans-serif" w:eastAsia="sans-serif" w:cs="sans-serif"/>
          <w:b w:val="0"/>
          <w:bCs/>
          <w:i w:val="0"/>
          <w:caps w:val="0"/>
          <w:color w:val="auto"/>
          <w:spacing w:val="0"/>
          <w:kern w:val="0"/>
          <w:sz w:val="24"/>
          <w:szCs w:val="24"/>
          <w:shd w:val="clear" w:fill="FFFFFF"/>
          <w:lang w:val="en-US" w:eastAsia="zh-CN" w:bidi="ar"/>
        </w:rPr>
        <w:t>的公告》等相关文件要求，所投标（响应）设备或产品至少符合以下条件之一：一是已由具备资格的机构安全认证合格或安全检测符合要求；二是已获得《计算机信息系统安全专用产品销售许可证》，且在有效期内。</w:t>
      </w:r>
    </w:p>
    <w:p w14:paraId="2A5B52C8">
      <w:pPr>
        <w:ind w:firstLine="480" w:firstLineChars="200"/>
        <w:rPr>
          <w:rFonts w:hint="eastAsia" w:ascii="sans-serif" w:hAnsi="sans-serif" w:eastAsia="sans-serif" w:cs="sans-serif"/>
          <w:b w:val="0"/>
          <w:bCs/>
          <w:i w:val="0"/>
          <w:caps w:val="0"/>
          <w:color w:val="auto"/>
          <w:spacing w:val="0"/>
          <w:kern w:val="0"/>
          <w:sz w:val="24"/>
          <w:szCs w:val="24"/>
          <w:shd w:val="clear" w:fill="FFFFFF"/>
          <w:lang w:val="en-US" w:eastAsia="zh-CN" w:bidi="ar"/>
        </w:rPr>
      </w:pPr>
      <w:r>
        <w:rPr>
          <w:rFonts w:hint="eastAsia" w:ascii="sans-serif" w:hAnsi="sans-serif" w:eastAsia="sans-serif" w:cs="sans-serif"/>
          <w:b w:val="0"/>
          <w:bCs/>
          <w:i w:val="0"/>
          <w:caps w:val="0"/>
          <w:color w:val="auto"/>
          <w:spacing w:val="0"/>
          <w:kern w:val="0"/>
          <w:sz w:val="24"/>
          <w:szCs w:val="24"/>
          <w:shd w:val="clear" w:fill="FFFFFF"/>
          <w:lang w:val="en-US" w:eastAsia="zh-CN" w:bidi="ar"/>
        </w:rPr>
        <w:t>3.本项目中如涉及国家强制性产品认证证书（CCC认证证书）、电信设备进网许可证、无线电发射设备核准证等市场准入类资质的，应严格执行国家相关法律法规的要求。</w:t>
      </w:r>
    </w:p>
    <w:p w14:paraId="228CBB2E">
      <w:pPr>
        <w:ind w:firstLine="480" w:firstLineChars="200"/>
        <w:rPr>
          <w:rFonts w:hint="default" w:ascii="sans-serif" w:hAnsi="sans-serif" w:eastAsia="sans-serif" w:cs="sans-serif"/>
          <w:b w:val="0"/>
          <w:bCs/>
          <w:i w:val="0"/>
          <w:caps w:val="0"/>
          <w:color w:val="auto"/>
          <w:spacing w:val="0"/>
          <w:kern w:val="0"/>
          <w:sz w:val="24"/>
          <w:szCs w:val="24"/>
          <w:shd w:val="clear" w:fill="FFFFFF"/>
          <w:lang w:val="en" w:eastAsia="zh-CN" w:bidi="ar"/>
        </w:rPr>
      </w:pPr>
      <w:r>
        <w:rPr>
          <w:rFonts w:hint="eastAsia" w:ascii="sans-serif" w:hAnsi="sans-serif" w:eastAsia="sans-serif" w:cs="sans-serif"/>
          <w:b w:val="0"/>
          <w:bCs/>
          <w:i w:val="0"/>
          <w:caps w:val="0"/>
          <w:color w:val="auto"/>
          <w:spacing w:val="0"/>
          <w:kern w:val="0"/>
          <w:sz w:val="24"/>
          <w:szCs w:val="24"/>
          <w:shd w:val="clear" w:fill="FFFFFF"/>
          <w:lang w:val="en-US" w:eastAsia="zh-CN" w:bidi="ar"/>
        </w:rPr>
        <w:t>以上相关要求，由供应商在响应时应答，在履约验收中，采购人将按照采购文件、中标</w:t>
      </w:r>
      <w:r>
        <w:rPr>
          <w:rFonts w:hint="default" w:ascii="sans-serif" w:hAnsi="sans-serif" w:eastAsia="sans-serif" w:cs="sans-serif"/>
          <w:b w:val="0"/>
          <w:bCs/>
          <w:i w:val="0"/>
          <w:caps w:val="0"/>
          <w:color w:val="auto"/>
          <w:spacing w:val="0"/>
          <w:kern w:val="0"/>
          <w:sz w:val="24"/>
          <w:szCs w:val="24"/>
          <w:shd w:val="clear" w:fill="FFFFFF"/>
          <w:lang w:val="en" w:eastAsia="zh-CN" w:bidi="ar"/>
        </w:rPr>
        <w:t>/</w:t>
      </w:r>
      <w:r>
        <w:rPr>
          <w:rFonts w:hint="eastAsia" w:ascii="sans-serif" w:hAnsi="sans-serif" w:eastAsia="sans-serif" w:cs="sans-serif"/>
          <w:b w:val="0"/>
          <w:bCs/>
          <w:i w:val="0"/>
          <w:caps w:val="0"/>
          <w:color w:val="auto"/>
          <w:spacing w:val="0"/>
          <w:kern w:val="0"/>
          <w:sz w:val="24"/>
          <w:szCs w:val="24"/>
          <w:shd w:val="clear" w:fill="FFFFFF"/>
          <w:lang w:val="en" w:eastAsia="zh-CN" w:bidi="ar"/>
        </w:rPr>
        <w:t>成交供应商响应文件、采购合同等对中标</w:t>
      </w:r>
      <w:r>
        <w:rPr>
          <w:rFonts w:hint="default" w:ascii="sans-serif" w:hAnsi="sans-serif" w:eastAsia="sans-serif" w:cs="sans-serif"/>
          <w:b w:val="0"/>
          <w:bCs/>
          <w:i w:val="0"/>
          <w:caps w:val="0"/>
          <w:color w:val="auto"/>
          <w:spacing w:val="0"/>
          <w:kern w:val="0"/>
          <w:sz w:val="24"/>
          <w:szCs w:val="24"/>
          <w:shd w:val="clear" w:fill="FFFFFF"/>
          <w:lang w:val="en" w:eastAsia="zh-CN" w:bidi="ar"/>
        </w:rPr>
        <w:t>/</w:t>
      </w:r>
      <w:r>
        <w:rPr>
          <w:rFonts w:hint="eastAsia" w:ascii="sans-serif" w:hAnsi="sans-serif" w:eastAsia="sans-serif" w:cs="sans-serif"/>
          <w:b w:val="0"/>
          <w:bCs/>
          <w:i w:val="0"/>
          <w:caps w:val="0"/>
          <w:color w:val="auto"/>
          <w:spacing w:val="0"/>
          <w:kern w:val="0"/>
          <w:sz w:val="24"/>
          <w:szCs w:val="24"/>
          <w:shd w:val="clear" w:fill="FFFFFF"/>
          <w:lang w:val="en" w:eastAsia="zh-CN" w:bidi="ar"/>
        </w:rPr>
        <w:t>成交供应商提供的货物和服务进行验收，必要时依法依规开展相应检测、认证。）</w:t>
      </w:r>
    </w:p>
    <w:p w14:paraId="12AB0694">
      <w:pPr>
        <w:rPr>
          <w:rFonts w:hint="eastAsia"/>
          <w:color w:val="auto"/>
          <w:lang w:val="en-US" w:eastAsia="zh-CN"/>
        </w:rPr>
      </w:pPr>
      <w:r>
        <w:rPr>
          <w:rFonts w:hint="eastAsia"/>
          <w:color w:val="auto"/>
          <w:lang w:val="en-US" w:eastAsia="zh-CN"/>
        </w:rPr>
        <w:t>。。。（若有请补充）</w:t>
      </w:r>
    </w:p>
    <w:p w14:paraId="05BC12C4">
      <w:pPr>
        <w:keepNext w:val="0"/>
        <w:keepLines w:val="0"/>
        <w:widowControl/>
        <w:suppressLineNumbers w:val="0"/>
        <w:jc w:val="left"/>
        <w:rPr>
          <w:color w:val="auto"/>
        </w:rPr>
      </w:pPr>
      <w:r>
        <w:rPr>
          <w:rFonts w:hint="eastAsia" w:ascii="sans-serif" w:hAnsi="sans-serif" w:eastAsia="sans-serif" w:cs="sans-serif"/>
          <w:b/>
          <w:i w:val="0"/>
          <w:caps w:val="0"/>
          <w:color w:val="auto"/>
          <w:spacing w:val="0"/>
          <w:kern w:val="0"/>
          <w:sz w:val="24"/>
          <w:szCs w:val="24"/>
          <w:shd w:val="clear" w:fill="FFFFFF"/>
          <w:lang w:val="en-US" w:eastAsia="zh-CN" w:bidi="ar"/>
        </w:rPr>
        <w:t>8</w:t>
      </w:r>
      <w:r>
        <w:rPr>
          <w:rFonts w:ascii="sans-serif" w:hAnsi="sans-serif" w:eastAsia="sans-serif" w:cs="sans-serif"/>
          <w:b/>
          <w:i w:val="0"/>
          <w:caps w:val="0"/>
          <w:color w:val="auto"/>
          <w:spacing w:val="0"/>
          <w:kern w:val="0"/>
          <w:sz w:val="24"/>
          <w:szCs w:val="24"/>
          <w:shd w:val="clear" w:fill="FFFFFF"/>
          <w:lang w:val="en-US" w:eastAsia="zh-CN" w:bidi="ar"/>
        </w:rPr>
        <w:t>.</w:t>
      </w:r>
      <w:r>
        <w:rPr>
          <w:rFonts w:hint="eastAsia" w:ascii="sans-serif" w:hAnsi="sans-serif" w:eastAsia="sans-serif" w:cs="sans-serif"/>
          <w:b/>
          <w:i w:val="0"/>
          <w:caps w:val="0"/>
          <w:color w:val="auto"/>
          <w:spacing w:val="0"/>
          <w:kern w:val="0"/>
          <w:sz w:val="24"/>
          <w:szCs w:val="24"/>
          <w:shd w:val="clear" w:fill="FFFFFF"/>
          <w:lang w:val="en-US" w:eastAsia="zh-CN" w:bidi="ar"/>
        </w:rPr>
        <w:t>2</w:t>
      </w:r>
      <w:r>
        <w:rPr>
          <w:rFonts w:ascii="sans-serif" w:hAnsi="sans-serif" w:eastAsia="sans-serif" w:cs="sans-serif"/>
          <w:b/>
          <w:i w:val="0"/>
          <w:caps w:val="0"/>
          <w:color w:val="auto"/>
          <w:spacing w:val="0"/>
          <w:kern w:val="0"/>
          <w:sz w:val="24"/>
          <w:szCs w:val="24"/>
          <w:shd w:val="clear" w:fill="FFFFFF"/>
          <w:lang w:val="en-US" w:eastAsia="zh-CN" w:bidi="ar"/>
        </w:rPr>
        <w:t xml:space="preserve"> 付款安排建议</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310B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F41FF1D">
            <w:pPr>
              <w:keepNext w:val="0"/>
              <w:keepLines w:val="0"/>
              <w:widowControl/>
              <w:suppressLineNumbers w:val="0"/>
              <w:spacing w:before="0" w:beforeAutospacing="0" w:line="360" w:lineRule="atLeast"/>
              <w:ind w:right="0"/>
              <w:jc w:val="left"/>
              <w:rPr>
                <w:rFonts w:hint="default" w:ascii="sans-serif" w:hAnsi="sans-serif" w:eastAsia="sans-serif" w:cs="sans-serif"/>
                <w:b/>
                <w:bCs w:val="0"/>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t>付款名称</w:t>
            </w:r>
          </w:p>
        </w:tc>
        <w:tc>
          <w:tcPr>
            <w:tcW w:w="2841" w:type="dxa"/>
          </w:tcPr>
          <w:p w14:paraId="7172D230">
            <w:pPr>
              <w:keepNext w:val="0"/>
              <w:keepLines w:val="0"/>
              <w:widowControl/>
              <w:suppressLineNumbers w:val="0"/>
              <w:spacing w:before="0" w:beforeAutospacing="0" w:line="360" w:lineRule="atLeast"/>
              <w:ind w:right="0"/>
              <w:jc w:val="left"/>
              <w:rPr>
                <w:rFonts w:hint="default" w:ascii="sans-serif" w:hAnsi="sans-serif" w:eastAsia="sans-serif" w:cs="sans-serif"/>
                <w:b/>
                <w:bCs w:val="0"/>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t>付款要求</w:t>
            </w:r>
          </w:p>
        </w:tc>
        <w:tc>
          <w:tcPr>
            <w:tcW w:w="2841" w:type="dxa"/>
          </w:tcPr>
          <w:p w14:paraId="73FE0CD7">
            <w:pPr>
              <w:keepNext w:val="0"/>
              <w:keepLines w:val="0"/>
              <w:widowControl/>
              <w:suppressLineNumbers w:val="0"/>
              <w:spacing w:before="0" w:beforeAutospacing="0" w:line="360" w:lineRule="atLeast"/>
              <w:ind w:right="0"/>
              <w:jc w:val="left"/>
              <w:rPr>
                <w:rFonts w:hint="default" w:ascii="sans-serif" w:hAnsi="sans-serif" w:eastAsia="sans-serif" w:cs="sans-serif"/>
                <w:b/>
                <w:bCs w:val="0"/>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bCs w:val="0"/>
                <w:i w:val="0"/>
                <w:caps w:val="0"/>
                <w:color w:val="auto"/>
                <w:spacing w:val="0"/>
                <w:kern w:val="0"/>
                <w:sz w:val="24"/>
                <w:szCs w:val="24"/>
                <w:shd w:val="clear" w:fill="FFFFFF"/>
                <w:vertAlign w:val="baseline"/>
                <w:lang w:val="en-US" w:eastAsia="zh-CN" w:bidi="ar"/>
              </w:rPr>
              <w:t>付款比例（%）</w:t>
            </w:r>
          </w:p>
        </w:tc>
      </w:tr>
      <w:tr w14:paraId="78B6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52323BF">
            <w:pPr>
              <w:rPr>
                <w:rFonts w:hint="default"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第1次付款</w:t>
            </w:r>
          </w:p>
        </w:tc>
        <w:tc>
          <w:tcPr>
            <w:tcW w:w="2841" w:type="dxa"/>
          </w:tcPr>
          <w:p w14:paraId="2AEC7B27">
            <w:pPr>
              <w:keepNext w:val="0"/>
              <w:keepLines w:val="0"/>
              <w:widowControl/>
              <w:suppressLineNumbers w:val="0"/>
              <w:spacing w:before="0" w:beforeAutospacing="0" w:line="360" w:lineRule="atLeast"/>
              <w:ind w:right="0"/>
              <w:jc w:val="left"/>
              <w:rPr>
                <w:rFonts w:hint="default"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宋体" w:hAnsi="宋体"/>
                <w:color w:val="auto"/>
                <w:sz w:val="21"/>
                <w:szCs w:val="21"/>
              </w:rPr>
              <w:t>项目验收通过并在收到发票后10个工作日内</w:t>
            </w:r>
          </w:p>
        </w:tc>
        <w:tc>
          <w:tcPr>
            <w:tcW w:w="2841" w:type="dxa"/>
          </w:tcPr>
          <w:p w14:paraId="7F22A45C">
            <w:pPr>
              <w:keepNext w:val="0"/>
              <w:keepLines w:val="0"/>
              <w:widowControl/>
              <w:suppressLineNumbers w:val="0"/>
              <w:spacing w:before="0" w:beforeAutospacing="0" w:line="360" w:lineRule="atLeast"/>
              <w:ind w:right="0"/>
              <w:jc w:val="left"/>
              <w:rPr>
                <w:rFonts w:hint="default" w:ascii="sans-serif" w:hAnsi="sans-serif" w:eastAsia="sans-serif" w:cs="sans-serif"/>
                <w:b w:val="0"/>
                <w:bCs/>
                <w:i w:val="0"/>
                <w:caps w:val="0"/>
                <w:color w:val="auto"/>
                <w:spacing w:val="0"/>
                <w:kern w:val="0"/>
                <w:sz w:val="24"/>
                <w:szCs w:val="24"/>
                <w:shd w:val="clear" w:fill="FFFFFF"/>
                <w:vertAlign w:val="baseline"/>
                <w:lang w:val="en-US" w:eastAsia="zh-CN" w:bidi="ar"/>
              </w:rPr>
            </w:pPr>
            <w:r>
              <w:rPr>
                <w:rFonts w:hint="eastAsia" w:ascii="sans-serif" w:hAnsi="sans-serif" w:eastAsia="sans-serif" w:cs="sans-serif"/>
                <w:b w:val="0"/>
                <w:bCs/>
                <w:i w:val="0"/>
                <w:caps w:val="0"/>
                <w:color w:val="auto"/>
                <w:spacing w:val="0"/>
                <w:kern w:val="0"/>
                <w:sz w:val="24"/>
                <w:szCs w:val="24"/>
                <w:shd w:val="clear" w:fill="FFFFFF"/>
                <w:vertAlign w:val="baseline"/>
                <w:lang w:val="en-US" w:eastAsia="zh-CN" w:bidi="ar"/>
              </w:rPr>
              <w:t>100</w:t>
            </w:r>
          </w:p>
        </w:tc>
      </w:tr>
      <w:tr w14:paraId="76A1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F13C38C">
            <w:pPr>
              <w:keepNext w:val="0"/>
              <w:keepLines w:val="0"/>
              <w:widowControl/>
              <w:suppressLineNumbers w:val="0"/>
              <w:spacing w:before="0" w:beforeAutospacing="0" w:line="360" w:lineRule="atLeast"/>
              <w:ind w:right="0"/>
              <w:jc w:val="left"/>
              <w:rPr>
                <w:rFonts w:hint="default" w:ascii="sans-serif" w:hAnsi="sans-serif" w:eastAsia="sans-serif" w:cs="sans-serif"/>
                <w:b w:val="0"/>
                <w:bCs/>
                <w:i w:val="0"/>
                <w:caps w:val="0"/>
                <w:color w:val="auto"/>
                <w:spacing w:val="0"/>
                <w:kern w:val="0"/>
                <w:sz w:val="24"/>
                <w:szCs w:val="24"/>
                <w:shd w:val="clear" w:fill="FFFFFF"/>
                <w:vertAlign w:val="baseline"/>
                <w:lang w:val="en-US" w:eastAsia="zh-CN" w:bidi="ar"/>
              </w:rPr>
            </w:pPr>
          </w:p>
        </w:tc>
        <w:tc>
          <w:tcPr>
            <w:tcW w:w="2841" w:type="dxa"/>
          </w:tcPr>
          <w:p w14:paraId="0F434E9E">
            <w:pPr>
              <w:keepNext w:val="0"/>
              <w:keepLines w:val="0"/>
              <w:widowControl/>
              <w:suppressLineNumbers w:val="0"/>
              <w:spacing w:before="0" w:beforeAutospacing="0" w:line="360" w:lineRule="atLeast"/>
              <w:ind w:right="0"/>
              <w:jc w:val="left"/>
              <w:rPr>
                <w:rFonts w:hint="default" w:ascii="sans-serif" w:hAnsi="sans-serif" w:eastAsia="sans-serif" w:cs="sans-serif"/>
                <w:b w:val="0"/>
                <w:bCs/>
                <w:i w:val="0"/>
                <w:caps w:val="0"/>
                <w:color w:val="auto"/>
                <w:spacing w:val="0"/>
                <w:kern w:val="0"/>
                <w:sz w:val="24"/>
                <w:szCs w:val="24"/>
                <w:shd w:val="clear" w:fill="FFFFFF"/>
                <w:vertAlign w:val="baseline"/>
                <w:lang w:val="en-US" w:eastAsia="zh-CN" w:bidi="ar"/>
              </w:rPr>
            </w:pPr>
          </w:p>
        </w:tc>
        <w:tc>
          <w:tcPr>
            <w:tcW w:w="2841" w:type="dxa"/>
          </w:tcPr>
          <w:p w14:paraId="4CEB9906">
            <w:pPr>
              <w:keepNext w:val="0"/>
              <w:keepLines w:val="0"/>
              <w:widowControl/>
              <w:suppressLineNumbers w:val="0"/>
              <w:spacing w:before="0" w:beforeAutospacing="0" w:line="360" w:lineRule="atLeast"/>
              <w:ind w:right="0"/>
              <w:jc w:val="left"/>
              <w:rPr>
                <w:rFonts w:hint="default" w:ascii="sans-serif" w:hAnsi="sans-serif" w:eastAsia="sans-serif" w:cs="sans-serif"/>
                <w:b w:val="0"/>
                <w:bCs/>
                <w:i w:val="0"/>
                <w:caps w:val="0"/>
                <w:color w:val="auto"/>
                <w:spacing w:val="0"/>
                <w:kern w:val="0"/>
                <w:sz w:val="24"/>
                <w:szCs w:val="24"/>
                <w:shd w:val="clear" w:fill="FFFFFF"/>
                <w:vertAlign w:val="baseline"/>
                <w:lang w:val="en-US" w:eastAsia="zh-CN" w:bidi="ar"/>
              </w:rPr>
            </w:pPr>
          </w:p>
        </w:tc>
      </w:tr>
    </w:tbl>
    <w:p w14:paraId="698674B3">
      <w:pPr>
        <w:keepNext w:val="0"/>
        <w:keepLines w:val="0"/>
        <w:widowControl/>
        <w:suppressLineNumbers w:val="0"/>
        <w:jc w:val="left"/>
        <w:rPr>
          <w:rFonts w:ascii="sans-serif" w:hAnsi="sans-serif" w:eastAsia="sans-serif" w:cs="sans-serif"/>
          <w:b/>
          <w:i w:val="0"/>
          <w:caps w:val="0"/>
          <w:color w:val="auto"/>
          <w:spacing w:val="0"/>
          <w:kern w:val="0"/>
          <w:sz w:val="24"/>
          <w:szCs w:val="24"/>
          <w:shd w:val="clear" w:fill="FFFFFF"/>
          <w:lang w:val="en-US" w:eastAsia="zh-CN" w:bidi="ar"/>
        </w:rPr>
      </w:pPr>
      <w:r>
        <w:rPr>
          <w:rFonts w:ascii="sans-serif" w:hAnsi="sans-serif" w:eastAsia="sans-serif" w:cs="sans-serif"/>
          <w:b/>
          <w:i w:val="0"/>
          <w:caps w:val="0"/>
          <w:color w:val="auto"/>
          <w:spacing w:val="0"/>
          <w:kern w:val="0"/>
          <w:sz w:val="24"/>
          <w:szCs w:val="24"/>
          <w:shd w:val="clear" w:fill="FFFFFF"/>
          <w:lang w:val="en-US" w:eastAsia="zh-CN" w:bidi="ar"/>
        </w:rPr>
        <w:t>8.3 其他要求</w:t>
      </w:r>
    </w:p>
    <w:p w14:paraId="3C0A0322">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8.3.1 保密要求</w:t>
      </w:r>
    </w:p>
    <w:p w14:paraId="6F5EA4F4">
      <w:pPr>
        <w:spacing w:line="360" w:lineRule="auto"/>
        <w:ind w:firstLine="480" w:firstLineChars="200"/>
        <w:rPr>
          <w:rFonts w:ascii="宋体" w:hAnsi="宋体"/>
          <w:color w:val="auto"/>
          <w:sz w:val="24"/>
        </w:rPr>
      </w:pPr>
      <w:r>
        <w:rPr>
          <w:rFonts w:hint="eastAsia" w:ascii="宋体" w:hAnsi="宋体"/>
          <w:color w:val="auto"/>
          <w:sz w:val="24"/>
        </w:rPr>
        <w:t>本</w:t>
      </w:r>
      <w:r>
        <w:rPr>
          <w:rFonts w:hint="eastAsia" w:ascii="宋体" w:hAnsi="宋体"/>
          <w:color w:val="auto"/>
          <w:sz w:val="24"/>
          <w:lang w:eastAsia="zh-CN"/>
        </w:rPr>
        <w:t>项目</w:t>
      </w:r>
      <w:r>
        <w:rPr>
          <w:rFonts w:hint="eastAsia" w:ascii="宋体" w:hAnsi="宋体"/>
          <w:color w:val="auto"/>
          <w:sz w:val="24"/>
        </w:rPr>
        <w:t>合同签署双方均不得向第三方泄露本合同内容及在本</w:t>
      </w:r>
      <w:r>
        <w:rPr>
          <w:rFonts w:hint="eastAsia" w:ascii="宋体" w:hAnsi="宋体"/>
          <w:color w:val="auto"/>
          <w:sz w:val="24"/>
          <w:lang w:eastAsia="zh-CN"/>
        </w:rPr>
        <w:t>项目</w:t>
      </w:r>
      <w:r>
        <w:rPr>
          <w:rFonts w:hint="eastAsia" w:ascii="宋体" w:hAnsi="宋体"/>
          <w:color w:val="auto"/>
          <w:sz w:val="24"/>
        </w:rPr>
        <w:t>合同履行过程中获得的另一方的商业秘密及知识产权。</w:t>
      </w:r>
    </w:p>
    <w:p w14:paraId="7D34289D">
      <w:pPr>
        <w:spacing w:line="360" w:lineRule="auto"/>
        <w:ind w:firstLine="480" w:firstLineChars="200"/>
        <w:rPr>
          <w:rFonts w:ascii="宋体" w:hAnsi="宋体"/>
          <w:color w:val="auto"/>
          <w:sz w:val="24"/>
        </w:rPr>
      </w:pPr>
      <w:r>
        <w:rPr>
          <w:rFonts w:hint="eastAsia" w:ascii="宋体" w:hAnsi="宋体"/>
          <w:color w:val="auto"/>
          <w:sz w:val="24"/>
          <w:lang w:eastAsia="zh-CN"/>
        </w:rPr>
        <w:t>中标人</w:t>
      </w:r>
      <w:r>
        <w:rPr>
          <w:rFonts w:hint="eastAsia" w:ascii="宋体" w:hAnsi="宋体"/>
          <w:color w:val="auto"/>
          <w:sz w:val="24"/>
        </w:rPr>
        <w:t>应对在项目实施过程中接触到的</w:t>
      </w:r>
      <w:r>
        <w:rPr>
          <w:rFonts w:hint="eastAsia" w:ascii="宋体" w:hAnsi="宋体"/>
          <w:color w:val="auto"/>
          <w:sz w:val="24"/>
          <w:lang w:eastAsia="zh-CN"/>
        </w:rPr>
        <w:t>采购人</w:t>
      </w:r>
      <w:r>
        <w:rPr>
          <w:rFonts w:hint="eastAsia" w:ascii="宋体" w:hAnsi="宋体"/>
          <w:color w:val="auto"/>
          <w:sz w:val="24"/>
        </w:rPr>
        <w:t>所有系统信息、工作资料等进行保密，不得以任何形式复制、带走或提供给任何其他个人或团体。</w:t>
      </w:r>
      <w:r>
        <w:rPr>
          <w:rFonts w:hint="eastAsia" w:ascii="宋体" w:hAnsi="宋体"/>
          <w:color w:val="auto"/>
          <w:sz w:val="24"/>
          <w:lang w:eastAsia="zh-CN"/>
        </w:rPr>
        <w:t>中标人</w:t>
      </w:r>
      <w:r>
        <w:rPr>
          <w:rFonts w:hint="eastAsia" w:ascii="宋体" w:hAnsi="宋体"/>
          <w:color w:val="auto"/>
          <w:sz w:val="24"/>
        </w:rPr>
        <w:t>如违反本保密约定，</w:t>
      </w:r>
      <w:r>
        <w:rPr>
          <w:rFonts w:hint="eastAsia" w:ascii="宋体" w:hAnsi="宋体"/>
          <w:color w:val="auto"/>
          <w:sz w:val="24"/>
          <w:lang w:eastAsia="zh-CN"/>
        </w:rPr>
        <w:t>采购人</w:t>
      </w:r>
      <w:r>
        <w:rPr>
          <w:rFonts w:hint="eastAsia" w:ascii="宋体" w:hAnsi="宋体"/>
          <w:color w:val="auto"/>
          <w:sz w:val="24"/>
        </w:rPr>
        <w:t>有权追究</w:t>
      </w:r>
      <w:r>
        <w:rPr>
          <w:rFonts w:hint="eastAsia" w:ascii="宋体" w:hAnsi="宋体"/>
          <w:color w:val="auto"/>
          <w:sz w:val="24"/>
          <w:lang w:eastAsia="zh-CN"/>
        </w:rPr>
        <w:t>中标人</w:t>
      </w:r>
      <w:r>
        <w:rPr>
          <w:rFonts w:hint="eastAsia" w:ascii="宋体" w:hAnsi="宋体"/>
          <w:color w:val="auto"/>
          <w:sz w:val="24"/>
        </w:rPr>
        <w:t>的相关法律责任。</w:t>
      </w:r>
    </w:p>
    <w:p w14:paraId="040AE1EE">
      <w:pPr>
        <w:keepNext w:val="0"/>
        <w:keepLines w:val="0"/>
        <w:widowControl/>
        <w:suppressLineNumbers w:val="0"/>
        <w:jc w:val="left"/>
        <w:rPr>
          <w:color w:val="auto"/>
        </w:rPr>
      </w:pPr>
      <w:r>
        <w:rPr>
          <w:rFonts w:ascii="sans-serif" w:hAnsi="sans-serif" w:eastAsia="sans-serif" w:cs="sans-serif"/>
          <w:b/>
          <w:i w:val="0"/>
          <w:caps w:val="0"/>
          <w:color w:val="auto"/>
          <w:spacing w:val="0"/>
          <w:kern w:val="0"/>
          <w:sz w:val="24"/>
          <w:szCs w:val="24"/>
          <w:shd w:val="clear" w:fill="FFFFFF"/>
          <w:lang w:val="en-US" w:eastAsia="zh-CN" w:bidi="ar"/>
        </w:rPr>
        <w:t>8.3.2 知识产权要求</w:t>
      </w:r>
    </w:p>
    <w:p w14:paraId="4A419013">
      <w:pPr>
        <w:spacing w:line="360" w:lineRule="auto"/>
        <w:ind w:firstLine="480" w:firstLineChars="200"/>
        <w:rPr>
          <w:rFonts w:ascii="宋体" w:hAnsi="宋体"/>
          <w:color w:val="auto"/>
          <w:sz w:val="24"/>
        </w:rPr>
      </w:pPr>
      <w:r>
        <w:rPr>
          <w:rFonts w:hint="eastAsia" w:ascii="宋体" w:hAnsi="宋体"/>
          <w:color w:val="auto"/>
          <w:sz w:val="24"/>
          <w:lang w:eastAsia="zh-CN"/>
        </w:rPr>
        <w:t>中标人</w:t>
      </w:r>
      <w:r>
        <w:rPr>
          <w:rFonts w:hint="eastAsia" w:ascii="宋体" w:hAnsi="宋体"/>
          <w:color w:val="auto"/>
          <w:sz w:val="24"/>
        </w:rPr>
        <w:t>在服务过程中产生的所有技术资料、提交件及其他类别的知识产权归</w:t>
      </w:r>
      <w:r>
        <w:rPr>
          <w:rFonts w:hint="eastAsia" w:ascii="宋体" w:hAnsi="宋体"/>
          <w:color w:val="auto"/>
          <w:sz w:val="24"/>
          <w:lang w:eastAsia="zh-CN"/>
        </w:rPr>
        <w:t>采购人</w:t>
      </w:r>
      <w:r>
        <w:rPr>
          <w:rFonts w:hint="eastAsia" w:ascii="宋体" w:hAnsi="宋体"/>
          <w:color w:val="auto"/>
          <w:sz w:val="24"/>
        </w:rPr>
        <w:t xml:space="preserve">所有。 </w:t>
      </w:r>
    </w:p>
    <w:p w14:paraId="3B2E8042">
      <w:pPr>
        <w:spacing w:line="360" w:lineRule="auto"/>
        <w:ind w:firstLine="480" w:firstLineChars="200"/>
        <w:rPr>
          <w:rFonts w:hint="eastAsia" w:ascii="宋体" w:hAnsi="宋体"/>
          <w:color w:val="auto"/>
          <w:sz w:val="24"/>
        </w:rPr>
      </w:pPr>
      <w:r>
        <w:rPr>
          <w:rFonts w:hint="eastAsia" w:ascii="宋体" w:hAnsi="宋体"/>
          <w:color w:val="auto"/>
          <w:sz w:val="24"/>
          <w:lang w:eastAsia="zh-CN"/>
        </w:rPr>
        <w:t>中标人</w:t>
      </w:r>
      <w:r>
        <w:rPr>
          <w:rFonts w:hint="eastAsia" w:ascii="宋体" w:hAnsi="宋体"/>
          <w:color w:val="auto"/>
          <w:sz w:val="24"/>
        </w:rPr>
        <w:t>交付给</w:t>
      </w:r>
      <w:r>
        <w:rPr>
          <w:rFonts w:hint="eastAsia" w:ascii="宋体" w:hAnsi="宋体"/>
          <w:color w:val="auto"/>
          <w:sz w:val="24"/>
          <w:lang w:eastAsia="zh-CN"/>
        </w:rPr>
        <w:t>采购人</w:t>
      </w:r>
      <w:r>
        <w:rPr>
          <w:rFonts w:hint="eastAsia" w:ascii="宋体" w:hAnsi="宋体"/>
          <w:color w:val="auto"/>
          <w:sz w:val="24"/>
        </w:rPr>
        <w:t>的成果不得侵犯第三方的合法权益。如果</w:t>
      </w:r>
      <w:r>
        <w:rPr>
          <w:rFonts w:hint="eastAsia" w:ascii="宋体" w:hAnsi="宋体"/>
          <w:color w:val="auto"/>
          <w:sz w:val="24"/>
          <w:lang w:eastAsia="zh-CN"/>
        </w:rPr>
        <w:t>采购人</w:t>
      </w:r>
      <w:r>
        <w:rPr>
          <w:rFonts w:hint="eastAsia" w:ascii="宋体" w:hAnsi="宋体"/>
          <w:color w:val="auto"/>
          <w:sz w:val="24"/>
        </w:rPr>
        <w:t>因使用本项目成果或其中一部分而被第三方起诉侵犯其专利权、商标权或其它知识产权，</w:t>
      </w:r>
      <w:r>
        <w:rPr>
          <w:rFonts w:hint="eastAsia" w:ascii="宋体" w:hAnsi="宋体"/>
          <w:color w:val="auto"/>
          <w:sz w:val="24"/>
          <w:lang w:eastAsia="zh-CN"/>
        </w:rPr>
        <w:t>中标人</w:t>
      </w:r>
      <w:r>
        <w:rPr>
          <w:rFonts w:hint="eastAsia" w:ascii="宋体" w:hAnsi="宋体"/>
          <w:color w:val="auto"/>
          <w:sz w:val="24"/>
        </w:rPr>
        <w:t>将依法承担相应的法律责任。</w:t>
      </w:r>
    </w:p>
    <w:p w14:paraId="65187DB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line="360" w:lineRule="atLeast"/>
        <w:ind w:right="0"/>
        <w:jc w:val="left"/>
        <w:rPr>
          <w:rFonts w:hint="default"/>
          <w:color w:val="auto"/>
          <w:lang w:val="en-US" w:eastAsia="zh-CN"/>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sans-serif">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FEC26D"/>
    <w:multiLevelType w:val="singleLevel"/>
    <w:tmpl w:val="ADFEC26D"/>
    <w:lvl w:ilvl="0" w:tentative="0">
      <w:start w:val="1"/>
      <w:numFmt w:val="lowerLetter"/>
      <w:lvlText w:val="%1)"/>
      <w:lvlJc w:val="left"/>
      <w:pPr>
        <w:tabs>
          <w:tab w:val="left" w:pos="312"/>
        </w:tabs>
      </w:pPr>
    </w:lvl>
  </w:abstractNum>
  <w:abstractNum w:abstractNumId="1">
    <w:nsid w:val="E7F7A137"/>
    <w:multiLevelType w:val="singleLevel"/>
    <w:tmpl w:val="E7F7A137"/>
    <w:lvl w:ilvl="0" w:tentative="0">
      <w:start w:val="1"/>
      <w:numFmt w:val="decimal"/>
      <w:lvlText w:val="%1"/>
      <w:lvlJc w:val="left"/>
      <w:pPr>
        <w:tabs>
          <w:tab w:val="left" w:pos="420"/>
        </w:tabs>
        <w:ind w:left="425" w:leftChars="0" w:hanging="425" w:firstLineChars="0"/>
      </w:pPr>
      <w:rPr>
        <w:rFonts w:hint="default"/>
      </w:rPr>
    </w:lvl>
  </w:abstractNum>
  <w:abstractNum w:abstractNumId="2">
    <w:nsid w:val="EFFE9E52"/>
    <w:multiLevelType w:val="singleLevel"/>
    <w:tmpl w:val="EFFE9E52"/>
    <w:lvl w:ilvl="0" w:tentative="0">
      <w:start w:val="1"/>
      <w:numFmt w:val="lowerLetter"/>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5DD29A6"/>
    <w:rsid w:val="071B1429"/>
    <w:rsid w:val="0AE16557"/>
    <w:rsid w:val="1135321D"/>
    <w:rsid w:val="126F41E7"/>
    <w:rsid w:val="15BF2BCB"/>
    <w:rsid w:val="1BED6797"/>
    <w:rsid w:val="23E06C81"/>
    <w:rsid w:val="2D9319E6"/>
    <w:rsid w:val="31877D8F"/>
    <w:rsid w:val="3FDB065F"/>
    <w:rsid w:val="40200BFE"/>
    <w:rsid w:val="4A1947CF"/>
    <w:rsid w:val="4C6E21FA"/>
    <w:rsid w:val="5969871F"/>
    <w:rsid w:val="5D3B181B"/>
    <w:rsid w:val="5FDF7BB4"/>
    <w:rsid w:val="619EF676"/>
    <w:rsid w:val="66C4797E"/>
    <w:rsid w:val="683A4871"/>
    <w:rsid w:val="685A2D26"/>
    <w:rsid w:val="6A7907BA"/>
    <w:rsid w:val="6AC71984"/>
    <w:rsid w:val="6DA11890"/>
    <w:rsid w:val="6E504EAF"/>
    <w:rsid w:val="71675B7B"/>
    <w:rsid w:val="79784BA5"/>
    <w:rsid w:val="7A6EE133"/>
    <w:rsid w:val="7F7D1EC5"/>
    <w:rsid w:val="7F7F57D9"/>
    <w:rsid w:val="7F7FF295"/>
    <w:rsid w:val="AD7BAB45"/>
    <w:rsid w:val="AF75E636"/>
    <w:rsid w:val="AFFFF292"/>
    <w:rsid w:val="BAFB2699"/>
    <w:rsid w:val="CBBC4FEF"/>
    <w:rsid w:val="DCD7637F"/>
    <w:rsid w:val="DD572DEC"/>
    <w:rsid w:val="EBF7AB26"/>
    <w:rsid w:val="EEBF4B0B"/>
    <w:rsid w:val="EF9F0107"/>
    <w:rsid w:val="EFF767F6"/>
    <w:rsid w:val="F7FBEECC"/>
    <w:rsid w:val="FF65D0A0"/>
    <w:rsid w:val="FFDF6E95"/>
    <w:rsid w:val="FFFDF8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annotation text"/>
    <w:basedOn w:val="1"/>
    <w:qFormat/>
    <w:uiPriority w:val="0"/>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null3"/>
    <w:basedOn w:val="1"/>
    <w:qFormat/>
    <w:uiPriority w:val="0"/>
    <w:pPr>
      <w:widowControl/>
      <w:jc w:val="left"/>
    </w:pPr>
    <w:rPr>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20</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2018-07-12T23:11:00Z</dcterms:created>
  <dc:creator>d</dc:creator>
  <cp:lastModifiedBy>陈国铭</cp:lastModifiedBy>
  <dcterms:modified xsi:type="dcterms:W3CDTF">2026-10-21T17:37:40Z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D92CED64DD50BA683784D86AB92204D0_43</vt:lpwstr>
  </property>
</Properties>
</file>