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关于《国家税务总局揭阳市税务局关于公布税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规范性文件清理结果的公告》的解读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bidi w:val="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照《税收规范性文件制定管理办法》（国家税务总局令第41号发布，国家税务总局令第50号修正）、《广东省税务系统税务规范性文件制定管理实施办法》（国家税务总局广东省税务局公告2020年第2号公布）规定，我局对现行有效的税务规范性文件进行清理。清理工作完成后，以《国家税务总局揭阳市税务局关于公布税务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规范性文件清理结果的公告》对外公布，以方便纳税人缴费人知悉和查询相关文件有效性。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35329E"/>
    <w:rsid w:val="6DA56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2021-11-25T02:13:00Z</dcterms:created>
  <dc:creator>admin</dc:creator>
  <cp:lastModifiedBy>洪国鑫</cp:lastModifiedBy>
  <dcterms:modified xsi:type="dcterms:W3CDTF">2021-12-16T03:34:55Z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