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rPr>
          <w:rFonts w:hint="eastAsia" w:ascii="黑体" w:hAnsi="仿宋" w:eastAsia="黑体"/>
          <w:b/>
          <w:bCs/>
          <w:color w:val="000000" w:themeColor="text1"/>
          <w:sz w:val="44"/>
          <w:szCs w:val="44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仿宋_GB2312" w:eastAsia="黑体" w:cs="仿宋_GB2312"/>
          <w:color w:val="000000" w:themeColor="text1"/>
          <w:sz w:val="44"/>
          <w:szCs w:val="44"/>
          <w:shd w:val="clear" w:color="auto" w:fill="FFFFFF"/>
          <w:lang w:eastAsia="zh-CN"/>
          <w14:textFill>
            <w14:solidFill>
              <w14:schemeClr w14:val="tx1"/>
            </w14:solidFill>
          </w14:textFill>
        </w:rPr>
        <w:t>简</w:t>
      </w:r>
      <w:r>
        <w:rPr>
          <w:rFonts w:hint="eastAsia" w:ascii="黑体" w:hAnsi="仿宋_GB2312" w:eastAsia="黑体" w:cs="仿宋_GB2312"/>
          <w:color w:val="000000" w:themeColor="text1"/>
          <w:sz w:val="44"/>
          <w:szCs w:val="44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黑体" w:hAnsi="仿宋_GB2312" w:eastAsia="黑体" w:cs="仿宋_GB2312"/>
          <w:color w:val="000000" w:themeColor="text1"/>
          <w:sz w:val="44"/>
          <w:szCs w:val="44"/>
          <w:shd w:val="clear" w:color="auto" w:fill="FFFFFF"/>
          <w:lang w:eastAsia="zh-CN"/>
          <w14:textFill>
            <w14:solidFill>
              <w14:schemeClr w14:val="tx1"/>
            </w14:solidFill>
          </w14:textFill>
        </w:rPr>
        <w:t>易</w:t>
      </w:r>
      <w:r>
        <w:rPr>
          <w:rFonts w:hint="eastAsia" w:ascii="黑体" w:hAnsi="仿宋_GB2312" w:eastAsia="黑体" w:cs="仿宋_GB2312"/>
          <w:color w:val="000000" w:themeColor="text1"/>
          <w:sz w:val="44"/>
          <w:szCs w:val="44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黑体" w:hAnsi="仿宋_GB2312" w:eastAsia="黑体" w:cs="仿宋_GB2312"/>
          <w:color w:val="000000" w:themeColor="text1"/>
          <w:sz w:val="44"/>
          <w:szCs w:val="44"/>
          <w:shd w:val="clear" w:color="auto" w:fill="FFFFFF"/>
          <w14:textFill>
            <w14:solidFill>
              <w14:schemeClr w14:val="tx1"/>
            </w14:solidFill>
          </w14:textFill>
        </w:rPr>
        <w:t>磋 商 文 件</w:t>
      </w:r>
    </w:p>
    <w:p>
      <w:pPr>
        <w:numPr>
          <w:ilvl w:val="0"/>
          <w:numId w:val="0"/>
        </w:numPr>
        <w:spacing w:beforeLines="0" w:afterLines="0"/>
        <w:ind w:left="420" w:leftChars="0"/>
        <w:jc w:val="left"/>
        <w:rPr>
          <w:rFonts w:hint="eastAsia" w:ascii="宋体" w:hAnsi="宋体" w:eastAsia="宋体"/>
          <w:color w:val="000000" w:themeColor="text1"/>
          <w:sz w:val="21"/>
          <w:szCs w:val="24"/>
          <w14:textFill>
            <w14:solidFill>
              <w14:schemeClr w14:val="tx1"/>
            </w14:solidFill>
          </w14:textFill>
        </w:rPr>
      </w:pPr>
    </w:p>
    <w:p>
      <w:pPr>
        <w:numPr>
          <w:ilvl w:val="0"/>
          <w:numId w:val="0"/>
        </w:numPr>
        <w:spacing w:beforeLines="0" w:afterLines="0"/>
        <w:ind w:left="420" w:leftChars="0"/>
        <w:jc w:val="left"/>
        <w:rPr>
          <w:rFonts w:hint="eastAsia" w:ascii="宋体" w:hAnsi="宋体" w:eastAsia="宋体"/>
          <w:color w:val="000000" w:themeColor="text1"/>
          <w:sz w:val="21"/>
          <w:szCs w:val="24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/>
          <w:b w:val="0"/>
          <w:bCs w:val="0"/>
          <w:color w:val="000000" w:themeColor="text1"/>
          <w:vertAlign w:val="baseli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b w:val="0"/>
          <w:bCs w:val="0"/>
          <w:color w:val="000000" w:themeColor="text1"/>
          <w:vertAlign w:val="baseline"/>
          <w:lang w:val="en-US" w:eastAsia="zh-CN"/>
          <w14:textFill>
            <w14:solidFill>
              <w14:schemeClr w14:val="tx1"/>
            </w14:solidFill>
          </w14:textFill>
        </w:rPr>
        <w:t xml:space="preserve">第一部分 报价邀请函 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/>
          <w:b w:val="0"/>
          <w:bCs w:val="0"/>
          <w:color w:val="000000" w:themeColor="text1"/>
          <w:vertAlign w:val="baseli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b w:val="0"/>
          <w:bCs w:val="0"/>
          <w:color w:val="000000" w:themeColor="text1"/>
          <w:vertAlign w:val="baseline"/>
          <w:lang w:val="en-US" w:eastAsia="zh-CN"/>
          <w14:textFill>
            <w14:solidFill>
              <w14:schemeClr w14:val="tx1"/>
            </w14:solidFill>
          </w14:textFill>
        </w:rPr>
        <w:t xml:space="preserve">第二部分 用户需求书 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/>
          <w:b w:val="0"/>
          <w:bCs w:val="0"/>
          <w:color w:val="000000" w:themeColor="text1"/>
          <w:vertAlign w:val="baseli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b w:val="0"/>
          <w:bCs w:val="0"/>
          <w:color w:val="000000" w:themeColor="text1"/>
          <w:vertAlign w:val="baseline"/>
          <w:lang w:val="en-US" w:eastAsia="zh-CN"/>
          <w14:textFill>
            <w14:solidFill>
              <w14:schemeClr w14:val="tx1"/>
            </w14:solidFill>
          </w14:textFill>
        </w:rPr>
        <w:t xml:space="preserve">第三部分 报价供应商须知 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/>
          <w:b w:val="0"/>
          <w:bCs w:val="0"/>
          <w:color w:val="000000" w:themeColor="text1"/>
          <w:vertAlign w:val="baseli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b w:val="0"/>
          <w:bCs w:val="0"/>
          <w:color w:val="000000" w:themeColor="text1"/>
          <w:vertAlign w:val="baseline"/>
          <w:lang w:val="en-US" w:eastAsia="zh-CN"/>
          <w14:textFill>
            <w14:solidFill>
              <w14:schemeClr w14:val="tx1"/>
            </w14:solidFill>
          </w14:textFill>
        </w:rPr>
        <w:t>第四部分 磋商、评审、成交</w:t>
      </w:r>
    </w:p>
    <w:p>
      <w:pPr>
        <w:widowControl/>
        <w:numPr>
          <w:ilvl w:val="0"/>
          <w:numId w:val="0"/>
        </w:numPr>
        <w:spacing w:line="600" w:lineRule="exact"/>
        <w:jc w:val="left"/>
        <w:rPr>
          <w:rFonts w:hint="eastAsia" w:asciiTheme="minorHAnsi" w:hAnsiTheme="minorHAnsi" w:eastAsiaTheme="minorEastAsia" w:cstheme="minorBidi"/>
          <w:b/>
          <w:bCs/>
          <w:color w:val="000000" w:themeColor="text1"/>
          <w:kern w:val="0"/>
          <w:sz w:val="24"/>
          <w:szCs w:val="24"/>
          <w:u w:val="none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Theme="minorHAnsi" w:hAnsiTheme="minorHAnsi" w:eastAsiaTheme="minorEastAsia" w:cstheme="minorBidi"/>
          <w:b/>
          <w:bCs/>
          <w:color w:val="000000" w:themeColor="text1"/>
          <w:kern w:val="0"/>
          <w:sz w:val="24"/>
          <w:szCs w:val="24"/>
          <w:u w:val="none"/>
          <w:lang w:val="en-US" w:eastAsia="zh-CN" w:bidi="ar"/>
          <w14:textFill>
            <w14:solidFill>
              <w14:schemeClr w14:val="tx1"/>
            </w14:solidFill>
          </w14:textFill>
        </w:rPr>
        <w:t xml:space="preserve">第一部分 报价邀请函 </w:t>
      </w:r>
    </w:p>
    <w:p>
      <w:pPr>
        <w:widowControl w:val="0"/>
        <w:numPr>
          <w:ilvl w:val="0"/>
          <w:numId w:val="0"/>
        </w:numPr>
        <w:spacing w:line="360" w:lineRule="auto"/>
        <w:jc w:val="both"/>
        <w:rPr>
          <w:rFonts w:hint="eastAsia" w:ascii="宋体" w:hAnsi="宋体" w:eastAsia="宋体"/>
          <w:color w:val="000000" w:themeColor="text1"/>
          <w:sz w:val="21"/>
          <w:szCs w:val="24"/>
          <w14:textFill>
            <w14:solidFill>
              <w14:schemeClr w14:val="tx1"/>
            </w14:solidFill>
          </w14:textFill>
        </w:rPr>
      </w:pPr>
    </w:p>
    <w:p>
      <w:pPr>
        <w:widowControl/>
        <w:spacing w:line="600" w:lineRule="exact"/>
        <w:ind w:firstLine="480" w:firstLineChars="200"/>
        <w:jc w:val="left"/>
        <w:rPr>
          <w:rFonts w:hint="eastAsia" w:eastAsia="宋体" w:cstheme="minorBidi"/>
          <w:b w:val="0"/>
          <w:bCs w:val="0"/>
          <w:kern w:val="0"/>
          <w:sz w:val="24"/>
          <w:szCs w:val="24"/>
          <w:u w:val="none"/>
          <w:lang w:val="en-US" w:eastAsia="zh-CN" w:bidi="ar"/>
        </w:rPr>
      </w:pPr>
      <w:r>
        <w:rPr>
          <w:rFonts w:hint="eastAsia" w:asciiTheme="minorHAnsi" w:hAnsiTheme="minorHAnsi" w:eastAsiaTheme="minorEastAsia" w:cstheme="minorBidi"/>
          <w:b w:val="0"/>
          <w:bCs w:val="0"/>
          <w:color w:val="000000" w:themeColor="text1"/>
          <w:kern w:val="0"/>
          <w:sz w:val="24"/>
          <w:szCs w:val="24"/>
          <w:u w:val="none"/>
          <w:lang w:val="en-US" w:eastAsia="zh-CN" w:bidi="ar"/>
          <w14:textFill>
            <w14:solidFill>
              <w14:schemeClr w14:val="tx1"/>
            </w14:solidFill>
          </w14:textFill>
        </w:rPr>
        <w:t>一、采购项目名称：</w:t>
      </w:r>
      <w:r>
        <w:rPr>
          <w:rFonts w:hint="eastAsia" w:eastAsia="宋体" w:cstheme="minorBidi"/>
          <w:b w:val="0"/>
          <w:bCs w:val="0"/>
          <w:kern w:val="0"/>
          <w:sz w:val="24"/>
          <w:szCs w:val="24"/>
          <w:u w:val="none"/>
          <w:lang w:val="en-US" w:eastAsia="zh-CN" w:bidi="ar"/>
        </w:rPr>
        <w:t>国家税务总局揭阳市税务局建阳办公区</w:t>
      </w:r>
    </w:p>
    <w:p>
      <w:pPr>
        <w:widowControl/>
        <w:spacing w:line="600" w:lineRule="exact"/>
        <w:ind w:firstLine="480" w:firstLineChars="200"/>
        <w:jc w:val="left"/>
        <w:rPr>
          <w:rFonts w:hint="eastAsia" w:asciiTheme="minorHAnsi" w:hAnsiTheme="minorHAnsi" w:eastAsiaTheme="minorEastAsia" w:cstheme="minorBidi"/>
          <w:b w:val="0"/>
          <w:bCs w:val="0"/>
          <w:color w:val="000000" w:themeColor="text1"/>
          <w:kern w:val="0"/>
          <w:sz w:val="24"/>
          <w:szCs w:val="24"/>
          <w:u w:val="none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Theme="minorHAnsi" w:hAnsiTheme="minorHAnsi" w:eastAsiaTheme="minorEastAsia" w:cstheme="minorBidi"/>
          <w:b w:val="0"/>
          <w:bCs w:val="0"/>
          <w:color w:val="000000" w:themeColor="text1"/>
          <w:kern w:val="0"/>
          <w:sz w:val="24"/>
          <w:szCs w:val="24"/>
          <w:u w:val="none"/>
          <w:lang w:val="en-US" w:eastAsia="zh-CN" w:bidi="ar"/>
          <w14:textFill>
            <w14:solidFill>
              <w14:schemeClr w14:val="tx1"/>
            </w14:solidFill>
          </w14:textFill>
        </w:rPr>
        <w:t xml:space="preserve">二、采购预算：319263.64元。（超过采购预算的报价为无效报价） </w:t>
      </w:r>
    </w:p>
    <w:p>
      <w:pPr>
        <w:widowControl/>
        <w:spacing w:line="600" w:lineRule="exact"/>
        <w:ind w:firstLine="480" w:firstLineChars="200"/>
        <w:jc w:val="left"/>
        <w:rPr>
          <w:rFonts w:hint="eastAsia" w:asciiTheme="minorHAnsi" w:hAnsiTheme="minorHAnsi" w:eastAsiaTheme="minorEastAsia" w:cstheme="minorBidi"/>
          <w:b w:val="0"/>
          <w:bCs w:val="0"/>
          <w:color w:val="000000" w:themeColor="text1"/>
          <w:kern w:val="0"/>
          <w:sz w:val="24"/>
          <w:szCs w:val="24"/>
          <w:u w:val="none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Theme="minorHAnsi" w:hAnsiTheme="minorHAnsi" w:eastAsiaTheme="minorEastAsia" w:cstheme="minorBidi"/>
          <w:b w:val="0"/>
          <w:bCs w:val="0"/>
          <w:color w:val="000000" w:themeColor="text1"/>
          <w:kern w:val="0"/>
          <w:sz w:val="24"/>
          <w:szCs w:val="24"/>
          <w:u w:val="none"/>
          <w:lang w:val="en-US" w:eastAsia="zh-CN" w:bidi="ar"/>
          <w14:textFill>
            <w14:solidFill>
              <w14:schemeClr w14:val="tx1"/>
            </w14:solidFill>
          </w14:textFill>
        </w:rPr>
        <w:t>三、项目内容及需求：</w:t>
      </w:r>
      <w:r>
        <w:rPr>
          <w:rFonts w:hint="eastAsia" w:cstheme="minorBidi"/>
          <w:b w:val="0"/>
          <w:bCs w:val="0"/>
          <w:kern w:val="0"/>
          <w:sz w:val="24"/>
          <w:szCs w:val="24"/>
          <w:u w:val="none"/>
          <w:lang w:val="en-US" w:eastAsia="zh-CN" w:bidi="ar"/>
        </w:rPr>
        <w:t>本修缮项目以在建筑设施原状结构上修复为主，主要包括对建阳办公区大门顶上侧及周侧进行注胶防水，下侧重铺垫合板及重装铝塑板，更换筒灯；主楼四、五楼公共卫生间更换老化设施，更换老旧给水管和排污管，地面进行防水处理，重装天花板、墙砖及地砖等；对脱落、霉变墙面进行刮涂油漆,详见《工程量清单》。</w:t>
      </w:r>
      <w:r>
        <w:rPr>
          <w:rFonts w:hint="eastAsia" w:asciiTheme="minorHAnsi" w:hAnsiTheme="minorHAnsi" w:eastAsiaTheme="minorEastAsia" w:cstheme="minorBidi"/>
          <w:b w:val="0"/>
          <w:bCs w:val="0"/>
          <w:color w:val="000000" w:themeColor="text1"/>
          <w:kern w:val="0"/>
          <w:sz w:val="24"/>
          <w:szCs w:val="24"/>
          <w:u w:val="none"/>
          <w:lang w:val="en-US" w:eastAsia="zh-CN" w:bidi="ar"/>
          <w14:textFill>
            <w14:solidFill>
              <w14:schemeClr w14:val="tx1"/>
            </w14:solidFill>
          </w14:textFill>
        </w:rPr>
        <w:t>。</w:t>
      </w:r>
    </w:p>
    <w:p>
      <w:pPr>
        <w:widowControl/>
        <w:spacing w:line="600" w:lineRule="exact"/>
        <w:ind w:firstLine="480" w:firstLineChars="200"/>
        <w:jc w:val="left"/>
        <w:rPr>
          <w:rFonts w:hint="eastAsia" w:eastAsia="宋体" w:asciiTheme="minorHAnsi" w:hAnsiTheme="minorHAnsi" w:cstheme="minorBidi"/>
          <w:b w:val="0"/>
          <w:bCs w:val="0"/>
          <w:color w:val="000000" w:themeColor="text1"/>
          <w:kern w:val="0"/>
          <w:sz w:val="24"/>
          <w:szCs w:val="24"/>
          <w:u w:val="none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Theme="minorHAnsi" w:hAnsiTheme="minorHAnsi" w:eastAsiaTheme="minorEastAsia" w:cstheme="minorBidi"/>
          <w:b w:val="0"/>
          <w:bCs w:val="0"/>
          <w:color w:val="000000" w:themeColor="text1"/>
          <w:kern w:val="0"/>
          <w:sz w:val="24"/>
          <w:szCs w:val="24"/>
          <w:u w:val="none"/>
          <w:lang w:val="en-US" w:eastAsia="zh-CN" w:bidi="ar"/>
          <w14:textFill>
            <w14:solidFill>
              <w14:schemeClr w14:val="tx1"/>
            </w14:solidFill>
          </w14:textFill>
        </w:rPr>
        <w:t>四、供应商资格条件：需提供应商营业执照、</w:t>
      </w:r>
      <w:r>
        <w:rPr>
          <w:rFonts w:ascii="宋体" w:hAnsi="宋体" w:eastAsia="宋体" w:cs="宋体"/>
          <w:sz w:val="24"/>
          <w:szCs w:val="24"/>
        </w:rPr>
        <w:t>建筑工程施工总承包三级以上（含三级）资质证书</w:t>
      </w:r>
      <w:bookmarkStart w:id="0" w:name="_GoBack"/>
      <w:bookmarkEnd w:id="0"/>
      <w:r>
        <w:rPr>
          <w:rFonts w:hint="eastAsia" w:ascii="宋体" w:hAnsi="宋体" w:cs="宋体"/>
          <w:color w:val="000000"/>
          <w:kern w:val="2"/>
          <w:lang w:eastAsia="zh-CN"/>
        </w:rPr>
        <w:t>。</w:t>
      </w:r>
    </w:p>
    <w:p>
      <w:pPr>
        <w:widowControl/>
        <w:numPr>
          <w:ilvl w:val="0"/>
          <w:numId w:val="0"/>
        </w:numPr>
        <w:spacing w:line="600" w:lineRule="exact"/>
        <w:jc w:val="left"/>
        <w:rPr>
          <w:rFonts w:hint="eastAsia" w:asciiTheme="minorHAnsi" w:hAnsiTheme="minorHAnsi" w:eastAsiaTheme="minorEastAsia" w:cstheme="minorBidi"/>
          <w:b/>
          <w:bCs/>
          <w:color w:val="000000" w:themeColor="text1"/>
          <w:kern w:val="0"/>
          <w:sz w:val="24"/>
          <w:szCs w:val="24"/>
          <w:u w:val="none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Theme="minorHAnsi" w:hAnsiTheme="minorHAnsi" w:eastAsiaTheme="minorEastAsia" w:cstheme="minorBidi"/>
          <w:b/>
          <w:bCs/>
          <w:color w:val="000000" w:themeColor="text1"/>
          <w:kern w:val="0"/>
          <w:sz w:val="24"/>
          <w:szCs w:val="24"/>
          <w:u w:val="none"/>
          <w:lang w:val="en-US" w:eastAsia="zh-CN" w:bidi="ar"/>
          <w14:textFill>
            <w14:solidFill>
              <w14:schemeClr w14:val="tx1"/>
            </w14:solidFill>
          </w14:textFill>
        </w:rPr>
        <w:t xml:space="preserve">第二部分 用户需求书 </w:t>
      </w:r>
    </w:p>
    <w:p>
      <w:pPr>
        <w:widowControl/>
        <w:numPr>
          <w:ilvl w:val="0"/>
          <w:numId w:val="0"/>
        </w:numPr>
        <w:spacing w:line="600" w:lineRule="exact"/>
        <w:ind w:leftChars="228"/>
        <w:jc w:val="left"/>
        <w:rPr>
          <w:rFonts w:hint="default" w:asciiTheme="minorHAnsi" w:hAnsiTheme="minorHAnsi" w:eastAsiaTheme="minorEastAsia" w:cstheme="minorBidi"/>
          <w:b/>
          <w:bCs/>
          <w:kern w:val="0"/>
          <w:sz w:val="24"/>
          <w:szCs w:val="24"/>
          <w:u w:val="none"/>
          <w:lang w:val="en-US" w:eastAsia="zh-CN" w:bidi="ar"/>
        </w:rPr>
      </w:pPr>
      <w:r>
        <w:rPr>
          <w:rFonts w:hint="eastAsia" w:asciiTheme="minorHAnsi" w:hAnsiTheme="minorHAnsi" w:eastAsiaTheme="minorEastAsia" w:cstheme="minorBidi"/>
          <w:b w:val="0"/>
          <w:bCs w:val="0"/>
          <w:color w:val="auto"/>
          <w:kern w:val="0"/>
          <w:sz w:val="24"/>
          <w:szCs w:val="24"/>
          <w:u w:val="none"/>
          <w:lang w:val="en-US" w:eastAsia="zh-CN" w:bidi="ar"/>
        </w:rPr>
        <w:t>一、</w:t>
      </w:r>
      <w:r>
        <w:rPr>
          <w:rFonts w:hint="default" w:asciiTheme="minorHAnsi" w:hAnsiTheme="minorHAnsi" w:eastAsiaTheme="minorEastAsia" w:cstheme="minorBidi"/>
          <w:b/>
          <w:bCs/>
          <w:kern w:val="0"/>
          <w:sz w:val="24"/>
          <w:szCs w:val="24"/>
          <w:u w:val="none"/>
          <w:lang w:val="en-US" w:eastAsia="zh-CN" w:bidi="ar"/>
        </w:rPr>
        <w:t>项目管理和实施要求</w:t>
      </w:r>
    </w:p>
    <w:p>
      <w:pPr>
        <w:pStyle w:val="8"/>
        <w:numPr>
          <w:ilvl w:val="0"/>
          <w:numId w:val="0"/>
        </w:numPr>
        <w:ind w:firstLine="480" w:firstLineChars="200"/>
        <w:rPr>
          <w:rFonts w:hint="eastAsia" w:asciiTheme="minorHAnsi" w:hAnsiTheme="minorHAnsi" w:eastAsiaTheme="minorEastAsia" w:cstheme="minorBidi"/>
          <w:b w:val="0"/>
          <w:bCs w:val="0"/>
          <w:color w:val="auto"/>
          <w:kern w:val="0"/>
          <w:sz w:val="24"/>
          <w:szCs w:val="24"/>
          <w:u w:val="none"/>
          <w:lang w:val="en-US" w:eastAsia="zh-CN" w:bidi="ar"/>
        </w:rPr>
      </w:pPr>
      <w:r>
        <w:rPr>
          <w:rFonts w:hint="eastAsia" w:asciiTheme="minorHAnsi" w:hAnsiTheme="minorHAnsi" w:eastAsiaTheme="minorEastAsia" w:cstheme="minorBidi"/>
          <w:b w:val="0"/>
          <w:bCs w:val="0"/>
          <w:color w:val="auto"/>
          <w:kern w:val="0"/>
          <w:sz w:val="24"/>
          <w:szCs w:val="24"/>
          <w:u w:val="none"/>
          <w:lang w:val="en-US" w:eastAsia="zh-CN" w:bidi="ar"/>
        </w:rPr>
        <w:t>1.具备专业人员团队，包括管理人员和施工人员。</w:t>
      </w:r>
    </w:p>
    <w:p>
      <w:pPr>
        <w:pStyle w:val="8"/>
        <w:numPr>
          <w:ilvl w:val="0"/>
          <w:numId w:val="0"/>
        </w:numPr>
        <w:ind w:firstLine="480" w:firstLineChars="200"/>
        <w:rPr>
          <w:rFonts w:hint="eastAsia" w:asciiTheme="minorHAnsi" w:hAnsiTheme="minorHAnsi" w:eastAsiaTheme="minorEastAsia" w:cstheme="minorBidi"/>
          <w:b w:val="0"/>
          <w:bCs w:val="0"/>
          <w:color w:val="auto"/>
          <w:kern w:val="0"/>
          <w:sz w:val="24"/>
          <w:szCs w:val="24"/>
          <w:u w:val="none"/>
          <w:lang w:val="en-US" w:eastAsia="zh-CN" w:bidi="ar"/>
        </w:rPr>
      </w:pPr>
      <w:r>
        <w:rPr>
          <w:rFonts w:hint="eastAsia" w:asciiTheme="minorHAnsi" w:hAnsiTheme="minorHAnsi" w:eastAsiaTheme="minorEastAsia" w:cstheme="minorBidi"/>
          <w:b w:val="0"/>
          <w:bCs w:val="0"/>
          <w:color w:val="auto"/>
          <w:kern w:val="0"/>
          <w:sz w:val="24"/>
          <w:szCs w:val="24"/>
          <w:u w:val="none"/>
          <w:lang w:val="en-US" w:eastAsia="zh-CN" w:bidi="ar"/>
        </w:rPr>
        <w:t>2.具备开展类似工程经验。</w:t>
      </w:r>
    </w:p>
    <w:p>
      <w:pPr>
        <w:pStyle w:val="8"/>
        <w:numPr>
          <w:ilvl w:val="0"/>
          <w:numId w:val="0"/>
        </w:numPr>
        <w:ind w:firstLine="480" w:firstLineChars="200"/>
        <w:rPr>
          <w:rFonts w:hint="eastAsia" w:asciiTheme="minorHAnsi" w:hAnsiTheme="minorHAnsi" w:eastAsiaTheme="minorEastAsia" w:cstheme="minorBidi"/>
          <w:b w:val="0"/>
          <w:bCs w:val="0"/>
          <w:color w:val="auto"/>
          <w:kern w:val="0"/>
          <w:sz w:val="24"/>
          <w:szCs w:val="24"/>
          <w:u w:val="none"/>
          <w:lang w:val="en-US" w:eastAsia="zh-CN" w:bidi="ar"/>
        </w:rPr>
      </w:pPr>
      <w:r>
        <w:rPr>
          <w:rFonts w:hint="eastAsia" w:asciiTheme="minorHAnsi" w:hAnsiTheme="minorHAnsi" w:eastAsiaTheme="minorEastAsia" w:cstheme="minorBidi"/>
          <w:b w:val="0"/>
          <w:bCs w:val="0"/>
          <w:color w:val="auto"/>
          <w:kern w:val="0"/>
          <w:sz w:val="24"/>
          <w:szCs w:val="24"/>
          <w:u w:val="none"/>
          <w:lang w:val="en-US" w:eastAsia="zh-CN" w:bidi="ar"/>
        </w:rPr>
        <w:t>3.具备较好沟通渠道，能与发包方及时协调解决问题。</w:t>
      </w:r>
    </w:p>
    <w:p>
      <w:pPr>
        <w:pStyle w:val="8"/>
        <w:numPr>
          <w:ilvl w:val="0"/>
          <w:numId w:val="0"/>
        </w:numPr>
        <w:ind w:firstLine="480" w:firstLineChars="200"/>
        <w:rPr>
          <w:rFonts w:hint="eastAsia" w:asciiTheme="minorHAnsi" w:hAnsiTheme="minorHAnsi" w:eastAsiaTheme="minorEastAsia" w:cstheme="minorBidi"/>
          <w:b w:val="0"/>
          <w:bCs w:val="0"/>
          <w:color w:val="auto"/>
          <w:kern w:val="0"/>
          <w:sz w:val="24"/>
          <w:szCs w:val="24"/>
          <w:u w:val="none"/>
          <w:lang w:val="en-US" w:eastAsia="zh-CN" w:bidi="ar"/>
        </w:rPr>
      </w:pPr>
      <w:r>
        <w:rPr>
          <w:rFonts w:hint="eastAsia" w:asciiTheme="minorHAnsi" w:hAnsiTheme="minorHAnsi" w:eastAsiaTheme="minorEastAsia" w:cstheme="minorBidi"/>
          <w:b w:val="0"/>
          <w:bCs w:val="0"/>
          <w:color w:val="auto"/>
          <w:kern w:val="0"/>
          <w:sz w:val="24"/>
          <w:szCs w:val="24"/>
          <w:u w:val="none"/>
          <w:lang w:val="en-US" w:eastAsia="zh-CN" w:bidi="ar"/>
        </w:rPr>
        <w:t>4.对项目内容及工作环境清楚，分别针对项目进度及控制措施、重点难点研判及解决、质量保障措施以及安全文明施工、 环保制订措施方案。</w:t>
      </w:r>
    </w:p>
    <w:p>
      <w:pPr>
        <w:pStyle w:val="8"/>
        <w:numPr>
          <w:ilvl w:val="0"/>
          <w:numId w:val="0"/>
        </w:numPr>
        <w:ind w:firstLine="480" w:firstLineChars="200"/>
        <w:rPr>
          <w:rFonts w:hint="eastAsia" w:asciiTheme="minorHAnsi" w:hAnsiTheme="minorHAnsi" w:eastAsiaTheme="minorEastAsia" w:cstheme="minorBidi"/>
          <w:b w:val="0"/>
          <w:bCs w:val="0"/>
          <w:color w:val="auto"/>
          <w:kern w:val="0"/>
          <w:sz w:val="24"/>
          <w:szCs w:val="24"/>
          <w:u w:val="none"/>
          <w:lang w:val="en-US" w:eastAsia="zh-CN" w:bidi="ar"/>
        </w:rPr>
      </w:pPr>
      <w:r>
        <w:rPr>
          <w:rFonts w:hint="eastAsia" w:cstheme="minorBidi"/>
          <w:b w:val="0"/>
          <w:bCs w:val="0"/>
          <w:color w:val="000000" w:themeColor="text1"/>
          <w:kern w:val="0"/>
          <w:sz w:val="24"/>
          <w:szCs w:val="24"/>
          <w:u w:val="none"/>
          <w:lang w:val="en-US" w:eastAsia="zh-CN" w:bidi="ar"/>
          <w14:textFill>
            <w14:solidFill>
              <w14:schemeClr w14:val="tx1"/>
            </w14:solidFill>
          </w14:textFill>
        </w:rPr>
        <w:t>报价人可</w:t>
      </w:r>
      <w:r>
        <w:rPr>
          <w:rFonts w:hint="eastAsia" w:eastAsia="宋体" w:cstheme="minorBidi"/>
          <w:b w:val="0"/>
          <w:bCs w:val="0"/>
          <w:color w:val="000000" w:themeColor="text1"/>
          <w:kern w:val="0"/>
          <w:sz w:val="24"/>
          <w:szCs w:val="24"/>
          <w:u w:val="none"/>
          <w:lang w:val="en-US" w:eastAsia="zh-CN" w:bidi="ar"/>
          <w14:textFill>
            <w14:solidFill>
              <w14:schemeClr w14:val="tx1"/>
            </w14:solidFill>
          </w14:textFill>
        </w:rPr>
        <w:t>于2026年10月10日9时45分至10时00分到国家税务总局揭阳市税务局（揭阳市榕城区</w:t>
      </w:r>
      <w:r>
        <w:rPr>
          <w:rFonts w:hint="eastAsia" w:cstheme="minorBidi"/>
          <w:b w:val="0"/>
          <w:bCs w:val="0"/>
          <w:color w:val="000000" w:themeColor="text1"/>
          <w:kern w:val="0"/>
          <w:sz w:val="24"/>
          <w:szCs w:val="24"/>
          <w:u w:val="none"/>
          <w:lang w:val="en-US" w:eastAsia="zh-CN" w:bidi="ar"/>
          <w14:textFill>
            <w14:solidFill>
              <w14:schemeClr w14:val="tx1"/>
            </w14:solidFill>
          </w14:textFill>
        </w:rPr>
        <w:t>东山晓翠路964号）报到考察工程现场，考察现场代表须携带法定代表人授权委托书原件、身份证原件。</w:t>
      </w:r>
    </w:p>
    <w:p>
      <w:pPr>
        <w:pStyle w:val="5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79" w:leftChars="228" w:right="0" w:rightChars="0" w:firstLine="0" w:firstLineChars="0"/>
        <w:jc w:val="both"/>
        <w:textAlignment w:val="auto"/>
        <w:rPr>
          <w:rFonts w:hint="default" w:asciiTheme="minorHAnsi" w:hAnsiTheme="minorHAnsi" w:eastAsiaTheme="minorEastAsia" w:cstheme="minorBidi"/>
          <w:b/>
          <w:bCs/>
          <w:kern w:val="0"/>
          <w:sz w:val="24"/>
          <w:szCs w:val="24"/>
          <w:u w:val="none"/>
          <w:lang w:val="en-US" w:eastAsia="zh-CN" w:bidi="ar"/>
        </w:rPr>
      </w:pPr>
      <w:r>
        <w:rPr>
          <w:rFonts w:hint="eastAsia" w:asciiTheme="minorHAnsi" w:hAnsiTheme="minorHAnsi" w:eastAsiaTheme="minorEastAsia" w:cstheme="minorBidi"/>
          <w:b/>
          <w:bCs/>
          <w:kern w:val="0"/>
          <w:sz w:val="24"/>
          <w:szCs w:val="24"/>
          <w:u w:val="none"/>
          <w:lang w:val="en-US" w:eastAsia="zh-CN" w:bidi="ar"/>
        </w:rPr>
        <w:t>二、</w:t>
      </w:r>
      <w:r>
        <w:rPr>
          <w:rFonts w:hint="default" w:asciiTheme="minorHAnsi" w:hAnsiTheme="minorHAnsi" w:eastAsiaTheme="minorEastAsia" w:cstheme="minorBidi"/>
          <w:b/>
          <w:bCs/>
          <w:kern w:val="0"/>
          <w:sz w:val="24"/>
          <w:szCs w:val="24"/>
          <w:u w:val="none"/>
          <w:lang w:val="en-US" w:eastAsia="zh-CN" w:bidi="ar"/>
        </w:rPr>
        <w:t>售后及质量保障服务要求</w:t>
      </w:r>
    </w:p>
    <w:p>
      <w:pPr>
        <w:pStyle w:val="5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right="0" w:rightChars="0" w:firstLine="480" w:firstLineChars="200"/>
        <w:jc w:val="both"/>
        <w:textAlignment w:val="auto"/>
        <w:rPr>
          <w:rFonts w:hint="eastAsia" w:asciiTheme="minorHAnsi" w:hAnsiTheme="minorHAnsi" w:eastAsiaTheme="minorEastAsia" w:cstheme="minorBidi"/>
          <w:b w:val="0"/>
          <w:bCs w:val="0"/>
          <w:color w:val="auto"/>
          <w:kern w:val="0"/>
          <w:sz w:val="24"/>
          <w:szCs w:val="24"/>
          <w:u w:val="none"/>
          <w:lang w:val="en-US" w:eastAsia="zh-CN" w:bidi="ar"/>
        </w:rPr>
      </w:pPr>
      <w:r>
        <w:rPr>
          <w:rFonts w:hint="eastAsia" w:asciiTheme="minorHAnsi" w:hAnsiTheme="minorHAnsi" w:eastAsiaTheme="minorEastAsia" w:cstheme="minorBidi"/>
          <w:b w:val="0"/>
          <w:bCs w:val="0"/>
          <w:color w:val="auto"/>
          <w:kern w:val="0"/>
          <w:sz w:val="24"/>
          <w:szCs w:val="24"/>
          <w:u w:val="none"/>
          <w:lang w:val="en-US" w:eastAsia="zh-CN" w:bidi="ar"/>
        </w:rPr>
        <w:t>1.供应商必须严格按照国家颁发有关规程进行施工，工程质量应达到合格以上，并接受甲方现场工程代表的监督检查。</w:t>
      </w:r>
    </w:p>
    <w:p>
      <w:pPr>
        <w:pStyle w:val="5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480" w:firstLineChars="200"/>
        <w:jc w:val="both"/>
        <w:textAlignment w:val="auto"/>
        <w:rPr>
          <w:rFonts w:hint="eastAsia" w:asciiTheme="minorHAnsi" w:hAnsiTheme="minorHAnsi" w:eastAsiaTheme="minorEastAsia" w:cstheme="minorBidi"/>
          <w:b w:val="0"/>
          <w:bCs w:val="0"/>
          <w:color w:val="auto"/>
          <w:kern w:val="0"/>
          <w:sz w:val="24"/>
          <w:szCs w:val="24"/>
          <w:u w:val="none"/>
          <w:lang w:val="en-US" w:eastAsia="zh-CN" w:bidi="ar"/>
        </w:rPr>
      </w:pPr>
      <w:r>
        <w:rPr>
          <w:rFonts w:hint="eastAsia" w:asciiTheme="minorHAnsi" w:hAnsiTheme="minorHAnsi" w:eastAsiaTheme="minorEastAsia" w:cstheme="minorBidi"/>
          <w:b w:val="0"/>
          <w:bCs w:val="0"/>
          <w:color w:val="auto"/>
          <w:kern w:val="0"/>
          <w:sz w:val="24"/>
          <w:szCs w:val="24"/>
          <w:u w:val="none"/>
          <w:lang w:val="en-US" w:eastAsia="zh-CN" w:bidi="ar"/>
        </w:rPr>
        <w:t>2、工程竣工验收时间由双方协商解决。竣工验收中如发现有不符合质量要求，需要返工的工程，属施工原因造成的，由供应商负责修好再进行验收，竣工日期以最后检验合格为准。</w:t>
      </w:r>
    </w:p>
    <w:p>
      <w:pPr>
        <w:pStyle w:val="5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480" w:firstLineChars="200"/>
        <w:jc w:val="both"/>
        <w:textAlignment w:val="auto"/>
        <w:rPr>
          <w:rFonts w:hint="eastAsia" w:asciiTheme="minorHAnsi" w:hAnsiTheme="minorHAnsi" w:eastAsiaTheme="minorEastAsia" w:cstheme="minorBidi"/>
          <w:b w:val="0"/>
          <w:bCs w:val="0"/>
          <w:color w:val="auto"/>
          <w:kern w:val="0"/>
          <w:sz w:val="24"/>
          <w:szCs w:val="24"/>
          <w:u w:val="none"/>
          <w:lang w:val="zh-CN" w:eastAsia="zh-CN" w:bidi="ar"/>
        </w:rPr>
      </w:pPr>
      <w:r>
        <w:rPr>
          <w:rFonts w:hint="eastAsia" w:asciiTheme="minorHAnsi" w:hAnsiTheme="minorHAnsi" w:eastAsiaTheme="minorEastAsia" w:cstheme="minorBidi"/>
          <w:b w:val="0"/>
          <w:bCs w:val="0"/>
          <w:color w:val="auto"/>
          <w:kern w:val="0"/>
          <w:sz w:val="24"/>
          <w:szCs w:val="24"/>
          <w:u w:val="none"/>
          <w:lang w:val="en-US" w:eastAsia="zh-CN" w:bidi="ar"/>
        </w:rPr>
        <w:t>3、工程</w:t>
      </w:r>
      <w:r>
        <w:rPr>
          <w:rFonts w:hint="eastAsia" w:asciiTheme="minorHAnsi" w:hAnsiTheme="minorHAnsi" w:eastAsiaTheme="minorEastAsia" w:cstheme="minorBidi"/>
          <w:b w:val="0"/>
          <w:bCs w:val="0"/>
          <w:color w:val="auto"/>
          <w:kern w:val="0"/>
          <w:sz w:val="24"/>
          <w:szCs w:val="24"/>
          <w:u w:val="none"/>
          <w:lang w:val="zh-CN" w:eastAsia="zh-CN" w:bidi="ar"/>
        </w:rPr>
        <w:t>质量保修期为</w:t>
      </w:r>
      <w:r>
        <w:rPr>
          <w:rFonts w:hint="eastAsia" w:asciiTheme="minorHAnsi" w:hAnsiTheme="minorHAnsi" w:eastAsiaTheme="minorEastAsia" w:cstheme="minorBidi"/>
          <w:b w:val="0"/>
          <w:bCs w:val="0"/>
          <w:color w:val="auto"/>
          <w:kern w:val="0"/>
          <w:sz w:val="24"/>
          <w:szCs w:val="24"/>
          <w:u w:val="none"/>
          <w:lang w:val="en-US" w:eastAsia="zh-CN" w:bidi="ar"/>
        </w:rPr>
        <w:t xml:space="preserve"> 1 </w:t>
      </w:r>
      <w:r>
        <w:rPr>
          <w:rFonts w:hint="eastAsia" w:asciiTheme="minorHAnsi" w:hAnsiTheme="minorHAnsi" w:eastAsiaTheme="minorEastAsia" w:cstheme="minorBidi"/>
          <w:b w:val="0"/>
          <w:bCs w:val="0"/>
          <w:color w:val="auto"/>
          <w:kern w:val="0"/>
          <w:sz w:val="24"/>
          <w:szCs w:val="24"/>
          <w:u w:val="none"/>
          <w:lang w:val="zh-CN" w:eastAsia="zh-CN" w:bidi="ar"/>
        </w:rPr>
        <w:t>年，质量保修期自工程竣工验收合格之日起</w:t>
      </w:r>
      <w:r>
        <w:rPr>
          <w:rFonts w:hint="eastAsia" w:asciiTheme="minorHAnsi" w:hAnsiTheme="minorHAnsi" w:eastAsiaTheme="minorEastAsia" w:cstheme="minorBidi"/>
          <w:b w:val="0"/>
          <w:bCs w:val="0"/>
          <w:color w:val="auto"/>
          <w:kern w:val="0"/>
          <w:sz w:val="24"/>
          <w:szCs w:val="24"/>
          <w:u w:val="none"/>
          <w:lang w:val="en-US" w:eastAsia="zh-CN" w:bidi="ar"/>
        </w:rPr>
        <w:t>计</w:t>
      </w:r>
      <w:r>
        <w:rPr>
          <w:rFonts w:hint="eastAsia" w:asciiTheme="minorHAnsi" w:hAnsiTheme="minorHAnsi" w:eastAsiaTheme="minorEastAsia" w:cstheme="minorBidi"/>
          <w:b w:val="0"/>
          <w:bCs w:val="0"/>
          <w:color w:val="auto"/>
          <w:kern w:val="0"/>
          <w:sz w:val="24"/>
          <w:szCs w:val="24"/>
          <w:u w:val="none"/>
          <w:lang w:val="zh-CN" w:eastAsia="zh-CN" w:bidi="ar"/>
        </w:rPr>
        <w:t>。</w:t>
      </w:r>
    </w:p>
    <w:p>
      <w:pPr>
        <w:widowControl/>
        <w:spacing w:line="600" w:lineRule="exact"/>
        <w:ind w:firstLine="482" w:firstLineChars="200"/>
        <w:jc w:val="left"/>
        <w:rPr>
          <w:rFonts w:hint="default" w:asciiTheme="minorHAnsi" w:hAnsiTheme="minorHAnsi" w:eastAsiaTheme="minorEastAsia" w:cstheme="minorBidi"/>
          <w:b/>
          <w:bCs/>
          <w:kern w:val="0"/>
          <w:sz w:val="24"/>
          <w:szCs w:val="24"/>
          <w:u w:val="none"/>
          <w:lang w:val="en-US" w:eastAsia="zh-CN" w:bidi="ar"/>
        </w:rPr>
      </w:pPr>
      <w:r>
        <w:rPr>
          <w:rFonts w:hint="eastAsia" w:asciiTheme="minorHAnsi" w:hAnsiTheme="minorHAnsi" w:eastAsiaTheme="minorEastAsia" w:cstheme="minorBidi"/>
          <w:b/>
          <w:bCs/>
          <w:kern w:val="0"/>
          <w:sz w:val="24"/>
          <w:szCs w:val="24"/>
          <w:u w:val="none"/>
          <w:lang w:val="en-US" w:eastAsia="zh-CN" w:bidi="ar"/>
        </w:rPr>
        <w:t>三</w:t>
      </w:r>
      <w:r>
        <w:rPr>
          <w:rFonts w:hint="default" w:asciiTheme="minorHAnsi" w:hAnsiTheme="minorHAnsi" w:eastAsiaTheme="minorEastAsia" w:cstheme="minorBidi"/>
          <w:b/>
          <w:bCs/>
          <w:kern w:val="0"/>
          <w:sz w:val="24"/>
          <w:szCs w:val="24"/>
          <w:u w:val="none"/>
          <w:lang w:val="en-US" w:eastAsia="zh-CN" w:bidi="ar"/>
        </w:rPr>
        <w:t>、付款方式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36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baseline"/>
        <w:rPr>
          <w:rFonts w:hint="eastAsia" w:asciiTheme="minorHAnsi" w:hAnsiTheme="minorHAnsi" w:eastAsiaTheme="minorEastAsia" w:cstheme="minorBidi"/>
          <w:b w:val="0"/>
          <w:bCs w:val="0"/>
          <w:color w:val="auto"/>
          <w:kern w:val="0"/>
          <w:sz w:val="24"/>
          <w:szCs w:val="24"/>
          <w:u w:val="none"/>
          <w:lang w:val="en-US" w:eastAsia="zh-CN" w:bidi="ar"/>
        </w:rPr>
      </w:pPr>
      <w:r>
        <w:rPr>
          <w:rFonts w:hint="eastAsia" w:asciiTheme="minorHAnsi" w:hAnsiTheme="minorHAnsi" w:eastAsiaTheme="minorEastAsia" w:cstheme="minorBidi"/>
          <w:b w:val="0"/>
          <w:bCs w:val="0"/>
          <w:color w:val="auto"/>
          <w:kern w:val="0"/>
          <w:sz w:val="24"/>
          <w:szCs w:val="24"/>
          <w:u w:val="none"/>
          <w:lang w:val="en-US" w:eastAsia="zh-CN" w:bidi="ar"/>
        </w:rPr>
        <w:t>合同签订后，甲方收到乙方开具发票于10个工作日内按项目成交价金额的 30% 支付项目预付款；项目验收通过后，甲方收到乙方开具发票于 10个工作日内支付至项目结算价的 97% ；余下结算价的 3% 作为工程质量保证金，在工程竣工验收合格满一年后，甲方收到乙方开具发票和申请书的 10个工作日内，不计利息全额返还。</w:t>
      </w:r>
    </w:p>
    <w:p>
      <w:pPr>
        <w:widowControl/>
        <w:numPr>
          <w:ilvl w:val="0"/>
          <w:numId w:val="0"/>
        </w:numPr>
        <w:spacing w:line="600" w:lineRule="exact"/>
        <w:ind w:firstLine="482" w:firstLineChars="200"/>
        <w:jc w:val="left"/>
        <w:rPr>
          <w:rFonts w:hint="eastAsia" w:asciiTheme="minorHAnsi" w:hAnsiTheme="minorHAnsi" w:eastAsiaTheme="minorEastAsia" w:cstheme="minorBidi"/>
          <w:b/>
          <w:bCs/>
          <w:color w:val="000000" w:themeColor="text1"/>
          <w:kern w:val="0"/>
          <w:sz w:val="24"/>
          <w:szCs w:val="24"/>
          <w:u w:val="none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Theme="minorHAnsi" w:hAnsiTheme="minorHAnsi" w:eastAsiaTheme="minorEastAsia" w:cstheme="minorBidi"/>
          <w:b/>
          <w:bCs/>
          <w:color w:val="000000" w:themeColor="text1"/>
          <w:kern w:val="0"/>
          <w:sz w:val="24"/>
          <w:szCs w:val="24"/>
          <w:u w:val="none"/>
          <w:lang w:val="en-US" w:eastAsia="zh-CN" w:bidi="ar"/>
          <w14:textFill>
            <w14:solidFill>
              <w14:schemeClr w14:val="tx1"/>
            </w14:solidFill>
          </w14:textFill>
        </w:rPr>
        <w:t>第三部分  报价供应商须知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cs="宋体"/>
          <w:b/>
          <w:bCs/>
          <w:color w:val="000000" w:themeColor="text1"/>
          <w:kern w:val="0"/>
          <w:sz w:val="21"/>
          <w:szCs w:val="21"/>
          <w:lang w:val="en-US" w:eastAsia="zh-CN" w:bidi="ar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widowControl/>
        <w:suppressLineNumbers w:val="0"/>
        <w:ind w:firstLine="422" w:firstLineChars="200"/>
        <w:jc w:val="left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b/>
          <w:bCs/>
          <w:color w:val="000000" w:themeColor="text1"/>
          <w:kern w:val="0"/>
          <w:sz w:val="21"/>
          <w:szCs w:val="21"/>
          <w:lang w:val="en-US" w:eastAsia="zh-CN" w:bidi="ar"/>
          <w14:textFill>
            <w14:solidFill>
              <w14:schemeClr w14:val="tx1"/>
            </w14:solidFill>
          </w14:textFill>
        </w:rPr>
        <w:t>一、</w:t>
      </w:r>
      <w:r>
        <w:rPr>
          <w:rFonts w:hint="eastAsia" w:ascii="宋体" w:hAnsi="宋体" w:eastAsia="宋体" w:cs="宋体"/>
          <w:b/>
          <w:bCs/>
          <w:color w:val="000000" w:themeColor="text1"/>
          <w:kern w:val="0"/>
          <w:sz w:val="21"/>
          <w:szCs w:val="21"/>
          <w:lang w:val="en-US" w:eastAsia="zh-CN" w:bidi="ar"/>
          <w14:textFill>
            <w14:solidFill>
              <w14:schemeClr w14:val="tx1"/>
            </w14:solidFill>
          </w14:textFill>
        </w:rPr>
        <w:t>响应文件</w:t>
      </w:r>
      <w:r>
        <w:rPr>
          <w:rFonts w:hint="eastAsia" w:ascii="宋体" w:hAnsi="宋体" w:cs="宋体"/>
          <w:b/>
          <w:bCs/>
          <w:color w:val="000000" w:themeColor="text1"/>
          <w:kern w:val="0"/>
          <w:sz w:val="21"/>
          <w:szCs w:val="21"/>
          <w:lang w:val="en-US" w:eastAsia="zh-CN" w:bidi="ar"/>
          <w14:textFill>
            <w14:solidFill>
              <w14:schemeClr w14:val="tx1"/>
            </w14:solidFill>
          </w14:textFill>
        </w:rPr>
        <w:t>编制内容、数量及</w:t>
      </w:r>
      <w:r>
        <w:rPr>
          <w:rFonts w:hint="eastAsia" w:ascii="宋体" w:hAnsi="宋体" w:eastAsia="宋体" w:cs="宋体"/>
          <w:b/>
          <w:bCs/>
          <w:color w:val="000000" w:themeColor="text1"/>
          <w:kern w:val="0"/>
          <w:sz w:val="21"/>
          <w:szCs w:val="21"/>
          <w:lang w:val="en-US" w:eastAsia="zh-CN" w:bidi="ar"/>
          <w14:textFill>
            <w14:solidFill>
              <w14:schemeClr w14:val="tx1"/>
            </w14:solidFill>
          </w14:textFill>
        </w:rPr>
        <w:t xml:space="preserve">递交 </w:t>
      </w:r>
    </w:p>
    <w:p>
      <w:pPr>
        <w:widowControl/>
        <w:spacing w:line="600" w:lineRule="exact"/>
        <w:ind w:firstLine="480" w:firstLineChars="200"/>
        <w:jc w:val="left"/>
        <w:rPr>
          <w:rFonts w:hint="default" w:asciiTheme="minorHAnsi" w:hAnsiTheme="minorHAnsi" w:eastAsiaTheme="minorEastAsia" w:cstheme="minorBidi"/>
          <w:b w:val="0"/>
          <w:bCs w:val="0"/>
          <w:color w:val="000000" w:themeColor="text1"/>
          <w:kern w:val="0"/>
          <w:sz w:val="24"/>
          <w:szCs w:val="24"/>
          <w:u w:val="none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Theme="minorHAnsi" w:hAnsiTheme="minorHAnsi" w:eastAsiaTheme="minorEastAsia" w:cstheme="minorBidi"/>
          <w:b w:val="0"/>
          <w:bCs w:val="0"/>
          <w:color w:val="000000" w:themeColor="text1"/>
          <w:kern w:val="0"/>
          <w:sz w:val="24"/>
          <w:szCs w:val="24"/>
          <w:u w:val="none"/>
          <w:lang w:val="en-US" w:eastAsia="zh-CN" w:bidi="ar"/>
          <w14:textFill>
            <w14:solidFill>
              <w14:schemeClr w14:val="tx1"/>
            </w14:solidFill>
          </w14:textFill>
        </w:rPr>
        <w:t>1.格式和数量。响应文件编制数量1份，内容依照“第四部分   磋商、评审、成交”提供报价清单、方案(按评估表项目排序)、证书资料。</w:t>
      </w:r>
    </w:p>
    <w:p>
      <w:pPr>
        <w:keepNext w:val="0"/>
        <w:keepLines w:val="0"/>
        <w:widowControl/>
        <w:suppressLineNumbers w:val="0"/>
        <w:ind w:firstLine="480" w:firstLineChars="200"/>
        <w:jc w:val="left"/>
        <w:rPr>
          <w:rFonts w:hint="eastAsia" w:asciiTheme="minorHAnsi" w:hAnsiTheme="minorHAnsi" w:eastAsiaTheme="minorEastAsia" w:cstheme="minorBidi"/>
          <w:b w:val="0"/>
          <w:bCs w:val="0"/>
          <w:color w:val="000000" w:themeColor="text1"/>
          <w:kern w:val="0"/>
          <w:sz w:val="24"/>
          <w:szCs w:val="24"/>
          <w:u w:val="none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Theme="minorHAnsi" w:hAnsiTheme="minorHAnsi" w:eastAsiaTheme="minorEastAsia" w:cstheme="minorBidi"/>
          <w:b w:val="0"/>
          <w:bCs w:val="0"/>
          <w:color w:val="000000" w:themeColor="text1"/>
          <w:kern w:val="0"/>
          <w:sz w:val="24"/>
          <w:szCs w:val="24"/>
          <w:u w:val="none"/>
          <w:lang w:val="en-US" w:eastAsia="zh-CN" w:bidi="ar"/>
          <w14:textFill>
            <w14:solidFill>
              <w14:schemeClr w14:val="tx1"/>
            </w14:solidFill>
          </w14:textFill>
        </w:rPr>
        <w:t>2.递交。响应文件于2026年10月14日10时00分，由授权委托人携带密封好的资料（含报价单和响应资料）、营业执照复印件、授权委托书、经办人身份证原件复印件到揭阳市税务局晓翠路办公区西附楼306室递交，不修改不退还。</w:t>
      </w:r>
    </w:p>
    <w:p>
      <w:pPr>
        <w:keepNext w:val="0"/>
        <w:keepLines w:val="0"/>
        <w:widowControl/>
        <w:suppressLineNumbers w:val="0"/>
        <w:ind w:firstLine="422" w:firstLineChars="200"/>
        <w:jc w:val="left"/>
        <w:rPr>
          <w:rFonts w:hint="eastAsia" w:ascii="宋体" w:hAnsi="宋体" w:eastAsia="宋体" w:cs="宋体"/>
          <w:b/>
          <w:bCs/>
          <w:color w:val="000000" w:themeColor="text1"/>
          <w:kern w:val="0"/>
          <w:sz w:val="21"/>
          <w:szCs w:val="21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kern w:val="0"/>
          <w:sz w:val="21"/>
          <w:szCs w:val="21"/>
          <w:lang w:val="en-US" w:eastAsia="zh-CN" w:bidi="ar"/>
          <w14:textFill>
            <w14:solidFill>
              <w14:schemeClr w14:val="tx1"/>
            </w14:solidFill>
          </w14:textFill>
        </w:rPr>
        <w:t>二</w:t>
      </w:r>
      <w:r>
        <w:rPr>
          <w:rFonts w:hint="default" w:ascii="宋体" w:hAnsi="宋体" w:eastAsia="宋体" w:cs="宋体"/>
          <w:b/>
          <w:bCs/>
          <w:color w:val="000000" w:themeColor="text1"/>
          <w:kern w:val="0"/>
          <w:sz w:val="21"/>
          <w:szCs w:val="21"/>
          <w:lang w:val="en-US" w:eastAsia="zh-CN" w:bidi="ar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宋体" w:hAnsi="宋体" w:eastAsia="宋体" w:cs="宋体"/>
          <w:b/>
          <w:bCs/>
          <w:color w:val="000000" w:themeColor="text1"/>
          <w:kern w:val="0"/>
          <w:sz w:val="21"/>
          <w:szCs w:val="21"/>
          <w:lang w:val="en-US" w:eastAsia="zh-CN" w:bidi="ar"/>
          <w14:textFill>
            <w14:solidFill>
              <w14:schemeClr w14:val="tx1"/>
            </w14:solidFill>
          </w14:textFill>
        </w:rPr>
        <w:t xml:space="preserve">合同的订立 </w:t>
      </w:r>
    </w:p>
    <w:p>
      <w:pPr>
        <w:keepNext w:val="0"/>
        <w:keepLines w:val="0"/>
        <w:widowControl/>
        <w:suppressLineNumbers w:val="0"/>
        <w:jc w:val="left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kern w:val="0"/>
          <w:sz w:val="21"/>
          <w:szCs w:val="21"/>
          <w:lang w:val="en-US" w:eastAsia="zh-CN" w:bidi="ar"/>
          <w14:textFill>
            <w14:solidFill>
              <w14:schemeClr w14:val="tx1"/>
            </w14:solidFill>
          </w14:textFill>
        </w:rPr>
        <w:t xml:space="preserve"> </w:t>
      </w:r>
    </w:p>
    <w:p>
      <w:pPr>
        <w:widowControl/>
        <w:spacing w:line="600" w:lineRule="exact"/>
        <w:ind w:firstLine="480" w:firstLineChars="200"/>
        <w:jc w:val="left"/>
        <w:rPr>
          <w:rFonts w:hint="eastAsia" w:asciiTheme="minorHAnsi" w:hAnsiTheme="minorHAnsi" w:eastAsiaTheme="minorEastAsia" w:cstheme="minorBidi"/>
          <w:b w:val="0"/>
          <w:bCs w:val="0"/>
          <w:color w:val="000000" w:themeColor="text1"/>
          <w:kern w:val="0"/>
          <w:sz w:val="24"/>
          <w:szCs w:val="24"/>
          <w:u w:val="none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Theme="minorHAnsi" w:hAnsiTheme="minorHAnsi" w:eastAsiaTheme="minorEastAsia" w:cstheme="minorBidi"/>
          <w:b w:val="0"/>
          <w:bCs w:val="0"/>
          <w:color w:val="000000" w:themeColor="text1"/>
          <w:kern w:val="0"/>
          <w:sz w:val="24"/>
          <w:szCs w:val="24"/>
          <w:u w:val="none"/>
          <w:lang w:val="en-US" w:eastAsia="zh-CN" w:bidi="ar"/>
          <w14:textFill>
            <w14:solidFill>
              <w14:schemeClr w14:val="tx1"/>
            </w14:solidFill>
          </w14:textFill>
        </w:rPr>
        <w:t xml:space="preserve">采购人与成交供应商自成交通知书发出之日起15个工作日内，按采购文件要求和成交供应商响应文件承诺签订政府采购合同，但不得超出采购文件和成交供应商响应文件的范围、也不得再行订立背离合同实质性内容的其他协议。 </w:t>
      </w:r>
    </w:p>
    <w:p>
      <w:pPr>
        <w:widowControl/>
        <w:numPr>
          <w:ilvl w:val="0"/>
          <w:numId w:val="0"/>
        </w:numPr>
        <w:spacing w:line="600" w:lineRule="exact"/>
        <w:ind w:firstLine="482" w:firstLineChars="200"/>
        <w:jc w:val="left"/>
        <w:rPr>
          <w:rFonts w:hint="eastAsia" w:asciiTheme="minorHAnsi" w:hAnsiTheme="minorHAnsi" w:eastAsiaTheme="minorEastAsia" w:cstheme="minorBidi"/>
          <w:b/>
          <w:bCs/>
          <w:color w:val="000000" w:themeColor="text1"/>
          <w:kern w:val="0"/>
          <w:sz w:val="24"/>
          <w:szCs w:val="24"/>
          <w:u w:val="none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Theme="minorHAnsi" w:hAnsiTheme="minorHAnsi" w:eastAsiaTheme="minorEastAsia" w:cstheme="minorBidi"/>
          <w:b/>
          <w:bCs/>
          <w:color w:val="000000" w:themeColor="text1"/>
          <w:kern w:val="0"/>
          <w:sz w:val="24"/>
          <w:szCs w:val="24"/>
          <w:u w:val="none"/>
          <w:lang w:val="en-US" w:eastAsia="zh-CN" w:bidi="ar"/>
          <w14:textFill>
            <w14:solidFill>
              <w14:schemeClr w14:val="tx1"/>
            </w14:solidFill>
          </w14:textFill>
        </w:rPr>
        <w:t>第四部分   磋商、评审、成交</w:t>
      </w:r>
    </w:p>
    <w:p>
      <w:pPr>
        <w:numPr>
          <w:ilvl w:val="0"/>
          <w:numId w:val="0"/>
        </w:numPr>
        <w:spacing w:line="360" w:lineRule="auto"/>
        <w:ind w:firstLine="562" w:firstLineChars="200"/>
        <w:rPr>
          <w:rFonts w:hint="eastAsia" w:ascii="仿宋_GB2312" w:hAnsi="仿宋" w:eastAsia="仿宋_GB2312" w:cs="Times New Roman"/>
          <w:b/>
          <w:bCs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" w:eastAsia="仿宋_GB2312" w:cs="Times New Roman"/>
          <w:b/>
          <w:bCs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一、报价清单（一次性报价）</w:t>
      </w:r>
    </w:p>
    <w:p>
      <w:pPr>
        <w:widowControl/>
        <w:spacing w:line="600" w:lineRule="exact"/>
        <w:jc w:val="center"/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:shd w:val="clear" w:color="090000" w:fill="FFFFFF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:shd w:val="clear" w:color="090000" w:fill="FFFFFF"/>
          <w:lang w:eastAsia="zh-CN"/>
          <w14:textFill>
            <w14:solidFill>
              <w14:schemeClr w14:val="tx1"/>
            </w14:solidFill>
          </w14:textFill>
        </w:rPr>
        <w:t>报价单</w:t>
      </w:r>
    </w:p>
    <w:tbl>
      <w:tblPr>
        <w:tblStyle w:val="10"/>
        <w:tblW w:w="916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6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4" w:hRule="atLeast"/>
        </w:trPr>
        <w:tc>
          <w:tcPr>
            <w:tcW w:w="9163" w:type="dxa"/>
          </w:tcPr>
          <w:p>
            <w:pPr>
              <w:widowControl/>
              <w:spacing w:line="600" w:lineRule="exact"/>
              <w:jc w:val="center"/>
              <w:rPr>
                <w:rFonts w:hint="default" w:ascii="仿宋" w:hAnsi="仿宋" w:eastAsia="仿宋" w:cs="仿宋"/>
                <w:color w:val="000000" w:themeColor="text1"/>
                <w:kern w:val="0"/>
                <w:sz w:val="28"/>
                <w:szCs w:val="28"/>
                <w:shd w:val="clear" w:color="090000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8"/>
                <w:szCs w:val="28"/>
                <w:shd w:val="clear" w:color="090000" w:fill="FFFFFF"/>
                <w:lang w:eastAsia="zh-CN"/>
              </w:rPr>
              <w:t>国家税务总局揭阳市税务局建阳办公区</w:t>
            </w:r>
            <w:r>
              <w:rPr>
                <w:rFonts w:hint="eastAsia" w:ascii="仿宋" w:hAnsi="仿宋" w:eastAsia="仿宋" w:cs="仿宋"/>
                <w:b/>
                <w:bCs/>
                <w:kern w:val="0"/>
                <w:sz w:val="28"/>
                <w:szCs w:val="28"/>
                <w:shd w:val="clear" w:color="090000" w:fill="FFFFFF"/>
                <w:lang w:val="en-US" w:eastAsia="zh-CN"/>
              </w:rPr>
              <w:t>修缮</w:t>
            </w:r>
            <w:r>
              <w:rPr>
                <w:rFonts w:hint="eastAsia" w:ascii="仿宋" w:hAnsi="仿宋" w:eastAsia="仿宋" w:cs="仿宋"/>
                <w:b/>
                <w:bCs/>
                <w:kern w:val="0"/>
                <w:sz w:val="28"/>
                <w:szCs w:val="28"/>
                <w:shd w:val="clear" w:color="090000" w:fill="FFFFFF"/>
                <w:lang w:eastAsia="zh-CN"/>
              </w:rPr>
              <w:t>项目报价金额（元）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2" w:hRule="atLeast"/>
        </w:trPr>
        <w:tc>
          <w:tcPr>
            <w:tcW w:w="9163" w:type="dxa"/>
          </w:tcPr>
          <w:p>
            <w:pPr>
              <w:widowControl/>
              <w:spacing w:line="600" w:lineRule="exact"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32"/>
                <w:szCs w:val="32"/>
                <w:shd w:val="clear" w:color="090000" w:fill="FFFFFF"/>
                <w:lang w:eastAsia="zh-CN"/>
              </w:rPr>
            </w:pPr>
            <w:r>
              <w:rPr>
                <w:rFonts w:hint="default"/>
                <w:b/>
                <w:bCs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人民币</w:t>
            </w:r>
            <w:r>
              <w:rPr>
                <w:rFonts w:hint="eastAsia"/>
                <w:b/>
                <w:bCs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元</w:t>
            </w:r>
            <w:r>
              <w:rPr>
                <w:rFonts w:hint="default"/>
                <w:b/>
                <w:bCs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（含税价</w:t>
            </w:r>
            <w:r>
              <w:rPr>
                <w:rFonts w:hint="eastAsia"/>
                <w:b/>
                <w:bCs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,大写:     </w:t>
            </w:r>
            <w:r>
              <w:rPr>
                <w:rFonts w:hint="default"/>
                <w:b/>
                <w:bCs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</w:tr>
    </w:tbl>
    <w:p>
      <w:pPr>
        <w:widowControl/>
        <w:spacing w:line="600" w:lineRule="exact"/>
        <w:ind w:firstLine="420" w:firstLineChars="200"/>
        <w:jc w:val="left"/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:shd w:val="clear" w:color="090000" w:fill="FFFFFF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注：</w:t>
      </w:r>
      <w:r>
        <w:rPr>
          <w:rFonts w:hint="eastAsia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各项详细报价按照《工程量清单》列明附作响应文件最后部分</w:t>
      </w:r>
      <w:r>
        <w:rPr>
          <w:rFonts w:hint="eastAsia" w:cs="Times New Roman"/>
          <w:color w:val="000000" w:themeColor="text1"/>
          <w:kern w:val="2"/>
          <w:sz w:val="21"/>
          <w:szCs w:val="22"/>
          <w:lang w:val="en-US" w:eastAsia="zh-CN" w:bidi="ar-SA"/>
          <w14:textFill>
            <w14:solidFill>
              <w14:schemeClr w14:val="tx1"/>
            </w14:solidFill>
          </w14:textFill>
        </w:rPr>
        <w:t>。</w:t>
      </w:r>
    </w:p>
    <w:p>
      <w:pPr>
        <w:spacing w:line="360" w:lineRule="auto"/>
        <w:rPr>
          <w:rFonts w:ascii="仿宋_GB2312" w:hAnsi="仿宋" w:eastAsia="仿宋_GB2312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" w:eastAsia="仿宋_GB2312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二、评审</w:t>
      </w:r>
    </w:p>
    <w:p>
      <w:pPr>
        <w:widowControl/>
        <w:spacing w:line="600" w:lineRule="exact"/>
        <w:ind w:firstLine="480" w:firstLineChars="200"/>
        <w:jc w:val="left"/>
        <w:rPr>
          <w:rFonts w:hint="eastAsia" w:asciiTheme="minorHAnsi" w:hAnsiTheme="minorHAnsi" w:eastAsiaTheme="minorEastAsia" w:cstheme="minorBidi"/>
          <w:b w:val="0"/>
          <w:bCs w:val="0"/>
          <w:color w:val="000000" w:themeColor="text1"/>
          <w:kern w:val="0"/>
          <w:sz w:val="24"/>
          <w:szCs w:val="24"/>
          <w:u w:val="none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Theme="minorHAnsi" w:hAnsiTheme="minorHAnsi" w:eastAsiaTheme="minorEastAsia" w:cstheme="minorBidi"/>
          <w:b w:val="0"/>
          <w:bCs w:val="0"/>
          <w:color w:val="000000" w:themeColor="text1"/>
          <w:kern w:val="0"/>
          <w:sz w:val="24"/>
          <w:szCs w:val="24"/>
          <w:u w:val="none"/>
          <w:lang w:val="en-US" w:eastAsia="zh-CN" w:bidi="ar"/>
          <w14:textFill>
            <w14:solidFill>
              <w14:schemeClr w14:val="tx1"/>
            </w14:solidFill>
          </w14:textFill>
        </w:rPr>
        <w:t>评审采用综合评分法。对通过符合性审查合格的文件进行商务和技术评估，综合比较与评价。</w:t>
      </w:r>
    </w:p>
    <w:p>
      <w:pPr>
        <w:spacing w:line="360" w:lineRule="auto"/>
        <w:ind w:firstLine="420" w:firstLineChars="150"/>
        <w:rPr>
          <w:rFonts w:ascii="仿宋_GB2312" w:hAnsi="仿宋" w:eastAsia="仿宋_GB2312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" w:eastAsia="仿宋_GB2312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1.分值（权重）分配</w:t>
      </w:r>
    </w:p>
    <w:p>
      <w:pPr>
        <w:pStyle w:val="6"/>
        <w:widowControl/>
        <w:adjustRightInd w:val="0"/>
        <w:snapToGrid w:val="0"/>
        <w:spacing w:line="360" w:lineRule="auto"/>
        <w:ind w:left="991" w:leftChars="200" w:hanging="571" w:hangingChars="204"/>
        <w:rPr>
          <w:rFonts w:ascii="仿宋_GB2312" w:hAnsi="宋体" w:eastAsia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宋体" w:eastAsia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评分总值最高为100分，评分分值（权重）分配如下：</w:t>
      </w:r>
    </w:p>
    <w:tbl>
      <w:tblPr>
        <w:tblStyle w:val="9"/>
        <w:tblW w:w="5000" w:type="pct"/>
        <w:tblInd w:w="0" w:type="dxa"/>
        <w:tblBorders>
          <w:top w:val="outset" w:color="111111" w:sz="6" w:space="0"/>
          <w:left w:val="outset" w:color="111111" w:sz="6" w:space="0"/>
          <w:bottom w:val="outset" w:color="111111" w:sz="6" w:space="0"/>
          <w:right w:val="outset" w:color="111111" w:sz="6" w:space="0"/>
          <w:insideH w:val="outset" w:color="auto" w:sz="6" w:space="0"/>
          <w:insideV w:val="outset" w:color="auto" w:sz="6" w:space="0"/>
        </w:tblBorders>
        <w:tblLayout w:type="autofit"/>
        <w:tblCellMar>
          <w:top w:w="150" w:type="dxa"/>
          <w:left w:w="150" w:type="dxa"/>
          <w:bottom w:w="150" w:type="dxa"/>
          <w:right w:w="150" w:type="dxa"/>
        </w:tblCellMar>
      </w:tblPr>
      <w:tblGrid>
        <w:gridCol w:w="2151"/>
        <w:gridCol w:w="2151"/>
        <w:gridCol w:w="2152"/>
        <w:gridCol w:w="2152"/>
      </w:tblGrid>
      <w:tr>
        <w:tblPrEx>
          <w:tblBorders>
            <w:top w:val="outset" w:color="111111" w:sz="6" w:space="0"/>
            <w:left w:val="outset" w:color="111111" w:sz="6" w:space="0"/>
            <w:bottom w:val="outset" w:color="111111" w:sz="6" w:space="0"/>
            <w:right w:val="outset" w:color="111111" w:sz="6" w:space="0"/>
            <w:insideH w:val="outset" w:color="auto" w:sz="6" w:space="0"/>
            <w:insideV w:val="outset" w:color="auto" w:sz="6" w:space="0"/>
          </w:tblBorders>
          <w:tblCellMar>
            <w:top w:w="150" w:type="dxa"/>
            <w:left w:w="150" w:type="dxa"/>
            <w:bottom w:w="150" w:type="dxa"/>
            <w:right w:w="150" w:type="dxa"/>
          </w:tblCellMar>
        </w:tblPrEx>
        <w:tc>
          <w:tcPr>
            <w:tcW w:w="0" w:type="auto"/>
            <w:tcBorders>
              <w:top w:val="inset" w:color="111111" w:sz="6" w:space="0"/>
              <w:left w:val="inset" w:color="111111" w:sz="6" w:space="0"/>
              <w:bottom w:val="inset" w:color="111111" w:sz="6" w:space="0"/>
              <w:right w:val="inset" w:color="111111" w:sz="6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评分项目</w:t>
            </w:r>
          </w:p>
        </w:tc>
        <w:tc>
          <w:tcPr>
            <w:tcW w:w="0" w:type="auto"/>
            <w:tcBorders>
              <w:top w:val="inset" w:color="111111" w:sz="6" w:space="0"/>
              <w:left w:val="inset" w:color="111111" w:sz="6" w:space="0"/>
              <w:bottom w:val="inset" w:color="111111" w:sz="6" w:space="0"/>
              <w:right w:val="inset" w:color="111111" w:sz="6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商务评分</w:t>
            </w:r>
          </w:p>
        </w:tc>
        <w:tc>
          <w:tcPr>
            <w:tcW w:w="0" w:type="auto"/>
            <w:tcBorders>
              <w:top w:val="inset" w:color="111111" w:sz="6" w:space="0"/>
              <w:left w:val="inset" w:color="111111" w:sz="6" w:space="0"/>
              <w:bottom w:val="inset" w:color="111111" w:sz="6" w:space="0"/>
              <w:right w:val="inset" w:color="111111" w:sz="6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技术评分</w:t>
            </w:r>
          </w:p>
        </w:tc>
        <w:tc>
          <w:tcPr>
            <w:tcW w:w="0" w:type="auto"/>
            <w:tcBorders>
              <w:top w:val="inset" w:color="111111" w:sz="6" w:space="0"/>
              <w:left w:val="inset" w:color="111111" w:sz="6" w:space="0"/>
              <w:bottom w:val="inset" w:color="111111" w:sz="6" w:space="0"/>
              <w:right w:val="inset" w:color="111111" w:sz="6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价格评分</w:t>
            </w:r>
          </w:p>
        </w:tc>
      </w:tr>
      <w:tr>
        <w:tblPrEx>
          <w:tblBorders>
            <w:top w:val="outset" w:color="111111" w:sz="6" w:space="0"/>
            <w:left w:val="outset" w:color="111111" w:sz="6" w:space="0"/>
            <w:bottom w:val="outset" w:color="111111" w:sz="6" w:space="0"/>
            <w:right w:val="outset" w:color="111111" w:sz="6" w:space="0"/>
            <w:insideH w:val="outset" w:color="auto" w:sz="6" w:space="0"/>
            <w:insideV w:val="outset" w:color="auto" w:sz="6" w:space="0"/>
          </w:tblBorders>
          <w:tblCellMar>
            <w:top w:w="150" w:type="dxa"/>
            <w:left w:w="150" w:type="dxa"/>
            <w:bottom w:w="150" w:type="dxa"/>
            <w:right w:w="150" w:type="dxa"/>
          </w:tblCellMar>
        </w:tblPrEx>
        <w:tc>
          <w:tcPr>
            <w:tcW w:w="0" w:type="auto"/>
            <w:tcBorders>
              <w:top w:val="inset" w:color="111111" w:sz="6" w:space="0"/>
              <w:left w:val="inset" w:color="111111" w:sz="6" w:space="0"/>
              <w:bottom w:val="inset" w:color="111111" w:sz="6" w:space="0"/>
              <w:right w:val="inset" w:color="111111" w:sz="6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权重</w:t>
            </w:r>
          </w:p>
        </w:tc>
        <w:tc>
          <w:tcPr>
            <w:tcW w:w="0" w:type="auto"/>
            <w:tcBorders>
              <w:top w:val="inset" w:color="111111" w:sz="6" w:space="0"/>
              <w:left w:val="inset" w:color="111111" w:sz="6" w:space="0"/>
              <w:bottom w:val="inset" w:color="111111" w:sz="6" w:space="0"/>
              <w:right w:val="inset" w:color="111111" w:sz="6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30</w:t>
            </w:r>
          </w:p>
        </w:tc>
        <w:tc>
          <w:tcPr>
            <w:tcW w:w="0" w:type="auto"/>
            <w:tcBorders>
              <w:top w:val="inset" w:color="111111" w:sz="6" w:space="0"/>
              <w:left w:val="inset" w:color="111111" w:sz="6" w:space="0"/>
              <w:bottom w:val="inset" w:color="111111" w:sz="6" w:space="0"/>
              <w:right w:val="inset" w:color="111111" w:sz="6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仿宋_GB2312" w:hAnsi="宋体" w:eastAsia="仿宋_GB2312" w:cs="宋体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30</w:t>
            </w:r>
          </w:p>
        </w:tc>
        <w:tc>
          <w:tcPr>
            <w:tcW w:w="0" w:type="auto"/>
            <w:tcBorders>
              <w:top w:val="inset" w:color="111111" w:sz="6" w:space="0"/>
              <w:left w:val="inset" w:color="111111" w:sz="6" w:space="0"/>
              <w:bottom w:val="inset" w:color="111111" w:sz="6" w:space="0"/>
              <w:right w:val="inset" w:color="111111" w:sz="6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仿宋_GB2312" w:hAnsi="宋体" w:eastAsia="仿宋_GB2312" w:cs="宋体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40</w:t>
            </w:r>
          </w:p>
        </w:tc>
      </w:tr>
    </w:tbl>
    <w:p>
      <w:pPr>
        <w:tabs>
          <w:tab w:val="left" w:pos="945"/>
        </w:tabs>
        <w:spacing w:line="360" w:lineRule="auto"/>
        <w:ind w:firstLine="420" w:firstLineChars="150"/>
        <w:rPr>
          <w:rFonts w:ascii="仿宋_GB2312" w:hAnsi="仿宋" w:eastAsia="仿宋_GB2312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" w:eastAsia="仿宋_GB2312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2.商务评估：就各报价文件对商务评估内容的各项要求进行评分，评估的具体内容见《商务评估表》：</w:t>
      </w:r>
    </w:p>
    <w:p>
      <w:pPr>
        <w:snapToGrid w:val="0"/>
        <w:spacing w:line="360" w:lineRule="auto"/>
        <w:jc w:val="center"/>
        <w:rPr>
          <w:rFonts w:ascii="仿宋_GB2312" w:hAnsi="宋体" w:eastAsia="仿宋_GB2312" w:cs="宋体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宋体" w:eastAsia="仿宋_GB2312" w:cs="宋体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商务评估表</w:t>
      </w:r>
    </w:p>
    <w:tbl>
      <w:tblPr>
        <w:tblStyle w:val="9"/>
        <w:tblW w:w="5137" w:type="pct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15"/>
        <w:gridCol w:w="1193"/>
        <w:gridCol w:w="5388"/>
        <w:gridCol w:w="1560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1" w:hRule="atLeast"/>
          <w:jc w:val="center"/>
        </w:trPr>
        <w:tc>
          <w:tcPr>
            <w:tcW w:w="351" w:type="pct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hAnsi="仿宋" w:eastAsia="仿宋_GB2312" w:cs="仿宋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" w:eastAsia="仿宋_GB2312" w:cs="仿宋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681" w:type="pct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hAnsi="仿宋" w:eastAsia="仿宋_GB2312" w:cs="仿宋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" w:eastAsia="仿宋_GB2312" w:cs="仿宋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评分项目</w:t>
            </w:r>
          </w:p>
        </w:tc>
        <w:tc>
          <w:tcPr>
            <w:tcW w:w="3077" w:type="pct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hAnsi="仿宋" w:eastAsia="仿宋_GB2312" w:cs="仿宋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评分内容</w:t>
            </w:r>
          </w:p>
        </w:tc>
        <w:tc>
          <w:tcPr>
            <w:tcW w:w="890" w:type="pct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hAnsi="仿宋" w:eastAsia="仿宋_GB2312" w:cs="仿宋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" w:eastAsia="仿宋_GB2312" w:cs="仿宋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分值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  <w:jc w:val="center"/>
        </w:trPr>
        <w:tc>
          <w:tcPr>
            <w:tcW w:w="351" w:type="pct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hAnsi="仿宋" w:eastAsia="仿宋_GB2312" w:cs="仿宋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" w:eastAsia="仿宋_GB2312" w:cs="仿宋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681" w:type="pct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人员配置</w:t>
            </w:r>
          </w:p>
        </w:tc>
        <w:tc>
          <w:tcPr>
            <w:tcW w:w="3077" w:type="pct"/>
            <w:vAlign w:val="center"/>
          </w:tcPr>
          <w:p>
            <w:pPr>
              <w:spacing w:line="400" w:lineRule="exact"/>
              <w:rPr>
                <w:rFonts w:ascii="仿宋_GB2312" w:hAnsi="宋体" w:eastAsia="仿宋_GB2312" w:cs="宋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根据需求书中“</w:t>
            </w:r>
            <w:r>
              <w:rPr>
                <w:rFonts w:hint="default" w:ascii="宋体" w:hAnsi="宋体" w:eastAsia="宋体" w:cs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项目管理和实施要求</w:t>
            </w:r>
            <w:r>
              <w:rPr>
                <w:rFonts w:hint="eastAsia" w:ascii="宋体" w:hAnsi="宋体" w:eastAsia="宋体" w:cs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”第1点，在响应资料提供。拟派的项目安全员、施工员、质检员、资料员、材料员持有相关资格证的每人得2分，最高得10分。（1人1证，不可重复得分，提供居民身份证复印件加盖公章，提供相关说明材料或证明材料）</w:t>
            </w:r>
          </w:p>
        </w:tc>
        <w:tc>
          <w:tcPr>
            <w:tcW w:w="890" w:type="pct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10分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  <w:jc w:val="center"/>
        </w:trPr>
        <w:tc>
          <w:tcPr>
            <w:tcW w:w="351" w:type="pct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hAnsi="仿宋" w:eastAsia="仿宋_GB2312" w:cs="仿宋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" w:eastAsia="仿宋_GB2312" w:cs="仿宋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681" w:type="pct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业绩</w:t>
            </w:r>
          </w:p>
        </w:tc>
        <w:tc>
          <w:tcPr>
            <w:tcW w:w="3077" w:type="pct"/>
            <w:vAlign w:val="center"/>
          </w:tcPr>
          <w:p>
            <w:pPr>
              <w:spacing w:line="400" w:lineRule="exact"/>
              <w:rPr>
                <w:rFonts w:hint="eastAsia" w:ascii="宋体" w:hAnsi="宋体" w:eastAsia="宋体" w:cs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根据需求书中“</w:t>
            </w:r>
            <w:r>
              <w:rPr>
                <w:rFonts w:hint="default" w:ascii="宋体" w:hAnsi="宋体" w:eastAsia="宋体" w:cs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项目管理和实施要求</w:t>
            </w:r>
            <w:r>
              <w:rPr>
                <w:rFonts w:hint="eastAsia" w:ascii="宋体" w:hAnsi="宋体" w:eastAsia="宋体" w:cs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”第2点，在响应资料提供。2024年1月1日以来，响应供应商完成同类项目业绩，每提供一个得5分，满分10分。</w:t>
            </w:r>
          </w:p>
          <w:p>
            <w:pPr>
              <w:spacing w:line="400" w:lineRule="exact"/>
              <w:rPr>
                <w:rFonts w:hint="eastAsia" w:ascii="仿宋_GB2312" w:eastAsia="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（提供业绩中标/成交通知书、合同关键页复印件并加盖公章）。</w:t>
            </w:r>
          </w:p>
        </w:tc>
        <w:tc>
          <w:tcPr>
            <w:tcW w:w="890" w:type="pct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10分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  <w:jc w:val="center"/>
        </w:trPr>
        <w:tc>
          <w:tcPr>
            <w:tcW w:w="351" w:type="pct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hAnsi="仿宋" w:eastAsia="仿宋_GB2312" w:cs="仿宋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" w:eastAsia="仿宋_GB2312" w:cs="仿宋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681" w:type="pct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服务便利性</w:t>
            </w:r>
          </w:p>
        </w:tc>
        <w:tc>
          <w:tcPr>
            <w:tcW w:w="3077" w:type="pct"/>
            <w:vAlign w:val="center"/>
          </w:tcPr>
          <w:p>
            <w:pPr>
              <w:spacing w:line="400" w:lineRule="exact"/>
              <w:rPr>
                <w:rFonts w:hint="eastAsia" w:ascii="宋体" w:hAnsi="宋体" w:eastAsia="宋体" w:cs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根据需求书中“</w:t>
            </w:r>
            <w:r>
              <w:rPr>
                <w:rFonts w:hint="default" w:ascii="宋体" w:hAnsi="宋体" w:eastAsia="宋体" w:cs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项目管理和实施要求</w:t>
            </w:r>
            <w:r>
              <w:rPr>
                <w:rFonts w:hint="eastAsia" w:ascii="宋体" w:hAnsi="宋体" w:eastAsia="宋体" w:cs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”第3点，在响应资料提供。</w:t>
            </w:r>
          </w:p>
          <w:p>
            <w:pPr>
              <w:pStyle w:val="3"/>
              <w:widowControl/>
              <w:spacing w:line="360" w:lineRule="exact"/>
              <w:ind w:firstLine="0"/>
              <w:rPr>
                <w:rFonts w:hint="default" w:ascii="宋体" w:hAnsi="宋体" w:eastAsia="宋体" w:cs="宋体"/>
                <w:color w:val="000000" w:themeColor="text1"/>
                <w:kern w:val="2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2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服务便利性高、响应需求速度快，得10分；</w:t>
            </w:r>
          </w:p>
          <w:p>
            <w:pPr>
              <w:pStyle w:val="3"/>
              <w:widowControl/>
              <w:spacing w:line="360" w:lineRule="exact"/>
              <w:ind w:firstLine="0"/>
              <w:rPr>
                <w:rFonts w:hint="default" w:ascii="宋体" w:hAnsi="宋体" w:eastAsia="宋体" w:cs="宋体"/>
                <w:color w:val="000000" w:themeColor="text1"/>
                <w:kern w:val="2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2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服务便利性一般、响应需求速度一般，得6分；</w:t>
            </w:r>
          </w:p>
          <w:p>
            <w:pPr>
              <w:pStyle w:val="3"/>
              <w:widowControl/>
              <w:spacing w:line="360" w:lineRule="exact"/>
              <w:ind w:firstLine="0"/>
              <w:rPr>
                <w:rFonts w:hint="default" w:ascii="宋体" w:hAnsi="宋体" w:eastAsia="宋体" w:cs="宋体"/>
                <w:color w:val="000000" w:themeColor="text1"/>
                <w:kern w:val="2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2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服务便利性差、响应需求速度慢，得2分。</w:t>
            </w:r>
          </w:p>
          <w:p>
            <w:pPr>
              <w:rPr>
                <w:rFonts w:ascii="仿宋_GB2312" w:hAnsi="宋体" w:eastAsia="仿宋_GB2312" w:cs="宋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2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不提供不得分。</w:t>
            </w:r>
          </w:p>
        </w:tc>
        <w:tc>
          <w:tcPr>
            <w:tcW w:w="890" w:type="pct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10分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  <w:jc w:val="center"/>
        </w:trPr>
        <w:tc>
          <w:tcPr>
            <w:tcW w:w="5000" w:type="pct"/>
            <w:gridSpan w:val="4"/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 w:eastAsia="仿宋_GB2312" w:cs="宋体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合计：30</w:t>
            </w:r>
          </w:p>
        </w:tc>
      </w:tr>
    </w:tbl>
    <w:p>
      <w:pPr>
        <w:rPr>
          <w:rFonts w:ascii="仿宋_GB2312" w:hAnsi="宋体" w:eastAsia="仿宋_GB2312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宋体" w:eastAsia="仿宋_GB2312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3. 技术评估：就各报价文件对技术评估内容的各项要求进行评分，评估的具体内容见《技术评估表》：</w:t>
      </w:r>
    </w:p>
    <w:p>
      <w:pPr>
        <w:snapToGrid w:val="0"/>
        <w:spacing w:line="360" w:lineRule="auto"/>
        <w:ind w:firstLine="138" w:firstLineChars="49"/>
        <w:jc w:val="center"/>
        <w:rPr>
          <w:rFonts w:ascii="仿宋_GB2312" w:hAnsi="宋体" w:eastAsia="仿宋_GB2312" w:cs="宋体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宋体" w:eastAsia="仿宋_GB2312" w:cs="宋体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技术评估表</w:t>
      </w:r>
    </w:p>
    <w:tbl>
      <w:tblPr>
        <w:tblStyle w:val="9"/>
        <w:tblW w:w="5000" w:type="pct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5"/>
        <w:gridCol w:w="1650"/>
        <w:gridCol w:w="4989"/>
        <w:gridCol w:w="1208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1" w:hRule="atLeast"/>
          <w:jc w:val="center"/>
        </w:trPr>
        <w:tc>
          <w:tcPr>
            <w:tcW w:w="396" w:type="pct"/>
            <w:vAlign w:val="center"/>
          </w:tcPr>
          <w:p>
            <w:pPr>
              <w:shd w:val="solid" w:color="FFFFFF" w:fill="auto"/>
              <w:autoSpaceDN w:val="0"/>
              <w:jc w:val="center"/>
              <w:rPr>
                <w:rFonts w:hAnsi="宋体"/>
                <w:color w:val="000000" w:themeColor="text1"/>
                <w:szCs w:val="21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/>
                <w:color w:val="000000" w:themeColor="text1"/>
                <w:szCs w:val="21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968" w:type="pct"/>
            <w:vAlign w:val="center"/>
          </w:tcPr>
          <w:p>
            <w:pPr>
              <w:shd w:val="solid" w:color="FFFFFF" w:fill="auto"/>
              <w:autoSpaceDN w:val="0"/>
              <w:jc w:val="center"/>
              <w:rPr>
                <w:rFonts w:hAnsi="宋体"/>
                <w:color w:val="000000" w:themeColor="text1"/>
                <w:szCs w:val="21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/>
                <w:color w:val="000000" w:themeColor="text1"/>
                <w:szCs w:val="21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评审项目</w:t>
            </w:r>
          </w:p>
        </w:tc>
        <w:tc>
          <w:tcPr>
            <w:tcW w:w="2927" w:type="pct"/>
            <w:vAlign w:val="center"/>
          </w:tcPr>
          <w:p>
            <w:pPr>
              <w:shd w:val="solid" w:color="FFFFFF" w:fill="auto"/>
              <w:autoSpaceDN w:val="0"/>
              <w:jc w:val="center"/>
              <w:rPr>
                <w:rFonts w:hAnsi="宋体"/>
                <w:color w:val="000000" w:themeColor="text1"/>
                <w:szCs w:val="21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/>
                <w:color w:val="000000" w:themeColor="text1"/>
                <w:szCs w:val="21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评分细则</w:t>
            </w:r>
          </w:p>
        </w:tc>
        <w:tc>
          <w:tcPr>
            <w:tcW w:w="709" w:type="pct"/>
            <w:vAlign w:val="center"/>
          </w:tcPr>
          <w:p>
            <w:pPr>
              <w:shd w:val="solid" w:color="FFFFFF" w:fill="auto"/>
              <w:autoSpaceDN w:val="0"/>
              <w:jc w:val="center"/>
              <w:rPr>
                <w:rFonts w:hAnsi="宋体"/>
                <w:color w:val="000000" w:themeColor="text1"/>
                <w:szCs w:val="21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/>
                <w:color w:val="000000" w:themeColor="text1"/>
                <w:szCs w:val="21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分值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61" w:hRule="atLeast"/>
          <w:jc w:val="center"/>
        </w:trPr>
        <w:tc>
          <w:tcPr>
            <w:tcW w:w="396" w:type="pct"/>
            <w:vAlign w:val="center"/>
          </w:tcPr>
          <w:p>
            <w:pPr>
              <w:pStyle w:val="8"/>
              <w:ind w:left="0" w:leftChars="0" w:firstLine="210" w:firstLineChars="100"/>
              <w:jc w:val="both"/>
              <w:rPr>
                <w:rFonts w:hint="default" w:eastAsia="宋体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1    </w:t>
            </w:r>
          </w:p>
        </w:tc>
        <w:tc>
          <w:tcPr>
            <w:tcW w:w="968" w:type="pct"/>
            <w:vAlign w:val="center"/>
          </w:tcPr>
          <w:p>
            <w:pPr>
              <w:jc w:val="center"/>
              <w:rPr>
                <w:rFonts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项目了解程度</w:t>
            </w:r>
          </w:p>
        </w:tc>
        <w:tc>
          <w:tcPr>
            <w:tcW w:w="2927" w:type="pct"/>
            <w:vAlign w:val="center"/>
          </w:tcPr>
          <w:p>
            <w:pPr>
              <w:rPr>
                <w:rFonts w:hint="eastAsia" w:ascii="宋体" w:hAnsi="宋体" w:eastAsia="宋体" w:cs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根据需求书中“</w:t>
            </w:r>
            <w:r>
              <w:rPr>
                <w:rFonts w:hint="default" w:ascii="宋体" w:hAnsi="宋体" w:eastAsia="宋体" w:cs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项目管理和实施要求</w:t>
            </w:r>
            <w:r>
              <w:rPr>
                <w:rFonts w:hint="eastAsia" w:ascii="宋体" w:hAnsi="宋体" w:eastAsia="宋体" w:cs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”第4点，在响应资料提供</w:t>
            </w:r>
            <w:r>
              <w:rPr>
                <w:rFonts w:hint="eastAsia" w:ascii="宋体" w:hAnsi="宋体" w:cs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相关情况</w:t>
            </w:r>
            <w:r>
              <w:rPr>
                <w:rFonts w:hint="eastAsia" w:ascii="宋体" w:hAnsi="宋体" w:eastAsia="宋体" w:cs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：</w:t>
            </w:r>
          </w:p>
          <w:p>
            <w:pPr>
              <w:rPr>
                <w:rFonts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对项目</w:t>
            </w:r>
            <w:r>
              <w:rPr>
                <w:rFonts w:hint="eastAsia" w:ascii="宋体" w:hAnsi="宋体" w:cs="宋体"/>
                <w:color w:val="000000" w:themeColor="text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内容、</w:t>
            </w:r>
            <w:r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环境(施工地点、周围情况)非常熟悉，得</w:t>
            </w:r>
            <w:r>
              <w:rPr>
                <w:rFonts w:hint="eastAsia" w:ascii="宋体" w:hAnsi="宋体" w:cs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  <w:r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分；</w:t>
            </w:r>
          </w:p>
          <w:p>
            <w:pPr>
              <w:rPr>
                <w:rFonts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对项目</w:t>
            </w:r>
            <w:r>
              <w:rPr>
                <w:rFonts w:hint="eastAsia" w:ascii="宋体" w:hAnsi="宋体" w:cs="宋体"/>
                <w:color w:val="000000" w:themeColor="text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内容、</w:t>
            </w:r>
            <w:r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环境(施工地点、周围情况)基本了解，得</w:t>
            </w:r>
            <w:r>
              <w:rPr>
                <w:rFonts w:hint="eastAsia" w:ascii="宋体" w:hAnsi="宋体" w:cs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  <w:r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分；</w:t>
            </w:r>
          </w:p>
          <w:p>
            <w:pPr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对项目</w:t>
            </w:r>
            <w:r>
              <w:rPr>
                <w:rFonts w:hint="eastAsia" w:ascii="宋体" w:hAnsi="宋体" w:cs="宋体"/>
                <w:color w:val="000000" w:themeColor="text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内容、</w:t>
            </w:r>
            <w:r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环境(施工地点、周围情况)</w:t>
            </w:r>
            <w:r>
              <w:rPr>
                <w:rFonts w:hint="eastAsia" w:ascii="宋体" w:hAnsi="宋体" w:cs="宋体"/>
                <w:color w:val="000000" w:themeColor="text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了解</w:t>
            </w:r>
            <w:r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不全面，得</w:t>
            </w:r>
            <w:r>
              <w:rPr>
                <w:rFonts w:hint="eastAsia" w:ascii="宋体" w:hAnsi="宋体" w:cs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分；</w:t>
            </w:r>
          </w:p>
          <w:p>
            <w:pPr>
              <w:rPr>
                <w:rFonts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对项目</w:t>
            </w:r>
            <w:r>
              <w:rPr>
                <w:rFonts w:hint="eastAsia" w:ascii="宋体" w:hAnsi="宋体" w:cs="宋体"/>
                <w:color w:val="000000" w:themeColor="text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内容、</w:t>
            </w:r>
            <w:r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环境(施工地点、周围情况)不</w:t>
            </w:r>
            <w:r>
              <w:rPr>
                <w:rFonts w:hint="eastAsia" w:ascii="宋体" w:hAnsi="宋体" w:cs="宋体"/>
                <w:color w:val="000000" w:themeColor="text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了解</w:t>
            </w:r>
            <w:r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，得</w:t>
            </w:r>
            <w:r>
              <w:rPr>
                <w:rFonts w:hint="eastAsia" w:ascii="宋体" w:hAnsi="宋体" w:cs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分；</w:t>
            </w:r>
          </w:p>
          <w:p>
            <w:pPr>
              <w:rPr>
                <w:rFonts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不提供，得0分。</w:t>
            </w:r>
          </w:p>
        </w:tc>
        <w:tc>
          <w:tcPr>
            <w:tcW w:w="709" w:type="pct"/>
            <w:vAlign w:val="center"/>
          </w:tcPr>
          <w:p>
            <w:pPr>
              <w:jc w:val="center"/>
              <w:rPr>
                <w:rFonts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  <w:r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分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61" w:hRule="atLeast"/>
          <w:jc w:val="center"/>
        </w:trPr>
        <w:tc>
          <w:tcPr>
            <w:tcW w:w="396" w:type="pct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hAnsi="仿宋" w:eastAsia="仿宋_GB2312" w:cs="仿宋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" w:eastAsia="仿宋_GB2312" w:cs="仿宋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968" w:type="pct"/>
            <w:vAlign w:val="center"/>
          </w:tcPr>
          <w:p>
            <w:pPr>
              <w:adjustRightInd w:val="0"/>
              <w:snapToGrid w:val="0"/>
              <w:spacing w:line="240" w:lineRule="exact"/>
              <w:jc w:val="center"/>
              <w:rPr>
                <w:rFonts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项目进度及控制措施</w:t>
            </w:r>
          </w:p>
        </w:tc>
        <w:tc>
          <w:tcPr>
            <w:tcW w:w="2927" w:type="pct"/>
            <w:vAlign w:val="center"/>
          </w:tcPr>
          <w:p>
            <w:pPr>
              <w:rPr>
                <w:rFonts w:hint="eastAsia" w:ascii="宋体" w:hAnsi="宋体" w:eastAsia="宋体" w:cs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根据需求书中“</w:t>
            </w:r>
            <w:r>
              <w:rPr>
                <w:rFonts w:hint="default" w:ascii="宋体" w:hAnsi="宋体" w:eastAsia="宋体" w:cs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项目管理和实施要求</w:t>
            </w:r>
            <w:r>
              <w:rPr>
                <w:rFonts w:hint="eastAsia" w:ascii="宋体" w:hAnsi="宋体" w:eastAsia="宋体" w:cs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”第4点，在响应资料提供方案：</w:t>
            </w:r>
          </w:p>
          <w:p>
            <w:pPr>
              <w:rPr>
                <w:rFonts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项目进度及控制措施</w:t>
            </w:r>
            <w:r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详尽可行，完善，能满足项目要求，得</w:t>
            </w:r>
            <w:r>
              <w:rPr>
                <w:rFonts w:hint="eastAsia" w:ascii="宋体" w:hAnsi="宋体" w:cs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10</w:t>
            </w:r>
            <w:r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分；</w:t>
            </w:r>
          </w:p>
          <w:p>
            <w:pPr>
              <w:rPr>
                <w:rFonts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项目进度及控制措施</w:t>
            </w:r>
            <w:r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可行，完善，能基本满足项目要求，得</w:t>
            </w:r>
            <w:r>
              <w:rPr>
                <w:rFonts w:hint="eastAsia" w:ascii="宋体" w:hAnsi="宋体" w:cs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</w:t>
            </w:r>
            <w:r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分；</w:t>
            </w:r>
          </w:p>
          <w:p>
            <w:pPr>
              <w:rPr>
                <w:rFonts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项目进度及控制措施</w:t>
            </w:r>
            <w:r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一般，勉强满足项目要求，得</w:t>
            </w:r>
            <w:r>
              <w:rPr>
                <w:rFonts w:hint="eastAsia" w:ascii="宋体" w:hAnsi="宋体" w:cs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  <w:r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分；</w:t>
            </w:r>
          </w:p>
          <w:p>
            <w:pPr>
              <w:rPr>
                <w:rFonts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项目进度及控制措施</w:t>
            </w:r>
            <w:r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差，不能满足项目要求，得1分；</w:t>
            </w:r>
          </w:p>
          <w:p>
            <w:pPr>
              <w:rPr>
                <w:rFonts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不提供，得0分。</w:t>
            </w:r>
          </w:p>
        </w:tc>
        <w:tc>
          <w:tcPr>
            <w:tcW w:w="709" w:type="pct"/>
            <w:vAlign w:val="center"/>
          </w:tcPr>
          <w:p>
            <w:pPr>
              <w:jc w:val="center"/>
              <w:rPr>
                <w:rFonts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10</w:t>
            </w:r>
            <w:r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分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61" w:hRule="atLeast"/>
          <w:jc w:val="center"/>
        </w:trPr>
        <w:tc>
          <w:tcPr>
            <w:tcW w:w="396" w:type="pct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hAnsi="仿宋" w:eastAsia="仿宋_GB2312" w:cs="仿宋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" w:eastAsia="仿宋_GB2312" w:cs="仿宋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968" w:type="pct"/>
            <w:vAlign w:val="center"/>
          </w:tcPr>
          <w:p>
            <w:pPr>
              <w:jc w:val="center"/>
              <w:rPr>
                <w:rFonts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重点难点研判及解决方案</w:t>
            </w:r>
          </w:p>
        </w:tc>
        <w:tc>
          <w:tcPr>
            <w:tcW w:w="2927" w:type="pct"/>
            <w:vAlign w:val="center"/>
          </w:tcPr>
          <w:p>
            <w:pPr>
              <w:rPr>
                <w:rFonts w:hint="eastAsia" w:ascii="宋体" w:hAnsi="宋体" w:eastAsia="宋体" w:cs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根据需求书中“</w:t>
            </w:r>
            <w:r>
              <w:rPr>
                <w:rFonts w:hint="default" w:ascii="宋体" w:hAnsi="宋体" w:eastAsia="宋体" w:cs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项目管理和实施要求</w:t>
            </w:r>
            <w:r>
              <w:rPr>
                <w:rFonts w:hint="eastAsia" w:ascii="宋体" w:hAnsi="宋体" w:eastAsia="宋体" w:cs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”第4点，在响应资料提供方案：</w:t>
            </w:r>
          </w:p>
          <w:p>
            <w:pPr>
              <w:rPr>
                <w:rFonts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重点难点研判及解决方案措施详尽可行，完善，能满足项目要求，得5分；</w:t>
            </w:r>
          </w:p>
          <w:p>
            <w:pPr>
              <w:rPr>
                <w:rFonts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重点难点研判及解决方案措施可行，完善，能基本满足项目要求，得3分；</w:t>
            </w:r>
          </w:p>
          <w:p>
            <w:pPr>
              <w:rPr>
                <w:rFonts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重点难点研判及解决方案措施一般，勉强满足项目要求，得2分；</w:t>
            </w:r>
          </w:p>
          <w:p>
            <w:pPr>
              <w:rPr>
                <w:rFonts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重点难点研判及解决方案措施差，不能满足项目要求，得1分；</w:t>
            </w:r>
          </w:p>
          <w:p>
            <w:pPr>
              <w:rPr>
                <w:rFonts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不提供，得0分。</w:t>
            </w:r>
          </w:p>
        </w:tc>
        <w:tc>
          <w:tcPr>
            <w:tcW w:w="709" w:type="pct"/>
            <w:vAlign w:val="center"/>
          </w:tcPr>
          <w:p>
            <w:pPr>
              <w:jc w:val="center"/>
              <w:rPr>
                <w:rFonts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5分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396" w:type="pct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hAnsi="仿宋" w:eastAsia="仿宋_GB2312" w:cs="仿宋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" w:eastAsia="仿宋_GB2312" w:cs="仿宋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968" w:type="pct"/>
            <w:vAlign w:val="center"/>
          </w:tcPr>
          <w:p>
            <w:pPr>
              <w:jc w:val="center"/>
              <w:rPr>
                <w:rFonts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质量保障措施</w:t>
            </w:r>
          </w:p>
        </w:tc>
        <w:tc>
          <w:tcPr>
            <w:tcW w:w="2927" w:type="pct"/>
            <w:vAlign w:val="center"/>
          </w:tcPr>
          <w:p>
            <w:pPr>
              <w:rPr>
                <w:rFonts w:hint="eastAsia" w:ascii="宋体" w:hAnsi="宋体" w:eastAsia="宋体" w:cs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根据需求书中“</w:t>
            </w:r>
            <w:r>
              <w:rPr>
                <w:rFonts w:hint="default" w:ascii="宋体" w:hAnsi="宋体" w:eastAsia="宋体" w:cs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项目管理和实施要求</w:t>
            </w:r>
            <w:r>
              <w:rPr>
                <w:rFonts w:hint="eastAsia" w:ascii="宋体" w:hAnsi="宋体" w:eastAsia="宋体" w:cs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”第4点，在响应资料提供方案：</w:t>
            </w:r>
          </w:p>
          <w:p>
            <w:pPr>
              <w:rPr>
                <w:rFonts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质量保障措施详尽可行，完善，能满足项目要求，得</w:t>
            </w:r>
            <w:r>
              <w:rPr>
                <w:rFonts w:hint="eastAsia" w:ascii="宋体" w:hAnsi="宋体" w:cs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  <w:r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分；</w:t>
            </w:r>
          </w:p>
          <w:p>
            <w:pPr>
              <w:rPr>
                <w:rFonts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质量保障措施可行，完善，能基本满足项目要求，得</w:t>
            </w:r>
            <w:r>
              <w:rPr>
                <w:rFonts w:hint="eastAsia" w:ascii="宋体" w:hAnsi="宋体" w:cs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  <w:r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分；</w:t>
            </w:r>
          </w:p>
          <w:p>
            <w:pPr>
              <w:rPr>
                <w:rFonts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质量保障措施一般，勉强满足项目要求，得</w:t>
            </w:r>
            <w:r>
              <w:rPr>
                <w:rFonts w:hint="eastAsia" w:ascii="宋体" w:hAnsi="宋体" w:cs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分；</w:t>
            </w:r>
          </w:p>
          <w:p>
            <w:pPr>
              <w:rPr>
                <w:rFonts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质量保障措施差，不能满足项目要求，得1分；</w:t>
            </w:r>
          </w:p>
          <w:p>
            <w:pPr>
              <w:rPr>
                <w:rFonts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不提供，得0分。</w:t>
            </w:r>
          </w:p>
        </w:tc>
        <w:tc>
          <w:tcPr>
            <w:tcW w:w="709" w:type="pct"/>
            <w:vAlign w:val="center"/>
          </w:tcPr>
          <w:p>
            <w:pPr>
              <w:jc w:val="center"/>
              <w:rPr>
                <w:rFonts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  <w:r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分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396" w:type="pct"/>
            <w:vAlign w:val="center"/>
          </w:tcPr>
          <w:p>
            <w:pPr>
              <w:adjustRightInd w:val="0"/>
              <w:snapToGrid w:val="0"/>
              <w:ind w:firstLine="280" w:firstLineChars="100"/>
              <w:rPr>
                <w:rFonts w:ascii="仿宋_GB2312" w:hAnsi="仿宋" w:eastAsia="仿宋_GB2312" w:cs="仿宋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" w:eastAsia="仿宋_GB2312" w:cs="仿宋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968" w:type="pct"/>
            <w:vAlign w:val="center"/>
          </w:tcPr>
          <w:p>
            <w:pPr>
              <w:jc w:val="center"/>
              <w:rPr>
                <w:rFonts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安全、文明施工、 环保措施</w:t>
            </w:r>
          </w:p>
        </w:tc>
        <w:tc>
          <w:tcPr>
            <w:tcW w:w="2927" w:type="pct"/>
            <w:vAlign w:val="center"/>
          </w:tcPr>
          <w:p>
            <w:pPr>
              <w:rPr>
                <w:rFonts w:hint="eastAsia" w:ascii="宋体" w:hAnsi="宋体" w:eastAsia="宋体" w:cs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根据需求书中“</w:t>
            </w:r>
            <w:r>
              <w:rPr>
                <w:rFonts w:hint="default" w:ascii="宋体" w:hAnsi="宋体" w:eastAsia="宋体" w:cs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项目管理和实施要求</w:t>
            </w:r>
            <w:r>
              <w:rPr>
                <w:rFonts w:hint="eastAsia" w:ascii="宋体" w:hAnsi="宋体" w:eastAsia="宋体" w:cs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”第4点，在响应资料提供方案：</w:t>
            </w:r>
          </w:p>
          <w:p>
            <w:pPr>
              <w:rPr>
                <w:rFonts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安全、文明施工、环保措施详尽可行，完善，能满足项目要求，得</w:t>
            </w:r>
            <w:r>
              <w:rPr>
                <w:rFonts w:hint="eastAsia" w:ascii="宋体" w:hAnsi="宋体" w:cs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  <w:r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分；</w:t>
            </w:r>
          </w:p>
          <w:p>
            <w:pPr>
              <w:rPr>
                <w:rFonts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安全、文明施工、环保措施可行，完善，能基本满足项目要求，得</w:t>
            </w:r>
            <w:r>
              <w:rPr>
                <w:rFonts w:hint="eastAsia" w:ascii="宋体" w:hAnsi="宋体" w:cs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  <w:r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分；</w:t>
            </w:r>
          </w:p>
          <w:p>
            <w:pPr>
              <w:rPr>
                <w:rFonts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安全、文明施工、环保措施一般，勉强满足项目要求，得</w:t>
            </w:r>
            <w:r>
              <w:rPr>
                <w:rFonts w:hint="eastAsia" w:ascii="宋体" w:hAnsi="宋体" w:cs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分；</w:t>
            </w:r>
          </w:p>
          <w:p>
            <w:pPr>
              <w:rPr>
                <w:rFonts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不提供，得0分。</w:t>
            </w:r>
          </w:p>
        </w:tc>
        <w:tc>
          <w:tcPr>
            <w:tcW w:w="709" w:type="pct"/>
            <w:vAlign w:val="center"/>
          </w:tcPr>
          <w:p>
            <w:pPr>
              <w:jc w:val="center"/>
              <w:rPr>
                <w:rFonts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  <w:r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分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  <w:jc w:val="center"/>
        </w:trPr>
        <w:tc>
          <w:tcPr>
            <w:tcW w:w="5000" w:type="pct"/>
            <w:gridSpan w:val="4"/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 w:eastAsia="仿宋_GB2312" w:cs="宋体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合计：</w:t>
            </w:r>
            <w:r>
              <w:rPr>
                <w:rFonts w:hint="eastAsia" w:ascii="仿宋_GB2312" w:hAnsi="宋体" w:eastAsia="仿宋_GB2312" w:cs="宋体"/>
                <w:bCs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  <w:r>
              <w:rPr>
                <w:rFonts w:hint="eastAsia" w:ascii="仿宋_GB2312" w:hAnsi="宋体" w:eastAsia="仿宋_GB2312" w:cs="宋体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</w:tr>
    </w:tbl>
    <w:p>
      <w:pPr>
        <w:snapToGrid w:val="0"/>
        <w:spacing w:line="360" w:lineRule="auto"/>
        <w:rPr>
          <w:rFonts w:ascii="仿宋_GB2312" w:hAnsi="仿宋" w:eastAsia="仿宋_GB2312" w:cs="仿宋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>
      <w:pPr>
        <w:spacing w:line="360" w:lineRule="auto"/>
        <w:ind w:left="113"/>
        <w:rPr>
          <w:rFonts w:ascii="仿宋_GB2312" w:hAnsi="仿宋" w:eastAsia="仿宋_GB2312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" w:eastAsia="仿宋_GB2312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4.报价得分（</w:t>
      </w:r>
      <w:r>
        <w:rPr>
          <w:rFonts w:hint="eastAsia" w:ascii="仿宋_GB2312" w:hAnsi="仿宋" w:eastAsia="仿宋_GB2312" w:cs="仿宋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4</w:t>
      </w:r>
      <w:r>
        <w:rPr>
          <w:rFonts w:hint="eastAsia" w:ascii="仿宋_GB2312" w:hAnsi="仿宋" w:eastAsia="仿宋_GB2312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0）：</w:t>
      </w:r>
    </w:p>
    <w:p>
      <w:pPr>
        <w:tabs>
          <w:tab w:val="left" w:pos="945"/>
        </w:tabs>
        <w:spacing w:line="360" w:lineRule="auto"/>
        <w:ind w:left="113"/>
        <w:rPr>
          <w:rFonts w:ascii="仿宋_GB2312" w:hAnsi="仿宋" w:eastAsia="仿宋_GB2312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" w:eastAsia="仿宋_GB2312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价格分统一采用低价优先法计算，即满足文件要求的各报价（指修正、扣除后的投标报价）中取最低的为评标基准价，其价格分为满分。价格分计算公式：</w:t>
      </w:r>
    </w:p>
    <w:p>
      <w:pPr>
        <w:adjustRightInd w:val="0"/>
        <w:snapToGrid w:val="0"/>
        <w:spacing w:line="360" w:lineRule="auto"/>
        <w:ind w:firstLine="560" w:firstLineChars="200"/>
        <w:jc w:val="left"/>
        <w:rPr>
          <w:rFonts w:ascii="仿宋_GB2312" w:hAnsi="仿宋" w:eastAsia="仿宋_GB2312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" w:eastAsia="仿宋_GB2312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投标报价得分=【评标基准价／投标报价（修正、扣除后）】×价格权值</w:t>
      </w:r>
    </w:p>
    <w:p>
      <w:pPr>
        <w:adjustRightInd w:val="0"/>
        <w:snapToGrid w:val="0"/>
        <w:spacing w:line="360" w:lineRule="auto"/>
        <w:jc w:val="left"/>
        <w:rPr>
          <w:rFonts w:ascii="仿宋_GB2312" w:hAnsi="仿宋" w:eastAsia="仿宋_GB2312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" w:eastAsia="仿宋_GB2312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投标报价（修正、扣除后）仅用于计算投标报价得分，中标金额以实际投标报价为准。</w:t>
      </w:r>
    </w:p>
    <w:p>
      <w:pPr>
        <w:rPr>
          <w:rFonts w:ascii="仿宋_GB2312" w:hAnsi="仿宋" w:eastAsia="仿宋_GB2312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" w:eastAsia="仿宋_GB2312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投标文件报价出现前后不一致的，除招标文件另有规定外，按照下列规定修正：</w:t>
      </w:r>
    </w:p>
    <w:p>
      <w:pPr>
        <w:ind w:firstLine="420" w:firstLineChars="150"/>
        <w:rPr>
          <w:rFonts w:ascii="仿宋_GB2312" w:hAnsi="仿宋" w:eastAsia="仿宋_GB2312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" w:eastAsia="仿宋_GB2312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(1)投标文件中开标一览表内容与投标文件中相应内容不一致的，以开标一览表为准；</w:t>
      </w:r>
    </w:p>
    <w:p>
      <w:pPr>
        <w:ind w:left="425"/>
        <w:rPr>
          <w:rFonts w:ascii="仿宋_GB2312" w:hAnsi="仿宋" w:eastAsia="仿宋_GB2312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" w:eastAsia="仿宋_GB2312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(2)大写金额和小写金额不一致的，以大写金额为准；</w:t>
      </w:r>
    </w:p>
    <w:p>
      <w:pPr>
        <w:ind w:firstLine="420" w:firstLineChars="150"/>
        <w:rPr>
          <w:rFonts w:ascii="仿宋_GB2312" w:hAnsi="仿宋" w:eastAsia="仿宋_GB2312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" w:eastAsia="仿宋_GB2312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(3)单价金额小数点或者百分比有明显错位的，以开标一览表的总价为准，并修改单价；</w:t>
      </w:r>
    </w:p>
    <w:p>
      <w:pPr>
        <w:ind w:firstLine="420" w:firstLineChars="150"/>
        <w:rPr>
          <w:rFonts w:ascii="仿宋_GB2312" w:hAnsi="仿宋" w:eastAsia="仿宋_GB2312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" w:eastAsia="仿宋_GB2312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(4)总价金额与按单价汇总金额不一致的，以单价金额计算结果为准。</w:t>
      </w:r>
    </w:p>
    <w:p>
      <w:pPr>
        <w:ind w:firstLine="420" w:firstLineChars="150"/>
        <w:rPr>
          <w:rFonts w:ascii="仿宋_GB2312" w:hAnsi="仿宋" w:eastAsia="仿宋_GB2312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" w:eastAsia="仿宋_GB2312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(5)同时出现两种以上不一致的，按照前款规定的顺序修正。修正后的报价采用书面形式，加盖投标人公章，或者由投标人法定代表人或其授权的代表签字，经投标人确认后产生约束力，投标人不确认的，其投标无效。</w:t>
      </w:r>
    </w:p>
    <w:p>
      <w:pPr>
        <w:rPr>
          <w:rFonts w:hint="eastAsia" w:ascii="仿宋_GB2312" w:eastAsia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>
      <w:pPr>
        <w:ind w:firstLine="560" w:firstLineChars="200"/>
        <w:rPr>
          <w:rFonts w:hint="eastAsia" w:ascii="仿宋_GB2312" w:eastAsia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附件：</w:t>
      </w:r>
      <w:r>
        <w:rPr>
          <w:rFonts w:hint="eastAsia" w:ascii="仿宋_GB2312" w:eastAsia="仿宋_GB2312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1.</w:t>
      </w:r>
      <w:r>
        <w:rPr>
          <w:rFonts w:hint="eastAsia" w:ascii="仿宋_GB2312" w:eastAsia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《工程</w:t>
      </w:r>
      <w:r>
        <w:rPr>
          <w:rFonts w:hint="eastAsia" w:ascii="仿宋_GB2312" w:eastAsia="仿宋_GB2312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量清单</w:t>
      </w:r>
      <w:r>
        <w:rPr>
          <w:rFonts w:hint="eastAsia" w:ascii="仿宋_GB2312" w:eastAsia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》</w:t>
      </w:r>
    </w:p>
    <w:p>
      <w:pPr>
        <w:pStyle w:val="8"/>
        <w:ind w:left="0" w:leftChars="0" w:firstLine="0" w:firstLineChars="0"/>
        <w:rPr>
          <w:rFonts w:hint="eastAsia" w:ascii="仿宋_GB2312" w:eastAsia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 xml:space="preserve">     </w:t>
      </w:r>
    </w:p>
    <w:p>
      <w:pPr>
        <w:pStyle w:val="8"/>
        <w:ind w:firstLine="560"/>
        <w:rPr>
          <w:rFonts w:hint="eastAsia" w:ascii="仿宋_GB2312" w:eastAsia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>
      <w:pPr>
        <w:pStyle w:val="8"/>
        <w:ind w:firstLine="560"/>
        <w:rPr>
          <w:rFonts w:hint="eastAsia" w:ascii="仿宋_GB2312" w:eastAsia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>
      <w:pPr>
        <w:pStyle w:val="8"/>
        <w:ind w:firstLine="560"/>
        <w:rPr>
          <w:rFonts w:hint="eastAsia" w:ascii="仿宋_GB2312" w:eastAsia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                           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7A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WQ5OGU0NDNmMzkwYTM0ZWUyMTAwOGZlNDBmZTQ0ODgifQ=="/>
  </w:docVars>
  <w:rsids>
    <w:rsidRoot w:val="1B184E0C"/>
    <w:rsid w:val="000024B9"/>
    <w:rsid w:val="000736C2"/>
    <w:rsid w:val="00092FF2"/>
    <w:rsid w:val="000960B4"/>
    <w:rsid w:val="000B1CFE"/>
    <w:rsid w:val="00102050"/>
    <w:rsid w:val="00116610"/>
    <w:rsid w:val="00146397"/>
    <w:rsid w:val="001F6B26"/>
    <w:rsid w:val="0024386C"/>
    <w:rsid w:val="002444BD"/>
    <w:rsid w:val="002804A7"/>
    <w:rsid w:val="002E578E"/>
    <w:rsid w:val="002F5986"/>
    <w:rsid w:val="00315877"/>
    <w:rsid w:val="003518BB"/>
    <w:rsid w:val="0035670F"/>
    <w:rsid w:val="00361F9F"/>
    <w:rsid w:val="003A39E5"/>
    <w:rsid w:val="003B6CC4"/>
    <w:rsid w:val="00411FC0"/>
    <w:rsid w:val="004172FA"/>
    <w:rsid w:val="0043047B"/>
    <w:rsid w:val="004B09BC"/>
    <w:rsid w:val="00534511"/>
    <w:rsid w:val="00551B0D"/>
    <w:rsid w:val="00557087"/>
    <w:rsid w:val="005606B0"/>
    <w:rsid w:val="005926E8"/>
    <w:rsid w:val="00596232"/>
    <w:rsid w:val="005A2A16"/>
    <w:rsid w:val="005D4471"/>
    <w:rsid w:val="00611A6D"/>
    <w:rsid w:val="00650C96"/>
    <w:rsid w:val="00664CA8"/>
    <w:rsid w:val="006A457A"/>
    <w:rsid w:val="006F4B60"/>
    <w:rsid w:val="00806CED"/>
    <w:rsid w:val="00852BFF"/>
    <w:rsid w:val="00855ECB"/>
    <w:rsid w:val="008A5DB1"/>
    <w:rsid w:val="008D5F44"/>
    <w:rsid w:val="00930808"/>
    <w:rsid w:val="00935464"/>
    <w:rsid w:val="00965AC1"/>
    <w:rsid w:val="0099785C"/>
    <w:rsid w:val="009A29B6"/>
    <w:rsid w:val="009C5EB8"/>
    <w:rsid w:val="009F1820"/>
    <w:rsid w:val="00A01B20"/>
    <w:rsid w:val="00A07E16"/>
    <w:rsid w:val="00A368E9"/>
    <w:rsid w:val="00AB01A0"/>
    <w:rsid w:val="00B27726"/>
    <w:rsid w:val="00B71984"/>
    <w:rsid w:val="00BC574C"/>
    <w:rsid w:val="00BC72C6"/>
    <w:rsid w:val="00C50127"/>
    <w:rsid w:val="00C51DE8"/>
    <w:rsid w:val="00C553AA"/>
    <w:rsid w:val="00C65C16"/>
    <w:rsid w:val="00C72C02"/>
    <w:rsid w:val="00CB3EC3"/>
    <w:rsid w:val="00CC6F75"/>
    <w:rsid w:val="00D00F68"/>
    <w:rsid w:val="00DD2E52"/>
    <w:rsid w:val="00DE7D66"/>
    <w:rsid w:val="00E01A2A"/>
    <w:rsid w:val="00E131DF"/>
    <w:rsid w:val="00E57F0E"/>
    <w:rsid w:val="00E8216F"/>
    <w:rsid w:val="00EA0127"/>
    <w:rsid w:val="00ED28A3"/>
    <w:rsid w:val="00F17484"/>
    <w:rsid w:val="00F70C49"/>
    <w:rsid w:val="00FA2042"/>
    <w:rsid w:val="00FF2419"/>
    <w:rsid w:val="127767C9"/>
    <w:rsid w:val="1B184E0C"/>
    <w:rsid w:val="1B99302F"/>
    <w:rsid w:val="1CF67132"/>
    <w:rsid w:val="21E131ED"/>
    <w:rsid w:val="3AB2531A"/>
    <w:rsid w:val="3D856E93"/>
    <w:rsid w:val="55180399"/>
    <w:rsid w:val="56A8051B"/>
    <w:rsid w:val="5DEBF3B7"/>
    <w:rsid w:val="63BD290E"/>
    <w:rsid w:val="67DA1D6A"/>
    <w:rsid w:val="6A736A38"/>
    <w:rsid w:val="6BEE7306"/>
    <w:rsid w:val="7A700D60"/>
    <w:rsid w:val="7DBD4D8A"/>
    <w:rsid w:val="7EB963B7"/>
    <w:rsid w:val="7FFFEE2E"/>
    <w:rsid w:val="88FD31A0"/>
    <w:rsid w:val="AB794397"/>
    <w:rsid w:val="AFB37DC7"/>
    <w:rsid w:val="BF9F699A"/>
    <w:rsid w:val="BFDF2DE6"/>
    <w:rsid w:val="F9F756E6"/>
    <w:rsid w:val="FBF36D6C"/>
    <w:rsid w:val="FDEF83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qFormat="1" w:unhideWhenUsed="0" w:uiPriority="99" w:semiHidden="0" w:name="envelope return"/>
    <w:lsdException w:unhideWhenUsed="0" w:uiPriority="0" w:semiHidden="0" w:name="footnote reference"/>
    <w:lsdException w:qFormat="1" w:unhideWhenUsed="0" w:uiPriority="99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qFormat="1"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3"/>
    <w:qFormat/>
    <w:uiPriority w:val="0"/>
    <w:pPr>
      <w:spacing w:line="480" w:lineRule="auto"/>
      <w:outlineLvl w:val="0"/>
    </w:pPr>
    <w:rPr>
      <w:rFonts w:ascii="宋体" w:hAnsi="宋体" w:cs="宋体"/>
      <w:b/>
      <w:bCs/>
      <w:spacing w:val="20"/>
      <w:kern w:val="0"/>
      <w:sz w:val="36"/>
      <w:szCs w:val="36"/>
      <w:lang w:eastAsia="en-US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Indent"/>
    <w:basedOn w:val="1"/>
    <w:qFormat/>
    <w:uiPriority w:val="0"/>
    <w:pPr>
      <w:ind w:firstLine="420"/>
    </w:pPr>
    <w:rPr>
      <w:rFonts w:ascii="Times New Roman" w:hAnsi="Times New Roman"/>
      <w:szCs w:val="20"/>
    </w:rPr>
  </w:style>
  <w:style w:type="paragraph" w:styleId="4">
    <w:name w:val="Body Text Indent"/>
    <w:basedOn w:val="1"/>
    <w:unhideWhenUsed/>
    <w:qFormat/>
    <w:uiPriority w:val="99"/>
    <w:pPr>
      <w:spacing w:after="120"/>
      <w:ind w:left="420" w:leftChars="200"/>
    </w:pPr>
  </w:style>
  <w:style w:type="paragraph" w:styleId="5">
    <w:name w:val="Block Text"/>
    <w:basedOn w:val="1"/>
    <w:qFormat/>
    <w:uiPriority w:val="0"/>
    <w:pPr>
      <w:ind w:left="105" w:right="353" w:firstLine="720"/>
      <w:jc w:val="center"/>
    </w:pPr>
    <w:rPr>
      <w:rFonts w:eastAsia="楷体_GB2312"/>
      <w:sz w:val="24"/>
    </w:rPr>
  </w:style>
  <w:style w:type="paragraph" w:styleId="6">
    <w:name w:val="Plain Text"/>
    <w:basedOn w:val="1"/>
    <w:link w:val="19"/>
    <w:qFormat/>
    <w:uiPriority w:val="0"/>
    <w:rPr>
      <w:rFonts w:ascii="宋体" w:hAnsi="Courier New"/>
      <w:szCs w:val="21"/>
    </w:rPr>
  </w:style>
  <w:style w:type="paragraph" w:styleId="7">
    <w:name w:val="envelope return"/>
    <w:basedOn w:val="1"/>
    <w:qFormat/>
    <w:uiPriority w:val="99"/>
    <w:rPr>
      <w:rFonts w:ascii="Arial" w:hAnsi="Arial"/>
    </w:rPr>
  </w:style>
  <w:style w:type="paragraph" w:styleId="8">
    <w:name w:val="Body Text First Indent 2"/>
    <w:basedOn w:val="4"/>
    <w:qFormat/>
    <w:uiPriority w:val="0"/>
    <w:pPr>
      <w:ind w:firstLine="420" w:firstLineChars="200"/>
    </w:pPr>
    <w:rPr>
      <w:szCs w:val="24"/>
    </w:rPr>
  </w:style>
  <w:style w:type="table" w:styleId="10">
    <w:name w:val="Table Grid"/>
    <w:basedOn w:val="9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2">
    <w:name w:val="annotation reference"/>
    <w:qFormat/>
    <w:uiPriority w:val="99"/>
    <w:rPr>
      <w:sz w:val="21"/>
      <w:szCs w:val="21"/>
    </w:rPr>
  </w:style>
  <w:style w:type="character" w:customStyle="1" w:styleId="13">
    <w:name w:val="标题 1 Char"/>
    <w:basedOn w:val="11"/>
    <w:link w:val="2"/>
    <w:qFormat/>
    <w:uiPriority w:val="1"/>
    <w:rPr>
      <w:rFonts w:ascii="宋体" w:hAnsi="宋体" w:eastAsia="宋体" w:cs="宋体"/>
      <w:b/>
      <w:bCs/>
      <w:spacing w:val="20"/>
      <w:kern w:val="0"/>
      <w:sz w:val="36"/>
      <w:szCs w:val="36"/>
      <w:lang w:eastAsia="en-US"/>
    </w:rPr>
  </w:style>
  <w:style w:type="paragraph" w:customStyle="1" w:styleId="14">
    <w:name w:val="表格文字"/>
    <w:basedOn w:val="1"/>
    <w:qFormat/>
    <w:uiPriority w:val="0"/>
    <w:pPr>
      <w:spacing w:before="25" w:after="25"/>
      <w:jc w:val="left"/>
    </w:pPr>
    <w:rPr>
      <w:bCs/>
      <w:spacing w:val="10"/>
      <w:kern w:val="0"/>
      <w:sz w:val="24"/>
      <w:szCs w:val="20"/>
    </w:rPr>
  </w:style>
  <w:style w:type="paragraph" w:customStyle="1" w:styleId="15">
    <w:name w:val="列出段落1"/>
    <w:basedOn w:val="1"/>
    <w:qFormat/>
    <w:uiPriority w:val="0"/>
    <w:pPr>
      <w:ind w:firstLine="420" w:firstLineChars="200"/>
    </w:pPr>
  </w:style>
  <w:style w:type="paragraph" w:customStyle="1" w:styleId="16">
    <w:name w:val="列出段落2"/>
    <w:basedOn w:val="1"/>
    <w:qFormat/>
    <w:uiPriority w:val="0"/>
    <w:pPr>
      <w:widowControl/>
      <w:ind w:firstLine="420" w:firstLineChars="200"/>
      <w:jc w:val="left"/>
    </w:pPr>
    <w:rPr>
      <w:kern w:val="0"/>
      <w:sz w:val="20"/>
      <w:szCs w:val="20"/>
    </w:rPr>
  </w:style>
  <w:style w:type="paragraph" w:styleId="17">
    <w:name w:val="List Paragraph"/>
    <w:basedOn w:val="1"/>
    <w:qFormat/>
    <w:uiPriority w:val="34"/>
    <w:pPr>
      <w:ind w:firstLine="420" w:firstLineChars="200"/>
    </w:pPr>
  </w:style>
  <w:style w:type="character" w:customStyle="1" w:styleId="18">
    <w:name w:val="纯文本 Char"/>
    <w:basedOn w:val="11"/>
    <w:link w:val="6"/>
    <w:qFormat/>
    <w:uiPriority w:val="0"/>
    <w:rPr>
      <w:rFonts w:ascii="宋体" w:hAnsi="Courier New" w:eastAsia="宋体" w:cs="Courier New"/>
      <w:kern w:val="2"/>
      <w:sz w:val="21"/>
      <w:szCs w:val="21"/>
    </w:rPr>
  </w:style>
  <w:style w:type="character" w:customStyle="1" w:styleId="19">
    <w:name w:val="纯文本 Char1"/>
    <w:basedOn w:val="11"/>
    <w:link w:val="6"/>
    <w:qFormat/>
    <w:uiPriority w:val="0"/>
    <w:rPr>
      <w:rFonts w:ascii="宋体" w:hAnsi="Courier New" w:eastAsia="宋体" w:cs="Times New Roman"/>
      <w:kern w:val="2"/>
      <w:sz w:val="21"/>
      <w:szCs w:val="21"/>
    </w:rPr>
  </w:style>
  <w:style w:type="paragraph" w:customStyle="1" w:styleId="20">
    <w:name w:val="reader-word-layer reader-word-s33-3"/>
    <w:basedOn w:val="1"/>
    <w:qFormat/>
    <w:uiPriority w:val="0"/>
    <w:pPr>
      <w:spacing w:beforeAutospacing="1" w:afterAutospacing="1"/>
    </w:pPr>
    <w:rPr>
      <w:rFonts w:hint="eastAsia" w:ascii="宋体" w:hAnsi="宋体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256</Words>
  <Characters>1460</Characters>
  <Lines>12</Lines>
  <Paragraphs>3</Paragraphs>
  <TotalTime>0</TotalTime>
  <ScaleCrop>false</ScaleCrop>
  <LinksUpToDate>false</LinksUpToDate>
  <CharactersWithSpaces>1713</CharactersWithSpaces>
  <Application>WPS Office_11.8.2.10158_F1E327BC-269C-435d-A152-05C5408002CA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2022-12-08T15:46:00Z</dcterms:created>
  <dc:creator></dc:creator>
  <cp:lastModifiedBy>Administrator</cp:lastModifiedBy>
  <cp:lastPrinted>2024-06-07T08:58:00Z</cp:lastPrinted>
  <dcterms:modified xsi:type="dcterms:W3CDTF">2026-10-08T09:02:00Z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2052-11.8.2.10158</vt:lpwstr>
  </property>
  <property fmtid="{D5CDD505-2E9C-101B-9397-08002B2CF9AE}" pid="3" name="ICV">
    <vt:lpwstr>8A593B6F211E5C978326BB6A4A50853D_43</vt:lpwstr>
  </property>
</Properties>
</file>