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Lines w:val="0"/>
        <w:pageBreakBefore w:val="0"/>
        <w:widowControl w:val="0"/>
        <w:kinsoku/>
        <w:wordWrap/>
        <w:overflowPunct/>
        <w:topLinePunct/>
        <w:autoSpaceDE w:val="0"/>
        <w:autoSpaceDN w:val="0"/>
        <w:bidi w:val="0"/>
        <w:spacing w:before="0" w:after="0" w:line="360" w:lineRule="auto"/>
        <w:jc w:val="both"/>
        <w:rPr>
          <w:rFonts w:hint="eastAsia" w:ascii="仿宋_GB2312" w:hAnsi="仿宋_GB2312" w:eastAsia="仿宋_GB2312" w:cs="仿宋_GB2312"/>
          <w:b/>
          <w:bCs/>
          <w:kern w:val="36"/>
          <w:sz w:val="32"/>
          <w:szCs w:val="32"/>
          <w:lang w:val="en-US" w:eastAsia="zh-CN" w:bidi="ar-SA"/>
        </w:rPr>
      </w:pPr>
    </w:p>
    <w:p>
      <w:pPr>
        <w:keepLines w:val="0"/>
        <w:pageBreakBefore w:val="0"/>
        <w:widowControl w:val="0"/>
        <w:kinsoku/>
        <w:wordWrap/>
        <w:overflowPunct/>
        <w:topLinePunct/>
        <w:autoSpaceDE w:val="0"/>
        <w:autoSpaceDN w:val="0"/>
        <w:bidi w:val="0"/>
        <w:spacing w:before="0" w:after="0" w:line="360" w:lineRule="auto"/>
        <w:jc w:val="center"/>
        <w:rPr>
          <w:rFonts w:hint="eastAsia" w:ascii="仿宋_GB2312" w:hAnsi="仿宋_GB2312" w:eastAsia="仿宋_GB2312" w:cs="仿宋_GB2312"/>
          <w:b/>
          <w:bCs/>
          <w:kern w:val="36"/>
          <w:sz w:val="32"/>
          <w:szCs w:val="32"/>
          <w:lang w:val="en-US" w:eastAsia="zh-CN" w:bidi="ar-SA"/>
        </w:rPr>
      </w:pPr>
      <w:r>
        <w:rPr>
          <w:rFonts w:hint="eastAsia" w:ascii="仿宋_GB2312" w:hAnsi="仿宋_GB2312" w:eastAsia="仿宋_GB2312" w:cs="仿宋_GB2312"/>
          <w:b/>
          <w:bCs/>
          <w:kern w:val="36"/>
          <w:sz w:val="32"/>
          <w:szCs w:val="32"/>
          <w:lang w:val="en-US" w:eastAsia="zh-CN" w:bidi="ar-SA"/>
        </w:rPr>
        <w:t>广东税务2024年网络和数据安全产品购买项目采购需求</w:t>
      </w:r>
    </w:p>
    <w:p>
      <w:pPr>
        <w:keepLines w:val="0"/>
        <w:pageBreakBefore w:val="0"/>
        <w:widowControl w:val="0"/>
        <w:kinsoku/>
        <w:wordWrap/>
        <w:overflowPunct/>
        <w:topLinePunct/>
        <w:autoSpaceDE w:val="0"/>
        <w:autoSpaceDN w:val="0"/>
        <w:bidi w:val="0"/>
        <w:spacing w:before="0" w:after="0" w:line="360" w:lineRule="auto"/>
        <w:jc w:val="center"/>
        <w:rPr>
          <w:rFonts w:hint="eastAsia" w:ascii="仿宋_GB2312" w:hAnsi="仿宋_GB2312" w:eastAsia="仿宋_GB2312" w:cs="仿宋_GB2312"/>
          <w:b/>
          <w:bCs/>
          <w:kern w:val="36"/>
          <w:sz w:val="32"/>
          <w:szCs w:val="32"/>
          <w:lang w:val="en-US" w:eastAsia="zh-CN" w:bidi="ar-SA"/>
        </w:rPr>
      </w:pPr>
    </w:p>
    <w:p>
      <w:pPr>
        <w:pStyle w:val="2"/>
        <w:keepNext w:val="0"/>
        <w:keepLines w:val="0"/>
        <w:pageBreakBefore w:val="0"/>
        <w:kinsoku/>
        <w:wordWrap/>
        <w:overflowPunct/>
        <w:bidi w:val="0"/>
        <w:spacing w:before="0" w:after="0" w:line="360" w:lineRule="auto"/>
        <w:ind w:left="0" w:leftChars="0" w:firstLine="481" w:firstLineChars="150"/>
        <w:jc w:val="left"/>
        <w:rPr>
          <w:rFonts w:ascii="仿宋_GB2312" w:hAnsi="仿宋_GB2312" w:eastAsia="仿宋_GB2312" w:cs="仿宋_GB2312"/>
          <w:b/>
          <w:bCs/>
          <w:sz w:val="32"/>
          <w:szCs w:val="32"/>
        </w:rPr>
      </w:pPr>
      <w:bookmarkStart w:id="0" w:name="_Toc256000000"/>
      <w:r>
        <w:rPr>
          <w:rFonts w:ascii="仿宋_GB2312" w:hAnsi="仿宋_GB2312" w:eastAsia="仿宋_GB2312" w:cs="仿宋_GB2312"/>
          <w:kern w:val="36"/>
        </w:rPr>
        <w:t>1项目概述</w:t>
      </w:r>
      <w:bookmarkEnd w:id="0"/>
    </w:p>
    <w:p>
      <w:pPr>
        <w:pStyle w:val="3"/>
        <w:keepNext w:val="0"/>
        <w:keepLines w:val="0"/>
        <w:pageBreakBefore w:val="0"/>
        <w:kinsoku/>
        <w:wordWrap/>
        <w:overflowPunct/>
        <w:bidi w:val="0"/>
        <w:spacing w:before="0" w:after="0" w:line="360" w:lineRule="auto"/>
        <w:ind w:left="0" w:leftChars="0" w:firstLine="480" w:firstLineChars="0"/>
        <w:outlineLvl w:val="0"/>
        <w:rPr>
          <w:rFonts w:ascii="仿宋_GB2312" w:hAnsi="仿宋_GB2312" w:eastAsia="仿宋_GB2312" w:cs="仿宋_GB2312"/>
          <w:b/>
          <w:bCs/>
          <w:sz w:val="28"/>
          <w:szCs w:val="28"/>
        </w:rPr>
      </w:pPr>
      <w:bookmarkStart w:id="1" w:name="_Toc256000001"/>
      <w:r>
        <w:rPr>
          <w:rFonts w:ascii="仿宋_GB2312" w:hAnsi="仿宋_GB2312" w:eastAsia="仿宋_GB2312" w:cs="仿宋_GB2312"/>
          <w:i w:val="0"/>
          <w:iCs w:val="0"/>
        </w:rPr>
        <w:t>1.1项目背景</w:t>
      </w:r>
      <w:bookmarkEnd w:id="1"/>
    </w:p>
    <w:p>
      <w:pPr>
        <w:keepLines w:val="0"/>
        <w:pageBreakBefore w:val="0"/>
        <w:kinsoku/>
        <w:wordWrap/>
        <w:overflowPunct/>
        <w:bidi w:val="0"/>
        <w:spacing w:before="0" w:after="0" w:line="360" w:lineRule="auto"/>
        <w:ind w:left="0" w:leftChars="0" w:firstLine="480" w:firstLineChars="0"/>
        <w:rPr>
          <w:rFonts w:ascii="仿宋_GB2312" w:hAnsi="仿宋_GB2312" w:eastAsia="仿宋_GB2312" w:cs="仿宋_GB2312"/>
          <w:b/>
          <w:bCs/>
          <w:i w:val="0"/>
          <w:iCs w:val="0"/>
          <w:sz w:val="28"/>
          <w:szCs w:val="28"/>
          <w:lang w:val="en-US" w:eastAsia="en-US" w:bidi="ar-SA"/>
        </w:rPr>
      </w:pPr>
      <w:bookmarkStart w:id="2" w:name="_Toc256000002"/>
      <w:r>
        <w:rPr>
          <w:rFonts w:ascii="仿宋_GB2312" w:hAnsi="仿宋_GB2312" w:eastAsia="仿宋_GB2312" w:cs="仿宋_GB2312"/>
          <w:b/>
          <w:bCs/>
          <w:i w:val="0"/>
          <w:iCs w:val="0"/>
          <w:sz w:val="28"/>
          <w:szCs w:val="28"/>
          <w:lang w:val="en-US" w:eastAsia="en-US" w:bidi="ar-SA"/>
        </w:rPr>
        <w:t>1.1.1项目目的、意义及背景</w:t>
      </w:r>
      <w:bookmarkEnd w:id="2"/>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随着税收信息化的不断发展，税务数据高度集中并呈指数级增长，具有数据规模大、应用类型多样、涉及个人隐私和敏感信息等特点。国家有关法律法规对数据安全保护提出了具体要求，为贯彻落实《中华人民共和国网络安全法》《中华人民共和国数据安全法》《中华人民共和国个人信息保护法》等法律关于数据安全管理的规定，进一步强化税费数据安全保护，按照“大安全”工作理念，坚持“战建互促”、“攻防并举”、“以实战为导向”，继续推进构建一体化的网络安全保障体系，拟采购相应的网络</w:t>
      </w:r>
      <w:r>
        <w:rPr>
          <w:rFonts w:hint="eastAsia" w:ascii="仿宋_GB2312" w:hAnsi="仿宋_GB2312" w:eastAsia="仿宋_GB2312" w:cs="仿宋_GB2312"/>
          <w:sz w:val="28"/>
          <w:szCs w:val="28"/>
          <w:lang w:eastAsia="zh-CN"/>
        </w:rPr>
        <w:t>和数据</w:t>
      </w:r>
      <w:r>
        <w:rPr>
          <w:rFonts w:hint="eastAsia" w:ascii="仿宋_GB2312" w:hAnsi="仿宋_GB2312" w:eastAsia="仿宋_GB2312" w:cs="仿宋_GB2312"/>
          <w:sz w:val="28"/>
          <w:szCs w:val="28"/>
        </w:rPr>
        <w:t>安全</w:t>
      </w:r>
      <w:r>
        <w:rPr>
          <w:rFonts w:hint="eastAsia" w:ascii="仿宋_GB2312" w:hAnsi="仿宋_GB2312" w:eastAsia="仿宋_GB2312" w:cs="仿宋_GB2312"/>
          <w:sz w:val="28"/>
          <w:szCs w:val="28"/>
          <w:lang w:eastAsia="zh-CN"/>
        </w:rPr>
        <w:t>产品</w:t>
      </w:r>
      <w:r>
        <w:rPr>
          <w:rFonts w:hint="eastAsia" w:ascii="仿宋_GB2312" w:hAnsi="仿宋_GB2312" w:eastAsia="仿宋_GB2312" w:cs="仿宋_GB2312"/>
          <w:sz w:val="28"/>
          <w:szCs w:val="28"/>
        </w:rPr>
        <w:t>。</w:t>
      </w:r>
    </w:p>
    <w:p>
      <w:pPr>
        <w:pStyle w:val="3"/>
        <w:keepNext w:val="0"/>
        <w:keepLines w:val="0"/>
        <w:pageBreakBefore w:val="0"/>
        <w:kinsoku/>
        <w:wordWrap/>
        <w:overflowPunct/>
        <w:bidi w:val="0"/>
        <w:spacing w:before="0" w:after="0" w:line="360" w:lineRule="auto"/>
        <w:ind w:left="0" w:leftChars="0" w:firstLine="480" w:firstLineChars="171"/>
        <w:rPr>
          <w:rFonts w:ascii="仿宋_GB2312" w:hAnsi="仿宋_GB2312" w:eastAsia="仿宋_GB2312" w:cs="仿宋_GB2312"/>
          <w:b/>
          <w:bCs/>
          <w:sz w:val="28"/>
          <w:szCs w:val="28"/>
        </w:rPr>
      </w:pPr>
      <w:bookmarkStart w:id="3" w:name="_Toc256000003"/>
      <w:r>
        <w:rPr>
          <w:rFonts w:ascii="仿宋_GB2312" w:hAnsi="仿宋_GB2312" w:eastAsia="仿宋_GB2312" w:cs="仿宋_GB2312"/>
          <w:i w:val="0"/>
          <w:iCs w:val="0"/>
        </w:rPr>
        <w:t>1.2项目内容</w:t>
      </w:r>
      <w:bookmarkEnd w:id="3"/>
    </w:p>
    <w:p>
      <w:pPr>
        <w:pStyle w:val="4"/>
        <w:keepNext w:val="0"/>
        <w:keepLines w:val="0"/>
        <w:pageBreakBefore w:val="0"/>
        <w:kinsoku/>
        <w:wordWrap/>
        <w:overflowPunct/>
        <w:bidi w:val="0"/>
        <w:spacing w:before="0" w:after="0" w:line="360" w:lineRule="auto"/>
        <w:ind w:left="0" w:leftChars="0" w:firstLine="480" w:firstLineChars="0"/>
        <w:outlineLvl w:val="1"/>
        <w:rPr>
          <w:rFonts w:ascii="FangSong_GB2312" w:hAnsi="FangSong_GB2312" w:eastAsia="FangSong_GB2312" w:cs="FangSong_GB2312"/>
          <w:sz w:val="28"/>
          <w:szCs w:val="28"/>
        </w:rPr>
      </w:pPr>
      <w:bookmarkStart w:id="4" w:name="_Toc256000004"/>
      <w:r>
        <w:rPr>
          <w:rFonts w:ascii="仿宋_GB2312" w:hAnsi="仿宋_GB2312" w:eastAsia="仿宋_GB2312" w:cs="仿宋_GB2312"/>
          <w:b/>
          <w:bCs/>
          <w:i w:val="0"/>
          <w:iCs w:val="0"/>
          <w:sz w:val="28"/>
          <w:szCs w:val="28"/>
          <w:lang w:val="en-US" w:eastAsia="en-US" w:bidi="ar-SA"/>
        </w:rPr>
        <w:t>1.2.1项目建设思路</w:t>
      </w:r>
      <w:bookmarkEnd w:id="4"/>
    </w:p>
    <w:p>
      <w:pPr>
        <w:pStyle w:val="4"/>
        <w:keepNext w:val="0"/>
        <w:keepLines w:val="0"/>
        <w:pageBreakBefore w:val="0"/>
        <w:kinsoku/>
        <w:wordWrap/>
        <w:overflowPunct/>
        <w:bidi w:val="0"/>
        <w:spacing w:before="0" w:after="0" w:line="360" w:lineRule="auto"/>
        <w:ind w:left="0" w:leftChars="0" w:firstLine="480" w:firstLineChars="0"/>
        <w:outlineLvl w:val="1"/>
        <w:rPr>
          <w:rFonts w:ascii="仿宋_GB2312" w:hAnsi="仿宋_GB2312" w:eastAsia="仿宋_GB2312" w:cs="仿宋_GB2312"/>
          <w:b/>
          <w:bCs/>
          <w:sz w:val="28"/>
          <w:szCs w:val="28"/>
        </w:rPr>
      </w:pPr>
      <w:bookmarkStart w:id="5" w:name="_Toc256000005"/>
      <w:r>
        <w:rPr>
          <w:rFonts w:ascii="仿宋_GB2312" w:hAnsi="仿宋_GB2312" w:eastAsia="仿宋_GB2312" w:cs="仿宋_GB2312"/>
          <w:sz w:val="28"/>
          <w:szCs w:val="28"/>
        </w:rPr>
        <w:t>1.2.2采购内容</w:t>
      </w:r>
      <w:bookmarkEnd w:id="5"/>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为推进构建一体化的网络安全保障体系，保障广东税务数据安全，提升网络安全风险抵御能力，确保税收业务稳定运行，按照网络和数据安全建设需要，拟采购新增相应的网络和数据安全产品。</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lang w:val="en-US" w:eastAsia="zh-CN"/>
        </w:rPr>
      </w:pPr>
      <w:bookmarkStart w:id="6" w:name="_Toc256000006"/>
      <w:r>
        <w:rPr>
          <w:rFonts w:hint="eastAsia" w:ascii="仿宋_GB2312" w:hAnsi="仿宋_GB2312" w:eastAsia="仿宋_GB2312" w:cs="仿宋_GB2312"/>
          <w:sz w:val="28"/>
          <w:szCs w:val="28"/>
          <w:lang w:val="en-US" w:eastAsia="zh-CN"/>
        </w:rPr>
        <w:t>（1）新增1套网络安全审计产品</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（2）新增1套数据库安全管理工具</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（3）新增1套静态代码安全检测工具</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（4）新增1套开源组件检测工具</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（5）新增1套主机安全防护系统</w:t>
      </w:r>
    </w:p>
    <w:p>
      <w:pPr>
        <w:pStyle w:val="4"/>
        <w:keepNext w:val="0"/>
        <w:keepLines w:val="0"/>
        <w:pageBreakBefore w:val="0"/>
        <w:kinsoku/>
        <w:wordWrap/>
        <w:overflowPunct/>
        <w:bidi w:val="0"/>
        <w:spacing w:before="0" w:after="0" w:line="360" w:lineRule="auto"/>
        <w:ind w:left="0" w:leftChars="0" w:firstLine="480" w:firstLineChars="0"/>
        <w:outlineLvl w:val="1"/>
        <w:rPr>
          <w:rFonts w:ascii="仿宋_GB2312" w:hAnsi="仿宋_GB2312" w:eastAsia="仿宋_GB2312" w:cs="仿宋_GB2312"/>
          <w:b/>
          <w:bCs/>
          <w:sz w:val="28"/>
          <w:szCs w:val="28"/>
        </w:rPr>
      </w:pPr>
      <w:r>
        <w:rPr>
          <w:rFonts w:ascii="仿宋_GB2312" w:hAnsi="仿宋_GB2312" w:eastAsia="仿宋_GB2312" w:cs="仿宋_GB2312"/>
          <w:sz w:val="28"/>
          <w:szCs w:val="28"/>
        </w:rPr>
        <w:t>1.2.3项目实施要求</w:t>
      </w:r>
      <w:bookmarkEnd w:id="6"/>
    </w:p>
    <w:p>
      <w:pPr>
        <w:pStyle w:val="5"/>
        <w:keepNext w:val="0"/>
        <w:keepLines w:val="0"/>
        <w:pageBreakBefore w:val="0"/>
        <w:kinsoku/>
        <w:wordWrap/>
        <w:overflowPunct/>
        <w:bidi w:val="0"/>
        <w:spacing w:before="0" w:after="0" w:line="360" w:lineRule="auto"/>
        <w:ind w:left="0" w:leftChars="0" w:firstLine="480" w:firstLineChars="0"/>
        <w:outlineLvl w:val="2"/>
        <w:rPr>
          <w:rFonts w:ascii="仿宋_GB2312" w:hAnsi="仿宋_GB2312" w:eastAsia="仿宋_GB2312" w:cs="仿宋_GB2312"/>
          <w:b/>
          <w:bCs/>
          <w:sz w:val="28"/>
          <w:szCs w:val="28"/>
        </w:rPr>
      </w:pPr>
      <w:r>
        <w:rPr>
          <w:rFonts w:ascii="仿宋_GB2312" w:hAnsi="仿宋_GB2312" w:eastAsia="仿宋_GB2312" w:cs="仿宋_GB2312"/>
        </w:rPr>
        <w:t>1.2.3.1实施范围要求</w:t>
      </w:r>
    </w:p>
    <w:p>
      <w:pPr>
        <w:keepLines w:val="0"/>
        <w:pageBreakBefore w:val="0"/>
        <w:kinsoku/>
        <w:wordWrap/>
        <w:overflowPunct/>
        <w:bidi w:val="0"/>
        <w:spacing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针对省局重要信息系统、数据库和主机。</w:t>
      </w:r>
    </w:p>
    <w:p>
      <w:pPr>
        <w:pStyle w:val="5"/>
        <w:keepNext w:val="0"/>
        <w:keepLines w:val="0"/>
        <w:pageBreakBefore w:val="0"/>
        <w:kinsoku/>
        <w:wordWrap/>
        <w:overflowPunct/>
        <w:bidi w:val="0"/>
        <w:spacing w:before="0" w:after="0" w:line="360" w:lineRule="auto"/>
        <w:ind w:firstLine="562" w:firstLineChars="200"/>
        <w:outlineLvl w:val="2"/>
        <w:rPr>
          <w:rFonts w:ascii="仿宋_GB2312" w:hAnsi="仿宋_GB2312" w:eastAsia="仿宋_GB2312" w:cs="仿宋_GB2312"/>
          <w:b/>
          <w:bCs/>
          <w:sz w:val="28"/>
          <w:szCs w:val="28"/>
        </w:rPr>
      </w:pPr>
      <w:r>
        <w:rPr>
          <w:rFonts w:ascii="仿宋_GB2312" w:hAnsi="仿宋_GB2312" w:eastAsia="仿宋_GB2312" w:cs="仿宋_GB2312"/>
        </w:rPr>
        <w:t>1.2.3.2实施时间要求</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中标方需在合同签订之日起20天内完成系统安装部署。</w:t>
      </w:r>
    </w:p>
    <w:p>
      <w:pPr>
        <w:pStyle w:val="5"/>
        <w:keepNext w:val="0"/>
        <w:keepLines w:val="0"/>
        <w:pageBreakBefore w:val="0"/>
        <w:kinsoku/>
        <w:wordWrap/>
        <w:overflowPunct/>
        <w:bidi w:val="0"/>
        <w:spacing w:before="0" w:after="0" w:line="360" w:lineRule="auto"/>
        <w:ind w:firstLine="562" w:firstLineChars="200"/>
        <w:outlineLvl w:val="2"/>
        <w:rPr>
          <w:rFonts w:ascii="仿宋_GB2312" w:hAnsi="仿宋_GB2312" w:eastAsia="仿宋_GB2312" w:cs="仿宋_GB2312"/>
          <w:b/>
          <w:bCs/>
          <w:sz w:val="28"/>
          <w:szCs w:val="28"/>
        </w:rPr>
      </w:pPr>
      <w:r>
        <w:rPr>
          <w:rFonts w:ascii="仿宋_GB2312" w:hAnsi="仿宋_GB2312" w:eastAsia="仿宋_GB2312" w:cs="仿宋_GB2312"/>
        </w:rPr>
        <w:t>1.2.3.3实施地点要求</w:t>
      </w:r>
    </w:p>
    <w:p>
      <w:pPr>
        <w:keepLines w:val="0"/>
        <w:pageBreakBefore w:val="0"/>
        <w:kinsoku/>
        <w:wordWrap/>
        <w:overflowPunct/>
        <w:topLinePunct w:val="0"/>
        <w:autoSpaceDE/>
        <w:autoSpaceDN/>
        <w:bidi w:val="0"/>
        <w:adjustRightInd/>
        <w:snapToGrid/>
        <w:spacing w:before="0" w:after="0" w:line="360" w:lineRule="auto"/>
        <w:ind w:firstLine="560" w:firstLineChars="200"/>
        <w:textAlignment w:val="auto"/>
        <w:rPr>
          <w:rFonts w:ascii="仿宋_GB2312" w:hAnsi="仿宋_GB2312" w:eastAsia="仿宋_GB2312" w:cs="仿宋_GB2312"/>
          <w:sz w:val="28"/>
          <w:szCs w:val="28"/>
        </w:rPr>
      </w:pPr>
      <w:r>
        <w:rPr>
          <w:rFonts w:hint="eastAsia" w:ascii="仿宋_GB2312" w:hAnsi="仿宋_GB2312" w:eastAsia="仿宋_GB2312" w:cs="仿宋_GB2312"/>
          <w:color w:val="auto"/>
          <w:sz w:val="28"/>
          <w:szCs w:val="28"/>
        </w:rPr>
        <w:t>广州市内用户指定地点</w:t>
      </w:r>
      <w:r>
        <w:rPr>
          <w:rFonts w:hint="eastAsia" w:ascii="仿宋_GB2312" w:hAnsi="仿宋_GB2312" w:eastAsia="仿宋_GB2312" w:cs="仿宋_GB2312"/>
          <w:color w:val="auto"/>
          <w:sz w:val="28"/>
          <w:szCs w:val="28"/>
          <w:lang w:eastAsia="zh-CN"/>
        </w:rPr>
        <w:t>和</w:t>
      </w:r>
      <w:r>
        <w:rPr>
          <w:rFonts w:hint="eastAsia" w:ascii="仿宋_GB2312" w:hAnsi="仿宋_GB2312" w:eastAsia="仿宋_GB2312" w:cs="仿宋_GB2312"/>
          <w:color w:val="auto"/>
          <w:sz w:val="28"/>
          <w:szCs w:val="28"/>
        </w:rPr>
        <w:t>广东省佛山市南海区南国桃园南海税务信息处理中心</w:t>
      </w:r>
      <w:r>
        <w:rPr>
          <w:rFonts w:hint="eastAsia" w:ascii="仿宋_GB2312" w:hAnsi="仿宋_GB2312" w:eastAsia="仿宋_GB2312" w:cs="仿宋_GB2312"/>
          <w:b w:val="0"/>
          <w:bCs w:val="0"/>
          <w:shd w:val="clear" w:color="auto" w:fill="FFFFFF"/>
          <w:lang w:eastAsia="zh-CN"/>
        </w:rPr>
        <w:t>。</w:t>
      </w:r>
    </w:p>
    <w:p>
      <w:pPr>
        <w:pStyle w:val="5"/>
        <w:keepNext w:val="0"/>
        <w:keepLines w:val="0"/>
        <w:pageBreakBefore w:val="0"/>
        <w:kinsoku/>
        <w:wordWrap/>
        <w:overflowPunct/>
        <w:bidi w:val="0"/>
        <w:spacing w:before="0" w:after="0" w:line="360" w:lineRule="auto"/>
        <w:ind w:firstLine="562" w:firstLineChars="200"/>
        <w:outlineLvl w:val="2"/>
        <w:rPr>
          <w:rFonts w:hint="eastAsia" w:ascii="仿宋_GB2312" w:hAnsi="仿宋_GB2312" w:eastAsia="仿宋_GB2312" w:cs="仿宋_GB2312"/>
          <w:color w:val="FF0000"/>
          <w:lang w:eastAsia="zh-CN"/>
        </w:rPr>
      </w:pPr>
      <w:bookmarkStart w:id="7" w:name="_Toc256000007"/>
      <w:r>
        <w:rPr>
          <w:rFonts w:ascii="仿宋_GB2312" w:hAnsi="仿宋_GB2312" w:eastAsia="仿宋_GB2312" w:cs="仿宋_GB2312"/>
        </w:rPr>
        <w:t>1.3其他要求</w:t>
      </w:r>
      <w:bookmarkEnd w:id="7"/>
    </w:p>
    <w:p>
      <w:pPr>
        <w:pStyle w:val="4"/>
        <w:keepNext w:val="0"/>
        <w:keepLines w:val="0"/>
        <w:pageBreakBefore w:val="0"/>
        <w:kinsoku/>
        <w:wordWrap/>
        <w:overflowPunct/>
        <w:bidi w:val="0"/>
        <w:spacing w:before="0" w:after="0" w:line="360" w:lineRule="auto"/>
        <w:ind w:firstLine="562" w:firstLineChars="200"/>
        <w:rPr>
          <w:rFonts w:ascii="仿宋_GB2312" w:hAnsi="仿宋_GB2312" w:eastAsia="仿宋_GB2312" w:cs="仿宋_GB2312"/>
          <w:sz w:val="28"/>
          <w:szCs w:val="28"/>
        </w:rPr>
      </w:pPr>
      <w:bookmarkStart w:id="8" w:name="_Toc256000008"/>
      <w:r>
        <w:rPr>
          <w:rFonts w:ascii="仿宋_GB2312" w:hAnsi="仿宋_GB2312" w:eastAsia="仿宋_GB2312" w:cs="仿宋_GB2312"/>
          <w:sz w:val="28"/>
          <w:szCs w:val="28"/>
        </w:rPr>
        <w:t>1.3.1采购标的需执行的相关标准规范</w:t>
      </w:r>
      <w:bookmarkEnd w:id="8"/>
    </w:p>
    <w:p>
      <w:pPr>
        <w:keepLines w:val="0"/>
        <w:pageBreakBefore w:val="0"/>
        <w:kinsoku/>
        <w:wordWrap/>
        <w:overflowPunct/>
        <w:topLinePunct w:val="0"/>
        <w:autoSpaceDE/>
        <w:autoSpaceDN/>
        <w:bidi w:val="0"/>
        <w:adjustRightInd/>
        <w:snapToGrid/>
        <w:spacing w:before="0" w:after="0" w:line="360" w:lineRule="auto"/>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★投标人所投</w:t>
      </w:r>
      <w:r>
        <w:rPr>
          <w:rFonts w:hint="eastAsia" w:ascii="仿宋_GB2312" w:hAnsi="仿宋_GB2312" w:eastAsia="仿宋_GB2312" w:cs="仿宋_GB2312"/>
          <w:color w:val="auto"/>
          <w:sz w:val="28"/>
          <w:szCs w:val="28"/>
          <w:lang w:val="en-US" w:eastAsia="zh-CN"/>
        </w:rPr>
        <w:t>API接口监控产品</w:t>
      </w:r>
      <w:r>
        <w:rPr>
          <w:rFonts w:hint="eastAsia" w:ascii="仿宋_GB2312" w:hAnsi="仿宋_GB2312" w:eastAsia="仿宋_GB2312" w:cs="仿宋_GB2312"/>
          <w:color w:val="auto"/>
          <w:sz w:val="28"/>
          <w:szCs w:val="28"/>
        </w:rPr>
        <w:t>及主机安全防护系统</w:t>
      </w:r>
      <w:r>
        <w:rPr>
          <w:rFonts w:hint="eastAsia" w:ascii="仿宋_GB2312" w:hAnsi="仿宋_GB2312" w:eastAsia="仿宋_GB2312" w:cs="仿宋_GB2312"/>
          <w:color w:val="auto"/>
          <w:sz w:val="28"/>
          <w:szCs w:val="28"/>
          <w:lang w:eastAsia="zh-CN"/>
        </w:rPr>
        <w:t>须</w:t>
      </w:r>
      <w:r>
        <w:rPr>
          <w:rFonts w:hint="eastAsia" w:ascii="仿宋_GB2312" w:hAnsi="仿宋_GB2312" w:eastAsia="仿宋_GB2312" w:cs="仿宋_GB2312"/>
          <w:color w:val="auto"/>
          <w:sz w:val="28"/>
          <w:szCs w:val="28"/>
        </w:rPr>
        <w:t>符合网络安全专用产品安全管理相关规定，提供以下任意一种材料：</w:t>
      </w:r>
    </w:p>
    <w:p>
      <w:pPr>
        <w:keepLines w:val="0"/>
        <w:pageBreakBefore w:val="0"/>
        <w:kinsoku/>
        <w:wordWrap/>
        <w:overflowPunct/>
        <w:topLinePunct w:val="0"/>
        <w:autoSpaceDE/>
        <w:autoSpaceDN/>
        <w:bidi w:val="0"/>
        <w:adjustRightInd/>
        <w:snapToGrid/>
        <w:spacing w:before="0" w:after="0" w:line="360" w:lineRule="auto"/>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1.有效期内的公安部监制的《计算机信息系统安全专用产品销售许可证》复印件，加盖投标人公章。</w:t>
      </w:r>
    </w:p>
    <w:p>
      <w:pPr>
        <w:keepLines w:val="0"/>
        <w:pageBreakBefore w:val="0"/>
        <w:kinsoku/>
        <w:wordWrap/>
        <w:overflowPunct/>
        <w:topLinePunct w:val="0"/>
        <w:autoSpaceDE/>
        <w:autoSpaceDN/>
        <w:bidi w:val="0"/>
        <w:adjustRightInd/>
        <w:snapToGrid/>
        <w:spacing w:before="0" w:after="0" w:line="360" w:lineRule="auto"/>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2.提供符合《信息安全技术 网络安全专用产品安全技术要求》等相关国家标准的强制性要求的机构安全认证或者安全检测证明材料。</w:t>
      </w:r>
    </w:p>
    <w:p>
      <w:pPr>
        <w:pStyle w:val="2"/>
        <w:keepNext w:val="0"/>
        <w:keepLines w:val="0"/>
        <w:pageBreakBefore w:val="0"/>
        <w:kinsoku/>
        <w:wordWrap/>
        <w:overflowPunct/>
        <w:bidi w:val="0"/>
        <w:spacing w:before="0" w:after="0" w:line="360" w:lineRule="auto"/>
        <w:ind w:left="0" w:leftChars="0" w:firstLine="481" w:firstLineChars="150"/>
        <w:jc w:val="left"/>
        <w:rPr>
          <w:rFonts w:ascii="仿宋_GB2312" w:hAnsi="仿宋_GB2312" w:eastAsia="仿宋_GB2312" w:cs="仿宋_GB2312"/>
          <w:b/>
          <w:bCs/>
          <w:sz w:val="32"/>
          <w:szCs w:val="32"/>
        </w:rPr>
      </w:pPr>
      <w:bookmarkStart w:id="9" w:name="_Toc256000009"/>
      <w:r>
        <w:rPr>
          <w:rFonts w:ascii="仿宋_GB2312" w:hAnsi="仿宋_GB2312" w:eastAsia="仿宋_GB2312" w:cs="仿宋_GB2312"/>
          <w:kern w:val="36"/>
        </w:rPr>
        <w:t>2投标/响应要求</w:t>
      </w:r>
      <w:bookmarkEnd w:id="9"/>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bookmarkStart w:id="10" w:name="_Toc256000010"/>
      <w:r>
        <w:rPr>
          <w:rFonts w:ascii="仿宋_GB2312" w:hAnsi="仿宋_GB2312" w:eastAsia="仿宋_GB2312" w:cs="仿宋_GB2312"/>
          <w:i w:val="0"/>
          <w:iCs w:val="0"/>
        </w:rPr>
        <w:t>2.1对供应商的要求</w:t>
      </w:r>
      <w:bookmarkEnd w:id="10"/>
    </w:p>
    <w:p>
      <w:pPr>
        <w:pStyle w:val="4"/>
        <w:keepNext w:val="0"/>
        <w:keepLines w:val="0"/>
        <w:pageBreakBefore w:val="0"/>
        <w:kinsoku/>
        <w:wordWrap/>
        <w:overflowPunct/>
        <w:bidi w:val="0"/>
        <w:spacing w:before="0" w:after="0" w:line="360" w:lineRule="auto"/>
        <w:ind w:firstLine="562" w:firstLineChars="200"/>
        <w:outlineLvl w:val="1"/>
        <w:rPr>
          <w:rFonts w:ascii="仿宋_GB2312" w:hAnsi="仿宋_GB2312" w:eastAsia="仿宋_GB2312" w:cs="仿宋_GB2312"/>
          <w:b/>
          <w:bCs/>
          <w:sz w:val="28"/>
          <w:szCs w:val="28"/>
        </w:rPr>
      </w:pPr>
      <w:bookmarkStart w:id="11" w:name="_Toc256000011"/>
      <w:r>
        <w:rPr>
          <w:rFonts w:ascii="仿宋_GB2312" w:hAnsi="仿宋_GB2312" w:eastAsia="仿宋_GB2312" w:cs="仿宋_GB2312"/>
          <w:sz w:val="28"/>
          <w:szCs w:val="28"/>
        </w:rPr>
        <w:t>2.1.1必备资质</w:t>
      </w:r>
      <w:bookmarkEnd w:id="11"/>
    </w:p>
    <w:p>
      <w:pPr>
        <w:pStyle w:val="5"/>
        <w:keepNext w:val="0"/>
        <w:keepLines w:val="0"/>
        <w:pageBreakBefore w:val="0"/>
        <w:kinsoku/>
        <w:wordWrap/>
        <w:overflowPunct/>
        <w:bidi w:val="0"/>
        <w:spacing w:before="0" w:after="0" w:line="360" w:lineRule="auto"/>
        <w:ind w:firstLine="562" w:firstLineChars="200"/>
        <w:rPr>
          <w:rFonts w:ascii="仿宋_GB2312" w:hAnsi="仿宋_GB2312" w:eastAsia="仿宋_GB2312" w:cs="仿宋_GB2312"/>
          <w:b/>
          <w:bCs/>
          <w:sz w:val="28"/>
          <w:szCs w:val="28"/>
        </w:rPr>
      </w:pPr>
      <w:r>
        <w:rPr>
          <w:rFonts w:ascii="仿宋_GB2312" w:hAnsi="仿宋_GB2312" w:eastAsia="仿宋_GB2312" w:cs="仿宋_GB2312"/>
        </w:rPr>
        <w:t>2.1.1.1投标人应遵守有关国家法律、法规和条例,具备《中华人民共和国政府采购法》第二十二条的规定和本文件中规定的条件。</w:t>
      </w:r>
    </w:p>
    <w:p>
      <w:pPr>
        <w:pStyle w:val="4"/>
        <w:keepNext w:val="0"/>
        <w:keepLines w:val="0"/>
        <w:pageBreakBefore w:val="0"/>
        <w:kinsoku/>
        <w:wordWrap/>
        <w:overflowPunct/>
        <w:bidi w:val="0"/>
        <w:spacing w:before="0" w:after="0" w:line="360" w:lineRule="auto"/>
        <w:ind w:firstLine="562" w:firstLineChars="200"/>
        <w:outlineLvl w:val="1"/>
        <w:rPr>
          <w:rFonts w:ascii="仿宋_GB2312" w:hAnsi="仿宋_GB2312" w:eastAsia="仿宋_GB2312" w:cs="仿宋_GB2312"/>
          <w:b/>
          <w:bCs/>
          <w:sz w:val="28"/>
          <w:szCs w:val="28"/>
        </w:rPr>
      </w:pPr>
      <w:bookmarkStart w:id="12" w:name="_Toc256000012"/>
      <w:r>
        <w:rPr>
          <w:rFonts w:ascii="仿宋_GB2312" w:hAnsi="仿宋_GB2312" w:eastAsia="仿宋_GB2312" w:cs="仿宋_GB2312"/>
          <w:sz w:val="28"/>
          <w:szCs w:val="28"/>
        </w:rPr>
        <w:t>2.1.2优选资质/优选指标</w:t>
      </w:r>
      <w:bookmarkEnd w:id="12"/>
    </w:p>
    <w:p>
      <w:pPr>
        <w:pStyle w:val="5"/>
        <w:keepNext w:val="0"/>
        <w:keepLines w:val="0"/>
        <w:pageBreakBefore w:val="0"/>
        <w:kinsoku/>
        <w:wordWrap/>
        <w:overflowPunct/>
        <w:bidi w:val="0"/>
        <w:spacing w:before="0" w:after="0" w:line="360" w:lineRule="auto"/>
        <w:ind w:firstLine="562" w:firstLineChars="200"/>
        <w:outlineLvl w:val="2"/>
        <w:rPr>
          <w:rFonts w:ascii="仿宋_GB2312" w:hAnsi="仿宋_GB2312" w:eastAsia="仿宋_GB2312" w:cs="仿宋_GB2312"/>
          <w:b/>
          <w:bCs/>
          <w:sz w:val="28"/>
          <w:szCs w:val="28"/>
        </w:rPr>
      </w:pPr>
      <w:r>
        <w:rPr>
          <w:rFonts w:ascii="仿宋_GB2312" w:hAnsi="仿宋_GB2312" w:eastAsia="仿宋_GB2312" w:cs="仿宋_GB2312"/>
        </w:rPr>
        <w:t>2.1.2.1成功案例</w:t>
      </w:r>
    </w:p>
    <w:p>
      <w:pPr>
        <w:keepLines w:val="0"/>
        <w:pageBreakBefore w:val="0"/>
        <w:kinsoku/>
        <w:wordWrap/>
        <w:overflowPunct/>
        <w:topLinePunct w:val="0"/>
        <w:autoSpaceDE/>
        <w:autoSpaceDN/>
        <w:bidi w:val="0"/>
        <w:adjustRightInd/>
        <w:snapToGrid/>
        <w:spacing w:before="0" w:after="0" w:line="360" w:lineRule="auto"/>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有效案例为</w:t>
      </w:r>
      <w:r>
        <w:rPr>
          <w:rFonts w:hint="eastAsia" w:ascii="仿宋_GB2312" w:hAnsi="仿宋_GB2312" w:eastAsia="仿宋_GB2312" w:cs="仿宋_GB2312"/>
          <w:color w:val="auto"/>
          <w:sz w:val="28"/>
          <w:szCs w:val="28"/>
          <w:lang w:val="en-US" w:eastAsia="zh-CN"/>
        </w:rPr>
        <w:t>2021</w:t>
      </w:r>
      <w:r>
        <w:rPr>
          <w:rFonts w:hint="eastAsia" w:ascii="仿宋_GB2312" w:hAnsi="仿宋_GB2312" w:eastAsia="仿宋_GB2312" w:cs="仿宋_GB2312"/>
          <w:color w:val="auto"/>
          <w:sz w:val="28"/>
          <w:szCs w:val="28"/>
        </w:rPr>
        <w:t>年</w:t>
      </w:r>
      <w:r>
        <w:rPr>
          <w:rFonts w:hint="eastAsia" w:ascii="仿宋_GB2312" w:hAnsi="仿宋_GB2312" w:eastAsia="仿宋_GB2312" w:cs="仿宋_GB2312"/>
          <w:color w:val="auto"/>
          <w:sz w:val="28"/>
          <w:szCs w:val="28"/>
          <w:lang w:val="en-US" w:eastAsia="zh-CN"/>
        </w:rPr>
        <w:t>1</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lang w:val="en-US" w:eastAsia="zh-CN"/>
        </w:rPr>
        <w:t>1</w:t>
      </w:r>
      <w:r>
        <w:rPr>
          <w:rFonts w:hint="eastAsia" w:ascii="仿宋_GB2312" w:hAnsi="仿宋_GB2312" w:eastAsia="仿宋_GB2312" w:cs="仿宋_GB2312"/>
          <w:color w:val="auto"/>
          <w:sz w:val="28"/>
          <w:szCs w:val="28"/>
        </w:rPr>
        <w:t>日以来（以合同签订日期为准）,供应商独立承担的安全设备</w:t>
      </w:r>
      <w:r>
        <w:rPr>
          <w:rFonts w:hint="eastAsia" w:ascii="仿宋_GB2312" w:hAnsi="仿宋_GB2312" w:eastAsia="仿宋_GB2312" w:cs="仿宋_GB2312"/>
          <w:color w:val="auto"/>
          <w:sz w:val="28"/>
          <w:szCs w:val="28"/>
          <w:lang w:eastAsia="zh-CN"/>
        </w:rPr>
        <w:t>或安全产品</w:t>
      </w:r>
      <w:r>
        <w:rPr>
          <w:rFonts w:hint="eastAsia" w:ascii="仿宋_GB2312" w:hAnsi="仿宋_GB2312" w:eastAsia="仿宋_GB2312" w:cs="仿宋_GB2312"/>
          <w:color w:val="auto"/>
          <w:sz w:val="28"/>
          <w:szCs w:val="28"/>
        </w:rPr>
        <w:t>集成项目案例。</w:t>
      </w:r>
    </w:p>
    <w:p>
      <w:pPr>
        <w:pStyle w:val="4"/>
        <w:keepNext w:val="0"/>
        <w:keepLines w:val="0"/>
        <w:pageBreakBefore w:val="0"/>
        <w:kinsoku/>
        <w:wordWrap/>
        <w:overflowPunct/>
        <w:bidi w:val="0"/>
        <w:spacing w:before="0" w:after="0" w:line="360" w:lineRule="auto"/>
        <w:ind w:firstLine="562" w:firstLineChars="200"/>
        <w:outlineLvl w:val="1"/>
        <w:rPr>
          <w:rFonts w:ascii="仿宋_GB2312" w:hAnsi="仿宋_GB2312" w:eastAsia="仿宋_GB2312" w:cs="仿宋_GB2312"/>
          <w:b/>
          <w:bCs/>
          <w:sz w:val="28"/>
          <w:szCs w:val="28"/>
        </w:rPr>
      </w:pPr>
      <w:bookmarkStart w:id="13" w:name="_Toc256000013"/>
      <w:r>
        <w:rPr>
          <w:rFonts w:ascii="仿宋_GB2312" w:hAnsi="仿宋_GB2312" w:eastAsia="仿宋_GB2312" w:cs="仿宋_GB2312"/>
          <w:sz w:val="28"/>
          <w:szCs w:val="28"/>
        </w:rPr>
        <w:t>2.1.3是否允许联合体</w:t>
      </w:r>
      <w:bookmarkEnd w:id="13"/>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本项目不允许联合体投标。</w:t>
      </w:r>
    </w:p>
    <w:p>
      <w:pPr>
        <w:pStyle w:val="4"/>
        <w:keepNext w:val="0"/>
        <w:keepLines w:val="0"/>
        <w:pageBreakBefore w:val="0"/>
        <w:kinsoku/>
        <w:wordWrap/>
        <w:overflowPunct/>
        <w:bidi w:val="0"/>
        <w:spacing w:before="0" w:after="0" w:line="360" w:lineRule="auto"/>
        <w:ind w:firstLine="562" w:firstLineChars="200"/>
        <w:outlineLvl w:val="1"/>
        <w:rPr>
          <w:rFonts w:ascii="仿宋_GB2312" w:hAnsi="仿宋_GB2312" w:eastAsia="仿宋_GB2312" w:cs="仿宋_GB2312"/>
          <w:b/>
          <w:bCs/>
          <w:sz w:val="28"/>
          <w:szCs w:val="28"/>
        </w:rPr>
      </w:pPr>
      <w:bookmarkStart w:id="14" w:name="_Toc256000014"/>
      <w:r>
        <w:rPr>
          <w:rFonts w:ascii="仿宋_GB2312" w:hAnsi="仿宋_GB2312" w:eastAsia="仿宋_GB2312" w:cs="仿宋_GB2312"/>
          <w:sz w:val="28"/>
          <w:szCs w:val="28"/>
        </w:rPr>
        <w:t>2.1.4是否专门面向中小企业</w:t>
      </w:r>
      <w:bookmarkEnd w:id="14"/>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ascii="仿宋_GB2312" w:hAnsi="仿宋_GB2312" w:eastAsia="仿宋_GB2312" w:cs="仿宋_GB2312"/>
          <w:sz w:val="28"/>
          <w:szCs w:val="28"/>
        </w:rPr>
        <w:t>本项目</w:t>
      </w:r>
      <w:r>
        <w:rPr>
          <w:rFonts w:hint="eastAsia" w:ascii="仿宋_GB2312" w:hAnsi="仿宋_GB2312" w:eastAsia="仿宋_GB2312" w:cs="仿宋_GB2312"/>
          <w:sz w:val="28"/>
          <w:szCs w:val="28"/>
          <w:lang w:eastAsia="zh-CN"/>
        </w:rPr>
        <w:t>不</w:t>
      </w:r>
      <w:r>
        <w:rPr>
          <w:rFonts w:ascii="仿宋_GB2312" w:hAnsi="仿宋_GB2312" w:eastAsia="仿宋_GB2312" w:cs="仿宋_GB2312"/>
          <w:sz w:val="28"/>
          <w:szCs w:val="28"/>
        </w:rPr>
        <w:t>专门面向中小企业采购</w:t>
      </w:r>
      <w:r>
        <w:rPr>
          <w:rFonts w:hint="eastAsia" w:ascii="仿宋_GB2312" w:hAnsi="仿宋_GB2312" w:eastAsia="仿宋_GB2312" w:cs="仿宋_GB2312"/>
          <w:sz w:val="28"/>
          <w:szCs w:val="28"/>
          <w:lang w:eastAsia="zh-CN"/>
        </w:rPr>
        <w:t>。</w:t>
      </w:r>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bookmarkStart w:id="15" w:name="_Toc256000016"/>
      <w:r>
        <w:rPr>
          <w:rFonts w:ascii="仿宋_GB2312" w:hAnsi="仿宋_GB2312" w:eastAsia="仿宋_GB2312" w:cs="仿宋_GB2312"/>
          <w:i w:val="0"/>
          <w:iCs w:val="0"/>
        </w:rPr>
        <w:t>2.2技术部分投标/响应内容</w:t>
      </w:r>
      <w:bookmarkEnd w:id="15"/>
    </w:p>
    <w:p>
      <w:pPr>
        <w:pStyle w:val="4"/>
        <w:keepNext w:val="0"/>
        <w:keepLines w:val="0"/>
        <w:pageBreakBefore w:val="0"/>
        <w:kinsoku/>
        <w:wordWrap/>
        <w:overflowPunct/>
        <w:bidi w:val="0"/>
        <w:spacing w:before="0" w:after="0" w:line="360" w:lineRule="auto"/>
        <w:ind w:firstLine="562" w:firstLineChars="200"/>
        <w:outlineLvl w:val="1"/>
        <w:rPr>
          <w:rFonts w:ascii="仿宋_GB2312" w:hAnsi="仿宋_GB2312" w:eastAsia="仿宋_GB2312" w:cs="仿宋_GB2312"/>
          <w:b/>
          <w:bCs/>
          <w:sz w:val="28"/>
          <w:szCs w:val="28"/>
        </w:rPr>
      </w:pPr>
      <w:bookmarkStart w:id="16" w:name="_Toc256000017"/>
      <w:r>
        <w:rPr>
          <w:rFonts w:ascii="仿宋_GB2312" w:hAnsi="仿宋_GB2312" w:eastAsia="仿宋_GB2312" w:cs="仿宋_GB2312"/>
          <w:sz w:val="28"/>
          <w:szCs w:val="28"/>
        </w:rPr>
        <w:t>2.2.1</w:t>
      </w:r>
      <w:bookmarkEnd w:id="16"/>
      <w:bookmarkStart w:id="17" w:name="_Toc256000018"/>
      <w:r>
        <w:rPr>
          <w:rFonts w:ascii="仿宋_GB2312" w:hAnsi="仿宋_GB2312" w:eastAsia="仿宋_GB2312" w:cs="仿宋_GB2312"/>
          <w:sz w:val="28"/>
          <w:szCs w:val="28"/>
        </w:rPr>
        <w:t>投标/响应方案要求</w:t>
      </w:r>
      <w:bookmarkEnd w:id="17"/>
    </w:p>
    <w:p>
      <w:pPr>
        <w:keepLines w:val="0"/>
        <w:pageBreakBefore w:val="0"/>
        <w:kinsoku/>
        <w:wordWrap/>
        <w:overflowPunct/>
        <w:bidi w:val="0"/>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以下相关方案，若作为评审因素，则投标人应在满足★关键指标项要求的前提下，根据项目特点和采购需求，制定更为完整、详细、可操作性强的方案。</w:t>
      </w:r>
    </w:p>
    <w:p>
      <w:pPr>
        <w:keepLines w:val="0"/>
        <w:pageBreakBefore w:val="0"/>
        <w:kinsoku/>
        <w:wordWrap/>
        <w:overflowPunct/>
        <w:bidi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1.投标人应提供</w:t>
      </w:r>
      <w:r>
        <w:rPr>
          <w:rFonts w:hint="eastAsia" w:ascii="仿宋" w:hAnsi="仿宋" w:eastAsia="仿宋" w:cs="仿宋"/>
          <w:sz w:val="28"/>
          <w:szCs w:val="28"/>
          <w:lang w:eastAsia="zh-CN"/>
        </w:rPr>
        <w:t>所投产品</w:t>
      </w:r>
      <w:r>
        <w:rPr>
          <w:rFonts w:hint="eastAsia" w:ascii="仿宋" w:hAnsi="仿宋" w:eastAsia="仿宋" w:cs="仿宋"/>
          <w:sz w:val="28"/>
          <w:szCs w:val="28"/>
        </w:rPr>
        <w:t>的技术架构</w:t>
      </w:r>
      <w:r>
        <w:rPr>
          <w:rFonts w:hint="eastAsia" w:ascii="仿宋" w:hAnsi="仿宋" w:eastAsia="仿宋" w:cs="仿宋"/>
          <w:sz w:val="28"/>
          <w:szCs w:val="28"/>
          <w:lang w:eastAsia="zh-CN"/>
        </w:rPr>
        <w:t>、产品功能及性能说明</w:t>
      </w:r>
      <w:r>
        <w:rPr>
          <w:rFonts w:hint="eastAsia" w:ascii="仿宋" w:hAnsi="仿宋" w:eastAsia="仿宋" w:cs="仿宋"/>
          <w:sz w:val="28"/>
          <w:szCs w:val="28"/>
        </w:rPr>
        <w:t>，阐述系统工作原理</w:t>
      </w:r>
      <w:r>
        <w:rPr>
          <w:rFonts w:hint="eastAsia" w:ascii="仿宋" w:hAnsi="仿宋" w:eastAsia="仿宋" w:cs="仿宋"/>
          <w:sz w:val="28"/>
          <w:szCs w:val="28"/>
          <w:lang w:eastAsia="zh-CN"/>
        </w:rPr>
        <w:t>，并根据需求和技术要求提交项目技术实施方案、培训方案和售后服务方案</w:t>
      </w:r>
      <w:r>
        <w:rPr>
          <w:rFonts w:hint="eastAsia" w:ascii="仿宋" w:hAnsi="仿宋" w:eastAsia="仿宋" w:cs="仿宋"/>
          <w:sz w:val="28"/>
          <w:szCs w:val="28"/>
        </w:rPr>
        <w:t>。投标人提供的</w:t>
      </w:r>
      <w:r>
        <w:rPr>
          <w:rFonts w:hint="eastAsia" w:ascii="仿宋" w:hAnsi="仿宋" w:eastAsia="仿宋" w:cs="仿宋"/>
          <w:sz w:val="28"/>
          <w:szCs w:val="28"/>
          <w:lang w:eastAsia="zh-CN"/>
        </w:rPr>
        <w:t>产品</w:t>
      </w:r>
      <w:r>
        <w:rPr>
          <w:rFonts w:hint="eastAsia" w:ascii="仿宋" w:hAnsi="仿宋" w:eastAsia="仿宋" w:cs="仿宋"/>
          <w:sz w:val="28"/>
          <w:szCs w:val="28"/>
        </w:rPr>
        <w:t>应完全符合采购人指明的标准，并满足或高于采购人的要求。</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rPr>
      </w:pPr>
      <w:r>
        <w:rPr>
          <w:rFonts w:hint="eastAsia" w:ascii="仿宋" w:hAnsi="仿宋" w:eastAsia="仿宋" w:cs="仿宋"/>
          <w:sz w:val="28"/>
          <w:szCs w:val="28"/>
        </w:rPr>
        <w:t>2.投标人在其技术</w:t>
      </w:r>
      <w:r>
        <w:rPr>
          <w:rFonts w:hint="eastAsia" w:ascii="仿宋" w:hAnsi="仿宋" w:eastAsia="仿宋" w:cs="仿宋"/>
          <w:sz w:val="28"/>
          <w:szCs w:val="28"/>
          <w:lang w:eastAsia="zh-CN"/>
        </w:rPr>
        <w:t>实施方案</w:t>
      </w:r>
      <w:r>
        <w:rPr>
          <w:rFonts w:hint="eastAsia" w:ascii="仿宋" w:hAnsi="仿宋" w:eastAsia="仿宋" w:cs="仿宋"/>
          <w:sz w:val="28"/>
          <w:szCs w:val="28"/>
        </w:rPr>
        <w:t>中，对需求中所提各项要求能否实现与满足，应逐项诚实地予以说明和答复。对</w:t>
      </w:r>
      <w:r>
        <w:rPr>
          <w:rFonts w:hint="eastAsia" w:ascii="仿宋" w:hAnsi="仿宋" w:eastAsia="仿宋" w:cs="仿宋"/>
          <w:sz w:val="28"/>
          <w:szCs w:val="28"/>
          <w:lang w:eastAsia="zh-CN"/>
        </w:rPr>
        <w:t>方案</w:t>
      </w:r>
      <w:r>
        <w:rPr>
          <w:rFonts w:hint="eastAsia" w:ascii="仿宋" w:hAnsi="仿宋" w:eastAsia="仿宋" w:cs="仿宋"/>
          <w:sz w:val="28"/>
          <w:szCs w:val="28"/>
        </w:rPr>
        <w:t>中某项回答过于简单或未作明确答复的，将视为不能满足该项要求。</w:t>
      </w:r>
    </w:p>
    <w:p>
      <w:pPr>
        <w:pStyle w:val="2"/>
        <w:keepNext w:val="0"/>
        <w:keepLines w:val="0"/>
        <w:pageBreakBefore w:val="0"/>
        <w:kinsoku/>
        <w:wordWrap/>
        <w:overflowPunct/>
        <w:bidi w:val="0"/>
        <w:spacing w:before="0" w:after="0" w:line="360" w:lineRule="auto"/>
        <w:ind w:left="0" w:leftChars="0" w:firstLine="481" w:firstLineChars="150"/>
        <w:jc w:val="left"/>
        <w:rPr>
          <w:rFonts w:ascii="仿宋_GB2312" w:hAnsi="仿宋_GB2312" w:eastAsia="仿宋_GB2312" w:cs="仿宋_GB2312"/>
          <w:b/>
          <w:bCs/>
          <w:sz w:val="32"/>
          <w:szCs w:val="32"/>
        </w:rPr>
      </w:pPr>
      <w:bookmarkStart w:id="18" w:name="_Toc256000019"/>
      <w:r>
        <w:rPr>
          <w:rFonts w:ascii="仿宋_GB2312" w:hAnsi="仿宋_GB2312" w:eastAsia="仿宋_GB2312" w:cs="仿宋_GB2312"/>
          <w:kern w:val="36"/>
        </w:rPr>
        <w:t>3项目需求</w:t>
      </w:r>
      <w:bookmarkEnd w:id="18"/>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bookmarkStart w:id="19" w:name="_Toc256000020"/>
      <w:r>
        <w:rPr>
          <w:rFonts w:ascii="仿宋_GB2312" w:hAnsi="仿宋_GB2312" w:eastAsia="仿宋_GB2312" w:cs="仿宋_GB2312"/>
          <w:i w:val="0"/>
          <w:iCs w:val="0"/>
        </w:rPr>
        <w:t>3.1总体要求</w:t>
      </w:r>
      <w:bookmarkEnd w:id="19"/>
    </w:p>
    <w:p>
      <w:pPr>
        <w:keepLines w:val="0"/>
        <w:pageBreakBefore w:val="0"/>
        <w:kinsoku/>
        <w:wordWrap/>
        <w:overflowPunct/>
        <w:bidi w:val="0"/>
        <w:spacing w:before="0" w:after="0"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highlight w:val="none"/>
          <w:lang w:val="en-US" w:eastAsia="zh-CN"/>
        </w:rPr>
        <w:t>采购符合国家规定的、满足业务需要的安全产品，包括</w:t>
      </w:r>
      <w:r>
        <w:rPr>
          <w:rFonts w:hint="eastAsia" w:ascii="仿宋_GB2312" w:hAnsi="仿宋_GB2312" w:eastAsia="仿宋_GB2312" w:cs="仿宋_GB2312"/>
          <w:color w:val="000000"/>
          <w:spacing w:val="5"/>
          <w:kern w:val="0"/>
          <w:sz w:val="28"/>
          <w:szCs w:val="28"/>
          <w:shd w:val="clear" w:color="auto" w:fill="FFFFFF"/>
          <w:lang w:val="en-US" w:eastAsia="zh-CN"/>
        </w:rPr>
        <w:t>1套API接口监控产品、1套数据库安全管理工具、1套代码审计安全产品、1套第三方组件管理产品和1套主机安全防护系统</w:t>
      </w:r>
      <w:r>
        <w:rPr>
          <w:rFonts w:hint="eastAsia" w:ascii="仿宋_GB2312" w:hAnsi="仿宋_GB2312" w:eastAsia="仿宋_GB2312" w:cs="仿宋_GB2312"/>
          <w:sz w:val="28"/>
          <w:szCs w:val="28"/>
          <w:highlight w:val="none"/>
          <w:lang w:val="en-US" w:eastAsia="zh-CN"/>
        </w:rPr>
        <w:t>，投标人应提供符合国家及用户提出的有关质量标准的软件产品，并完成实施部署工作</w:t>
      </w:r>
      <w:r>
        <w:rPr>
          <w:rFonts w:ascii="仿宋_GB2312" w:hAnsi="仿宋_GB2312" w:eastAsia="仿宋_GB2312" w:cs="仿宋_GB2312"/>
          <w:sz w:val="28"/>
          <w:szCs w:val="28"/>
        </w:rPr>
        <w:t>。</w:t>
      </w:r>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i w:val="0"/>
          <w:iCs w:val="0"/>
        </w:rPr>
      </w:pPr>
      <w:bookmarkStart w:id="20" w:name="_Toc256000021"/>
      <w:r>
        <w:rPr>
          <w:rFonts w:ascii="仿宋_GB2312" w:hAnsi="仿宋_GB2312" w:eastAsia="仿宋_GB2312" w:cs="仿宋_GB2312"/>
          <w:i w:val="0"/>
          <w:iCs w:val="0"/>
        </w:rPr>
        <w:t>3.2采购产品一览表</w:t>
      </w:r>
      <w:bookmarkEnd w:id="20"/>
    </w:p>
    <w:p>
      <w:pPr>
        <w:keepLines w:val="0"/>
        <w:pageBreakBefore w:val="0"/>
        <w:kinsoku/>
        <w:wordWrap/>
        <w:overflowPunct/>
        <w:bidi w:val="0"/>
        <w:spacing w:before="0" w:after="0" w:line="360" w:lineRule="auto"/>
        <w:ind w:firstLine="580" w:firstLineChars="200"/>
      </w:pPr>
      <w:r>
        <w:rPr>
          <w:rFonts w:hint="eastAsia" w:ascii="仿宋_GB2312" w:hAnsi="仿宋_GB2312" w:eastAsia="仿宋_GB2312" w:cs="仿宋_GB2312"/>
          <w:color w:val="000000"/>
          <w:spacing w:val="5"/>
          <w:kern w:val="0"/>
          <w:sz w:val="28"/>
          <w:szCs w:val="28"/>
          <w:shd w:val="clear" w:color="auto" w:fill="FFFFFF"/>
          <w:lang w:val="en-US" w:eastAsia="zh-CN"/>
        </w:rPr>
        <w:t>招标时以产品功能及类别为准，产品名称可能与下表中的产品名称不一致。</w:t>
      </w:r>
    </w:p>
    <w:tbl>
      <w:tblPr>
        <w:tblStyle w:val="13"/>
        <w:tblW w:w="4710" w:type="pct"/>
        <w:tblInd w:w="375" w:type="dxa"/>
        <w:tblLayout w:type="autofit"/>
        <w:tblCellMar>
          <w:top w:w="15" w:type="dxa"/>
          <w:left w:w="15" w:type="dxa"/>
          <w:bottom w:w="15" w:type="dxa"/>
          <w:right w:w="15" w:type="dxa"/>
        </w:tblCellMar>
      </w:tblPr>
      <w:tblGrid>
        <w:gridCol w:w="764"/>
        <w:gridCol w:w="2431"/>
        <w:gridCol w:w="2565"/>
        <w:gridCol w:w="1259"/>
        <w:gridCol w:w="867"/>
        <w:gridCol w:w="973"/>
      </w:tblGrid>
      <w:tr>
        <w:tblPrEx>
          <w:tblCellMar>
            <w:top w:w="15" w:type="dxa"/>
            <w:left w:w="15" w:type="dxa"/>
            <w:bottom w:w="15" w:type="dxa"/>
            <w:right w:w="15" w:type="dxa"/>
          </w:tblCellMar>
        </w:tblPrEx>
        <w:tc>
          <w:tcPr>
            <w:tcW w:w="431"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序号</w:t>
            </w:r>
          </w:p>
        </w:tc>
        <w:tc>
          <w:tcPr>
            <w:tcW w:w="1371"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产品类别</w:t>
            </w:r>
          </w:p>
        </w:tc>
        <w:tc>
          <w:tcPr>
            <w:tcW w:w="1447"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产品名称</w:t>
            </w:r>
          </w:p>
        </w:tc>
        <w:tc>
          <w:tcPr>
            <w:tcW w:w="71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数量</w:t>
            </w:r>
          </w:p>
        </w:tc>
        <w:tc>
          <w:tcPr>
            <w:tcW w:w="489"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单位</w:t>
            </w:r>
          </w:p>
        </w:tc>
        <w:tc>
          <w:tcPr>
            <w:tcW w:w="549"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备注</w:t>
            </w:r>
          </w:p>
        </w:tc>
      </w:tr>
      <w:tr>
        <w:tblPrEx>
          <w:tblCellMar>
            <w:top w:w="15" w:type="dxa"/>
            <w:left w:w="15" w:type="dxa"/>
            <w:bottom w:w="15" w:type="dxa"/>
            <w:right w:w="15" w:type="dxa"/>
          </w:tblCellMar>
        </w:tblPrEx>
        <w:tc>
          <w:tcPr>
            <w:tcW w:w="431"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w:t>
            </w:r>
          </w:p>
        </w:tc>
        <w:tc>
          <w:tcPr>
            <w:tcW w:w="243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网络安全审计产品</w:t>
            </w:r>
          </w:p>
        </w:tc>
        <w:tc>
          <w:tcPr>
            <w:tcW w:w="256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应用安全审计系统</w:t>
            </w:r>
          </w:p>
        </w:tc>
        <w:tc>
          <w:tcPr>
            <w:tcW w:w="71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1.0</w:t>
            </w:r>
          </w:p>
        </w:tc>
        <w:tc>
          <w:tcPr>
            <w:tcW w:w="48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套</w:t>
            </w:r>
          </w:p>
        </w:tc>
        <w:tc>
          <w:tcPr>
            <w:tcW w:w="54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p>
        </w:tc>
      </w:tr>
      <w:tr>
        <w:tblPrEx>
          <w:tblCellMar>
            <w:top w:w="15" w:type="dxa"/>
            <w:left w:w="15" w:type="dxa"/>
            <w:bottom w:w="15" w:type="dxa"/>
            <w:right w:w="15" w:type="dxa"/>
          </w:tblCellMar>
        </w:tblPrEx>
        <w:tc>
          <w:tcPr>
            <w:tcW w:w="431"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hint="eastAsia" w:ascii="仿宋_GB2312" w:hAnsi="仿宋_GB2312" w:eastAsia="仿宋_GB2312" w:cs="仿宋_GB2312"/>
                <w:b w:val="0"/>
                <w:bCs w:val="0"/>
                <w:i w:val="0"/>
                <w:iCs w:val="0"/>
                <w:smallCaps w:val="0"/>
                <w:color w:val="000000"/>
                <w:sz w:val="21"/>
                <w:szCs w:val="21"/>
                <w:lang w:val="en-US" w:eastAsia="zh-CN"/>
              </w:rPr>
            </w:pPr>
            <w:r>
              <w:rPr>
                <w:rFonts w:hint="eastAsia" w:ascii="仿宋_GB2312" w:hAnsi="仿宋_GB2312" w:eastAsia="仿宋_GB2312" w:cs="仿宋_GB2312"/>
                <w:b w:val="0"/>
                <w:bCs w:val="0"/>
                <w:i w:val="0"/>
                <w:iCs w:val="0"/>
                <w:smallCaps w:val="0"/>
                <w:color w:val="000000"/>
                <w:sz w:val="21"/>
                <w:szCs w:val="21"/>
                <w:lang w:val="en-US" w:eastAsia="zh-CN"/>
              </w:rPr>
              <w:t>2</w:t>
            </w:r>
          </w:p>
        </w:tc>
        <w:tc>
          <w:tcPr>
            <w:tcW w:w="243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val="en-US" w:eastAsia="zh-CN"/>
              </w:rPr>
            </w:pPr>
            <w:r>
              <w:rPr>
                <w:rFonts w:hint="eastAsia" w:ascii="仿宋_GB2312" w:hAnsi="仿宋_GB2312" w:eastAsia="仿宋_GB2312" w:cs="仿宋_GB2312"/>
                <w:b w:val="0"/>
                <w:bCs w:val="0"/>
                <w:i w:val="0"/>
                <w:iCs w:val="0"/>
                <w:smallCaps w:val="0"/>
                <w:color w:val="000000"/>
                <w:sz w:val="21"/>
                <w:szCs w:val="21"/>
                <w:lang w:eastAsia="zh-CN"/>
              </w:rPr>
              <w:t>数据库安全管理工具</w:t>
            </w:r>
          </w:p>
        </w:tc>
        <w:tc>
          <w:tcPr>
            <w:tcW w:w="256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数据库操作管控系统</w:t>
            </w:r>
          </w:p>
        </w:tc>
        <w:tc>
          <w:tcPr>
            <w:tcW w:w="71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1.0</w:t>
            </w:r>
          </w:p>
        </w:tc>
        <w:tc>
          <w:tcPr>
            <w:tcW w:w="48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套</w:t>
            </w:r>
          </w:p>
        </w:tc>
        <w:tc>
          <w:tcPr>
            <w:tcW w:w="54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p>
        </w:tc>
      </w:tr>
      <w:tr>
        <w:tblPrEx>
          <w:tblCellMar>
            <w:top w:w="15" w:type="dxa"/>
            <w:left w:w="15" w:type="dxa"/>
            <w:bottom w:w="15" w:type="dxa"/>
            <w:right w:w="15" w:type="dxa"/>
          </w:tblCellMar>
        </w:tblPrEx>
        <w:tc>
          <w:tcPr>
            <w:tcW w:w="431"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hint="eastAsia" w:ascii="仿宋_GB2312" w:hAnsi="仿宋_GB2312" w:eastAsia="仿宋_GB2312" w:cs="仿宋_GB2312"/>
                <w:b w:val="0"/>
                <w:bCs w:val="0"/>
                <w:i w:val="0"/>
                <w:iCs w:val="0"/>
                <w:smallCaps w:val="0"/>
                <w:color w:val="000000"/>
                <w:sz w:val="21"/>
                <w:szCs w:val="21"/>
                <w:lang w:val="en-US" w:eastAsia="zh-CN"/>
              </w:rPr>
            </w:pPr>
            <w:r>
              <w:rPr>
                <w:rFonts w:hint="eastAsia" w:ascii="仿宋_GB2312" w:hAnsi="仿宋_GB2312" w:eastAsia="仿宋_GB2312" w:cs="仿宋_GB2312"/>
                <w:b w:val="0"/>
                <w:bCs w:val="0"/>
                <w:i w:val="0"/>
                <w:iCs w:val="0"/>
                <w:smallCaps w:val="0"/>
                <w:color w:val="000000"/>
                <w:sz w:val="21"/>
                <w:szCs w:val="21"/>
                <w:lang w:val="en-US" w:eastAsia="zh-CN"/>
              </w:rPr>
              <w:t>3</w:t>
            </w:r>
          </w:p>
        </w:tc>
        <w:tc>
          <w:tcPr>
            <w:tcW w:w="243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val="en-US" w:eastAsia="zh-CN"/>
              </w:rPr>
            </w:pPr>
            <w:r>
              <w:rPr>
                <w:rFonts w:hint="eastAsia" w:ascii="仿宋_GB2312" w:hAnsi="仿宋_GB2312" w:eastAsia="仿宋_GB2312" w:cs="仿宋_GB2312"/>
                <w:b w:val="0"/>
                <w:bCs w:val="0"/>
                <w:i w:val="0"/>
                <w:iCs w:val="0"/>
                <w:smallCaps w:val="0"/>
                <w:color w:val="000000"/>
                <w:sz w:val="21"/>
                <w:szCs w:val="21"/>
                <w:lang w:eastAsia="zh-CN"/>
              </w:rPr>
              <w:t>静态代码安全检测工具</w:t>
            </w:r>
          </w:p>
        </w:tc>
        <w:tc>
          <w:tcPr>
            <w:tcW w:w="256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代码审计系统</w:t>
            </w:r>
          </w:p>
        </w:tc>
        <w:tc>
          <w:tcPr>
            <w:tcW w:w="71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1.0</w:t>
            </w:r>
          </w:p>
        </w:tc>
        <w:tc>
          <w:tcPr>
            <w:tcW w:w="48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套</w:t>
            </w:r>
          </w:p>
        </w:tc>
        <w:tc>
          <w:tcPr>
            <w:tcW w:w="54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p>
        </w:tc>
      </w:tr>
      <w:tr>
        <w:tblPrEx>
          <w:tblCellMar>
            <w:top w:w="15" w:type="dxa"/>
            <w:left w:w="15" w:type="dxa"/>
            <w:bottom w:w="15" w:type="dxa"/>
            <w:right w:w="15" w:type="dxa"/>
          </w:tblCellMar>
        </w:tblPrEx>
        <w:tc>
          <w:tcPr>
            <w:tcW w:w="431"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hint="eastAsia" w:ascii="仿宋_GB2312" w:hAnsi="仿宋_GB2312" w:eastAsia="仿宋_GB2312" w:cs="仿宋_GB2312"/>
                <w:b w:val="0"/>
                <w:bCs w:val="0"/>
                <w:i w:val="0"/>
                <w:iCs w:val="0"/>
                <w:smallCaps w:val="0"/>
                <w:color w:val="000000"/>
                <w:sz w:val="21"/>
                <w:szCs w:val="21"/>
                <w:lang w:val="en-US" w:eastAsia="zh-CN"/>
              </w:rPr>
            </w:pPr>
            <w:r>
              <w:rPr>
                <w:rFonts w:hint="eastAsia" w:ascii="仿宋_GB2312" w:hAnsi="仿宋_GB2312" w:eastAsia="仿宋_GB2312" w:cs="仿宋_GB2312"/>
                <w:b w:val="0"/>
                <w:bCs w:val="0"/>
                <w:i w:val="0"/>
                <w:iCs w:val="0"/>
                <w:smallCaps w:val="0"/>
                <w:color w:val="000000"/>
                <w:sz w:val="21"/>
                <w:szCs w:val="21"/>
                <w:lang w:val="en-US" w:eastAsia="zh-CN"/>
              </w:rPr>
              <w:t>4</w:t>
            </w:r>
          </w:p>
        </w:tc>
        <w:tc>
          <w:tcPr>
            <w:tcW w:w="243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val="en-US" w:eastAsia="zh-CN"/>
              </w:rPr>
            </w:pPr>
            <w:r>
              <w:rPr>
                <w:rFonts w:hint="eastAsia" w:ascii="仿宋_GB2312" w:hAnsi="仿宋_GB2312" w:eastAsia="仿宋_GB2312" w:cs="仿宋_GB2312"/>
                <w:b w:val="0"/>
                <w:bCs w:val="0"/>
                <w:i w:val="0"/>
                <w:iCs w:val="0"/>
                <w:smallCaps w:val="0"/>
                <w:color w:val="000000"/>
                <w:sz w:val="21"/>
                <w:szCs w:val="21"/>
                <w:lang w:eastAsia="zh-CN"/>
              </w:rPr>
              <w:t>开源组件检测工具</w:t>
            </w:r>
          </w:p>
        </w:tc>
        <w:tc>
          <w:tcPr>
            <w:tcW w:w="256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第三方组件管理系统</w:t>
            </w:r>
          </w:p>
        </w:tc>
        <w:tc>
          <w:tcPr>
            <w:tcW w:w="71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1.0</w:t>
            </w:r>
          </w:p>
        </w:tc>
        <w:tc>
          <w:tcPr>
            <w:tcW w:w="48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套</w:t>
            </w:r>
          </w:p>
        </w:tc>
        <w:tc>
          <w:tcPr>
            <w:tcW w:w="54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p>
        </w:tc>
      </w:tr>
      <w:tr>
        <w:tblPrEx>
          <w:tblCellMar>
            <w:top w:w="15" w:type="dxa"/>
            <w:left w:w="15" w:type="dxa"/>
            <w:bottom w:w="15" w:type="dxa"/>
            <w:right w:w="15" w:type="dxa"/>
          </w:tblCellMar>
        </w:tblPrEx>
        <w:tc>
          <w:tcPr>
            <w:tcW w:w="431"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hint="eastAsia" w:ascii="仿宋_GB2312" w:hAnsi="仿宋_GB2312" w:eastAsia="仿宋_GB2312" w:cs="仿宋_GB2312"/>
                <w:b w:val="0"/>
                <w:bCs w:val="0"/>
                <w:i w:val="0"/>
                <w:iCs w:val="0"/>
                <w:smallCaps w:val="0"/>
                <w:color w:val="000000"/>
                <w:sz w:val="21"/>
                <w:szCs w:val="21"/>
                <w:lang w:val="en-US" w:eastAsia="zh-CN"/>
              </w:rPr>
            </w:pPr>
            <w:r>
              <w:rPr>
                <w:rFonts w:hint="eastAsia" w:ascii="仿宋_GB2312" w:hAnsi="仿宋_GB2312" w:eastAsia="仿宋_GB2312" w:cs="仿宋_GB2312"/>
                <w:b w:val="0"/>
                <w:bCs w:val="0"/>
                <w:i w:val="0"/>
                <w:iCs w:val="0"/>
                <w:smallCaps w:val="0"/>
                <w:color w:val="000000"/>
                <w:sz w:val="21"/>
                <w:szCs w:val="21"/>
                <w:lang w:val="en-US" w:eastAsia="zh-CN"/>
              </w:rPr>
              <w:t>5</w:t>
            </w:r>
          </w:p>
        </w:tc>
        <w:tc>
          <w:tcPr>
            <w:tcW w:w="243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val="en-US" w:eastAsia="zh-CN"/>
              </w:rPr>
            </w:pPr>
            <w:r>
              <w:rPr>
                <w:rFonts w:hint="eastAsia" w:ascii="仿宋_GB2312" w:hAnsi="仿宋_GB2312" w:eastAsia="仿宋_GB2312" w:cs="仿宋_GB2312"/>
                <w:b w:val="0"/>
                <w:bCs w:val="0"/>
                <w:i w:val="0"/>
                <w:iCs w:val="0"/>
                <w:smallCaps w:val="0"/>
                <w:color w:val="000000"/>
                <w:sz w:val="21"/>
                <w:szCs w:val="21"/>
                <w:lang w:eastAsia="zh-CN"/>
              </w:rPr>
              <w:t>主机安全防护系统</w:t>
            </w:r>
          </w:p>
        </w:tc>
        <w:tc>
          <w:tcPr>
            <w:tcW w:w="256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主机安全防护系统</w:t>
            </w:r>
          </w:p>
        </w:tc>
        <w:tc>
          <w:tcPr>
            <w:tcW w:w="71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1.0</w:t>
            </w:r>
          </w:p>
        </w:tc>
        <w:tc>
          <w:tcPr>
            <w:tcW w:w="48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hint="eastAsia" w:ascii="仿宋_GB2312" w:hAnsi="仿宋_GB2312" w:eastAsia="仿宋_GB2312" w:cs="仿宋_GB2312"/>
                <w:b w:val="0"/>
                <w:bCs w:val="0"/>
                <w:i w:val="0"/>
                <w:iCs w:val="0"/>
                <w:smallCaps w:val="0"/>
                <w:color w:val="000000"/>
                <w:sz w:val="21"/>
                <w:szCs w:val="21"/>
                <w:lang w:eastAsia="zh-CN"/>
              </w:rPr>
            </w:pPr>
            <w:r>
              <w:rPr>
                <w:rFonts w:hint="eastAsia" w:ascii="仿宋_GB2312" w:hAnsi="仿宋_GB2312" w:eastAsia="仿宋_GB2312" w:cs="仿宋_GB2312"/>
                <w:b w:val="0"/>
                <w:bCs w:val="0"/>
                <w:i w:val="0"/>
                <w:iCs w:val="0"/>
                <w:smallCaps w:val="0"/>
                <w:color w:val="000000"/>
                <w:sz w:val="21"/>
                <w:szCs w:val="21"/>
                <w:lang w:eastAsia="zh-CN"/>
              </w:rPr>
              <w:t>套</w:t>
            </w:r>
          </w:p>
        </w:tc>
        <w:tc>
          <w:tcPr>
            <w:tcW w:w="549"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p>
        </w:tc>
      </w:tr>
    </w:tbl>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i w:val="0"/>
          <w:iCs w:val="0"/>
        </w:rPr>
      </w:pPr>
      <w:bookmarkStart w:id="21" w:name="_Toc256000022"/>
      <w:r>
        <w:rPr>
          <w:rFonts w:ascii="仿宋_GB2312" w:hAnsi="仿宋_GB2312" w:eastAsia="仿宋_GB2312" w:cs="仿宋_GB2312"/>
          <w:i w:val="0"/>
          <w:iCs w:val="0"/>
        </w:rPr>
        <w:t>3.3采购产品详细清单及技术指标</w:t>
      </w:r>
      <w:bookmarkEnd w:id="21"/>
    </w:p>
    <w:p>
      <w:pPr>
        <w:keepLines w:val="0"/>
        <w:pageBreakBefore w:val="0"/>
        <w:kinsoku/>
        <w:wordWrap/>
        <w:overflowPunct/>
        <w:bidi w:val="0"/>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采购文件（技术部分）中有标注★号的，为必备服务要求，必须满足，如未作出响应，将导致响应无效；#为重要服务内容、△为一般服务内容。</w:t>
      </w:r>
    </w:p>
    <w:p>
      <w:pPr>
        <w:widowControl w:val="0"/>
        <w:spacing w:line="360" w:lineRule="auto"/>
        <w:jc w:val="left"/>
        <w:outlineLvl w:val="1"/>
        <w:rPr>
          <w:rFonts w:ascii="宋体" w:hAnsi="宋体" w:eastAsia="宋体" w:cs="宋体"/>
          <w:bCs/>
          <w:kern w:val="2"/>
          <w:sz w:val="21"/>
          <w:szCs w:val="21"/>
          <w:lang w:eastAsia="zh-CN"/>
        </w:rPr>
      </w:pPr>
      <w:bookmarkStart w:id="22" w:name="_Toc20445"/>
      <w:bookmarkStart w:id="23" w:name="_Toc256000023"/>
      <w:r>
        <w:rPr>
          <w:rFonts w:hint="eastAsia" w:ascii="宋体" w:hAnsi="宋体" w:eastAsia="宋体" w:cs="宋体"/>
          <w:bCs/>
          <w:kern w:val="2"/>
          <w:sz w:val="21"/>
          <w:szCs w:val="21"/>
          <w:lang w:eastAsia="zh-CN"/>
        </w:rPr>
        <w:t>1.</w:t>
      </w:r>
      <w:r>
        <w:rPr>
          <w:rFonts w:ascii="宋体" w:hAnsi="宋体" w:eastAsia="宋体" w:cs="宋体"/>
          <w:bCs/>
          <w:kern w:val="2"/>
          <w:sz w:val="21"/>
          <w:szCs w:val="21"/>
          <w:lang w:eastAsia="zh-CN"/>
        </w:rPr>
        <w:t>网络安全审计</w:t>
      </w:r>
      <w:r>
        <w:rPr>
          <w:rFonts w:hint="eastAsia" w:ascii="宋体" w:hAnsi="宋体" w:eastAsia="宋体" w:cs="宋体"/>
          <w:bCs/>
          <w:kern w:val="2"/>
          <w:sz w:val="21"/>
          <w:szCs w:val="21"/>
          <w:lang w:eastAsia="zh-CN"/>
        </w:rPr>
        <w:t>产品</w:t>
      </w:r>
      <w:bookmarkEnd w:id="22"/>
    </w:p>
    <w:tbl>
      <w:tblPr>
        <w:tblStyle w:val="13"/>
        <w:tblpPr w:leftFromText="180" w:rightFromText="180" w:vertAnchor="text" w:horzAnchor="page" w:tblpX="1886" w:tblpY="826"/>
        <w:tblOverlap w:val="never"/>
        <w:tblW w:w="461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1276"/>
        <w:gridCol w:w="1504"/>
        <w:gridCol w:w="4269"/>
        <w:gridCol w:w="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BEBEBE"/>
            <w:noWrap/>
            <w:vAlign w:val="center"/>
          </w:tcPr>
          <w:p>
            <w:pPr>
              <w:widowControl w:val="0"/>
              <w:spacing w:line="360" w:lineRule="auto"/>
              <w:jc w:val="center"/>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序号</w:t>
            </w:r>
          </w:p>
        </w:tc>
        <w:tc>
          <w:tcPr>
            <w:tcW w:w="1136" w:type="dxa"/>
            <w:shd w:val="clear" w:color="auto" w:fill="BEBEBE"/>
            <w:noWrap/>
            <w:vAlign w:val="center"/>
          </w:tcPr>
          <w:p>
            <w:pPr>
              <w:widowControl w:val="0"/>
              <w:spacing w:line="360" w:lineRule="auto"/>
              <w:jc w:val="center"/>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指标种类</w:t>
            </w:r>
          </w:p>
        </w:tc>
        <w:tc>
          <w:tcPr>
            <w:tcW w:w="1339" w:type="dxa"/>
            <w:shd w:val="clear" w:color="auto" w:fill="BEBEBE"/>
            <w:noWrap/>
            <w:vAlign w:val="center"/>
          </w:tcPr>
          <w:p>
            <w:pPr>
              <w:widowControl w:val="0"/>
              <w:spacing w:line="360" w:lineRule="auto"/>
              <w:jc w:val="center"/>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指标名称</w:t>
            </w:r>
          </w:p>
        </w:tc>
        <w:tc>
          <w:tcPr>
            <w:tcW w:w="3799" w:type="dxa"/>
            <w:shd w:val="clear" w:color="auto" w:fill="BEBEBE"/>
            <w:noWrap/>
            <w:vAlign w:val="center"/>
          </w:tcPr>
          <w:p>
            <w:pPr>
              <w:widowControl w:val="0"/>
              <w:spacing w:line="360" w:lineRule="auto"/>
              <w:jc w:val="center"/>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指标内容</w:t>
            </w:r>
          </w:p>
        </w:tc>
        <w:tc>
          <w:tcPr>
            <w:tcW w:w="826" w:type="dxa"/>
            <w:shd w:val="clear" w:color="auto" w:fill="BEBEBE"/>
            <w:noWrap/>
            <w:vAlign w:val="center"/>
          </w:tcPr>
          <w:p>
            <w:pPr>
              <w:widowControl w:val="0"/>
              <w:spacing w:line="360" w:lineRule="auto"/>
              <w:jc w:val="center"/>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重要性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性能</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产品性能</w:t>
            </w:r>
          </w:p>
        </w:tc>
        <w:tc>
          <w:tcPr>
            <w:tcW w:w="3799" w:type="dxa"/>
            <w:noWrap/>
            <w:vAlign w:val="center"/>
          </w:tcPr>
          <w:p>
            <w:pPr>
              <w:widowControl w:val="0"/>
              <w:spacing w:line="360" w:lineRule="auto"/>
              <w:jc w:val="left"/>
              <w:outlineLvl w:val="1"/>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网络流量不低于6Gbps、纯HTTP流量不低于3Gbps，不限制探针和应用授权数（投标时提供承诺函，可参照“投标文件格式”中《承诺函》格式）。</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部署</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部署模式</w:t>
            </w:r>
          </w:p>
        </w:tc>
        <w:tc>
          <w:tcPr>
            <w:tcW w:w="3799" w:type="dxa"/>
            <w:noWrap/>
            <w:vAlign w:val="center"/>
          </w:tcPr>
          <w:p>
            <w:pPr>
              <w:widowControl w:val="0"/>
              <w:spacing w:line="360" w:lineRule="auto"/>
              <w:jc w:val="left"/>
              <w:outlineLvl w:val="1"/>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支持部署插件的方式获取虚拟机/云主机应用系统的通讯流量，实现虚拟机/云主机应用系统的监控与审计（提供产品功能截图，并加盖投标人公章）。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插件</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插件管理</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对插件的配置管理，可进行远程安装、挂起、启用、删除等操作；支持进行流量过滤配置如IP、IP+PORT、网卡维度；支持设置CPU、内存利用率的上限阈值，超阈值时插件将自动停止转发数据（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协议文件</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协议与文件识别</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1.支持HTTP、HTTP2、DUBBO，IPV4，IPV6的常用网络协议解析能力。</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2.支持接口协议类型包括但不限于SOAP、gRPC、GraphQL、Jsonp、Json-RPC、OAuth、Restful API、Swagger等。</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3.支持HTTP请求类型包括POST,GET,PUT,DELETE,HEAD,CONNECT,OPTIONS,TRACE。</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4.支持HTTPS协议流量的基础信息统计分析，包括：服务器IP、服务器端口、SNI、请求包数、响应包数、请求字节数、响应字节数、总访问量、TLS版本；</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5.支持大数据协议及云存储协议识别，包括但不限于：</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MaxCompute、Clickhouse、Hadoop、ElasticSearch、亚马逊云(AWS S3)、腾讯云存储(COS)、阿里云存储(OSS)、华为云存储(OBS)、京东云存储、百度云。</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6.支持资源文件识别，至少包含：HTML,JSON,XML,TXT,PDF,DOC,DOCX,XLS,XLSX,CSV,PPT,PPTX,ZIP,RAR,7z,TAR,GZ,WPS,ET,DPS,RTF,OFD。</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7.支持持对删除文件后缀等逃逸方式进行识别。</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8.支持对加密文件的发现。</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源码类型</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源码类型识别</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支持源码文件识别，包含：Python，JSP，Lua，SQL，ASP，ASP.net，Perl，C，Java，PHP，C#，C++，Javascript（提供产品功能界面截图证明，并加盖投标人公章）。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应用</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应用管理</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1.支持通过内部识别规则自动发现应用，同时支持手工方式添加应用；</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2.支持应用列表导出到文件；</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3.支持按模板文件导入应用信息；</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4.可通过列表形式展现应用列表清单，并通过应用标签、部署域、请求敏感标签、响应敏感标签维度进行分组统计；5.可通过树形展示应用结构；</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6.支持自动识别应用类型，包括但不限于涉敏应用、风险应用、脆弱应用等；</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7.支持应用的生命周期自动管理，生命周期包含新增应用、活跃应用、失活应用；</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8.支持按应用属性为应用打标，识别应用标签，如（至少）：内部应用、外网应用、Hadoop、MaxCompute、ElasticSearch、阿里云存储、华为云存储、腾讯云存储、京东云存储、百度云等；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9.应用画像展示，内容包含：应用常用账号、常用IP、常用接口、敏感数据分布、弱点分布以及部署IP分布、风险事件、数据访问趋势；</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10.支持自动或者手动方式进行应用聚合和拆分；</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11.支持按应用相似度分析出推荐合并的应用；</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12.数据台账、统计分析、报表等内容按应用合并或拆分后的结果呈现。</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接口</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接口管理</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1.支持通过内部识别规则自动发现API接口，同时支持手工方式添加API接口；</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2.可通过列表形式展现应用接口清单，并通过多维度进行分组统计，分组维度至少包括：应用、接口标签、接口等级、请求敏感标签、响应敏感标签、访问域；</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3.支持按业务属性自动为接口打标，识别接口标签，如：敏感数据外发接口、人机交互接口、数据采集接口、互联网登录接口等；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4.支持按开发属性自动识别接口类型，包括但不限于普通接口、登录接口、敏感接口、脱敏接口、伪脱敏接口、上传接口、下载接口等；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5.支持接口的生命周期自动管理，生命周期新增接口、活跃接口、失活接口；6.识别涉敏接口、风险接口以及弱点接口；</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7.支持对涉敏数据的接口自动打上敏感数据标签，例如身份证、姓名、手机号等；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8.支持查看和导出接口记录日志，并支持在线模拟接口访问测试；</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9.接口画像展示，内容包含：常用账号、常用IP、数据访问趋势、访问集中度，弱点分析、敏感数据分布、风险事件等；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10.支持自动或者手动方式对接口合并和拆分；</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11.支持智能分析出推荐合并的接口；</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数据台账、统计分析、报表等内容按应用合并或拆分后的结果呈现。</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（以上所有提供产品功能界面截图证明，并加盖投标人公章）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返回行数</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行数解析</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1.支持通过内置规则识别出接口返回的数据行数，识别的数据类型包含json、xml、soap三种类型；可基于解析的数据行数作为业务风险的输入，对于超过行数的数据访问行为进行预警。</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2.支持手工配置接口行数解析规则，并可根据实际运行性能设置是否启用。</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（以上所有提供产品功能界面截图证明，并加盖投标人公章）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9</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敏感数字和资产</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敏感数据识别和资产管理</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150以上内置敏感数据类型标签包括但不限于：手机号、个人姓名、住址、电子邮箱、生日、民族、性别、家庭关系、银行账户卡号、交易金额、信贷记录、身份证号、军官证号、港澳通行证号、护照号、社保卡号、港澳居民往来内地通行证号、港澳台身份证号、驾驶证、居住证、出生证、退休证、微信号、统一社会信用代码、脱敏手机号、脱敏身份证号；</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2.支持自定义敏感数据识别策略，可通过自定义正则表达式或配置数据字典方式，从请求（request-header、request-body、request-param、response-header、response-body）中识别到敏感数据；</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3.支持敏感数据列表展示，查看识别到的敏感数据内容，敏感标签、敏感级别、出现位置等；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4.支持敏感数据脱敏处理，对事件中包含的敏感数据进行脱敏处理，防止运维过程中的数据泄漏；</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5.支持通过取消脱敏对包含的原始敏感数据进行查看；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6.支持图形化展示敏感标签、数据分类和数据级别的占比排序情况，且可以按桑基图形式展示出以上三者之间的关联关系；</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7.支持针对具体的敏感数据绘制出具体数据-&gt;应用-&gt;接口-&gt;访问IP-&gt;应用账号的完整访问流向图（提供产品功能截图，并加盖投标人公章）；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10</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账号</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账号识别和关联</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1.支持账号资产识别管理，支持从流量中解析还原应用系统登录账号，支持账号解析的位置，至少包含：Request-Body、Request-Header、Response-Body、Response-Header；</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2.支持单点登录SSO场景的解析配置，能够清晰显示单点登录系统间的关联关系；</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3.支持相关的账号行为统计（包含但不限于：识别访问的应用、使用过的IP、访问域、访问终端、访问城市、访问时间）；</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4.支持对账号对应的用户信息（如：员工ID、部门、个人姓名、网络昵称、登录用户名、手机号、身份证号、银行卡号）进行自动解析；</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5.支持账号对应用户信息的导入，导入账号持有人的手机、姓名、部门等信息；</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6.支持手动/自动将账号与用户信息进行关联，在后续溯源中，直接通过账号下的用户信息快速找到对应人员（提供产品功能界面截图证明，并加盖投标人公章）。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11</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文件</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文件清单和访问统计</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1.支持识别访问中传输的文件信息，并显示文件列表清单，识别的文件类型包括但不限于：HTML,JSON,XML,TXT,PDF,DOC,DOCX,XLS,XLSX,CSV,PPT,PPTX,ZIP,RAR,7z,TAR,GZ,WPS,ET,DPS,RTF,OFD；</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2.支持文件资产的查看与下载；</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3.自动识别文件中携带的敏感数据内容，包括：敏感数据标签，敏感数据标签去重数据量；</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4.自动识别文件的信息，包括：文件名称，文件格式，文件大小，MD5值（提供产品功能截图，并加盖投标人公章）；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5.统计文件访问情况，包含但不限于文件下载次数，文件上传次数、下载账号个数、上传账号个数、下载IP数、上传IP数等（提供产品功能界面截图证明，并加盖投标人公章）；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12</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弱点管理</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弱点管理</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内置脆弱性问题发现规则包括但不限于明文密码传输、弱口令、弱加密、数据伪脱敏、接口执行命令、接口可执行SQL、接口未鉴权、接口缺乏速率限制、单次返回大量或多种敏感数据、URL中包含敏感信息、文件目录暴露、SQL注入、水平越权、登录错误提示不合理等；</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支持自定义弱点规则，多条识别规则可以逻辑组合，规则识别的内容不仅限于：URL参数、请求头、请求体、Cookie、SET-COOKIE、响应头、响应体、敏感标签类型、IP数量、账号数量；</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2.支持弱点信息分类展示和导出，分类包含：OWASP API Security TO10、弱点级别、弱点核实状态，展示弱点内容包含：每个弱点的统计数、弱点名称，产生弱点的应用和接口信息、应用部署位置（提供产品产品功能截图，并加盖投标人公章）；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3.支持对识别的弱点提供判断线索，并对线索信息高亮展示，同时并自动关联访问日志和涉敏数据信息；</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4.支持提供弱点的原理描述和修复建议；</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5.支持对弱点详情导出。</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13</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弱点关联风险</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弱点关联风险</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可关联到风险：关联风险显示证据样例标识、关联风险规则、客户端IP、账号、代理IP、服务器IP、应用名称、发生时间（提供产品功能界面截图，并加盖投标人公章）。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6" w:hRule="atLeast"/>
        </w:trPr>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14</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风险管理</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风险管理</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1.内置数据泄漏风险规则包括但不限于超量爬取、高频爬取、账号访问数据类型和数据量异常、单IP访问量异常、路径探测、账号共用、撞库、短信轰炸等（提供产品功能界面截图，并加盖投标人公章）；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2.支持自定义配置告警策略,包括风险对象：指定账号，指定网段，指定时间段，指定应用系统，指定接口,指定风险周期：秒、分钟、天，设定多种风险指标；</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3.基于应用、接口、账号、IP等维度建立多维度行为基线，设置异常行为检测规则，识别传统风险模型无法识别的未知威胁；</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4.支持不同策略、学习周期的基线任务，包括行为基线、自然周基线；</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5.支持自定义基线的学习周期，不同周期的基线支持自定义合并策略和机器学习智能合并。</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6.支持配置多个敏感数据标签的“逻辑与”和“逻辑或”复合条件；</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7.支持配置多种统计指标的“逻辑与”和“逻辑或”复合条件，统计指标包括但不限于IP数量、账号数量、访问次数、敏感数据量、去重敏感数据量、数据行数、数据去重行数、去重的账号密码组合数，统计周期包括但不限于单词、分钟、日、周、月；</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8.支持自动对风险进行按日聚合展示，减少告警次数；</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9.支持展示并导出触发风险的原始日志；</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10.支持在风险事件清单将接口及访问IP快捷添加至白名单；</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11.同时支持对当日已触发的事件进行自动批量忽略操作，减少重复操作；</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12.支持调阅特定风险事件所固定的原始访问数据及其上下文请求响应数据，可还原风险事件现场，可还原账号或 IP 历史访问轨迹（提供产品功能界面截图，并加盖投标人公章）。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15</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风险关联弱点</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风险关联弱点</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根据风险可关联到弱点：关联弱点显示证据样例标识、关联弱点规则、客户端IP、账号、服务器IP、应用名称、发生时间（提供产品功能界面截图证明，并加盖投标人公章）。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16</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取证</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风险取证</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支持通过不同指标的数据线索来协助风险取证，包含但不限于数据分布、IP分布、UA分析、接口访问统计、用户访问统计、涉及敏感数据统计信息（提供产品功能界面截图证明并，加盖投标人公章）。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17</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溯源能力</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追踪溯源能力</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1.支持以泄露的一条和多条敏感数据作为线索对数据访问事件记录进行检索分析，按应用、接口、客户端IP、账号、时间维度统计涉及的线索条数，协助分析出数据泄露的应用、接口、客户端IP、账号、时间信息；</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2.多条线索匹配逻辑可支持匹配任意一条或者全匹配（提供产品功能界面截图证明，并加盖投标人公章）；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3.支持在NAT和代理环境下自动识别出HTTP数据包转发前的真实IP地址（X-Forwarded-For地址），为威胁溯源提供依据（提供产品功能界面截图证明，并加盖投标人公章）。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18</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主体溯源</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主体溯源</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支持基于主体信息：用户账号/用户访问IP/敏感标签/IP/UA/Refer等条件自由组合检索出相关访问情况，同时可通过选中一次访问事件进行访问轨迹查看（提供产品功能界面截图证明，并加盖投标人公章）。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19</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场景分析</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场景分析</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以数据、应用/接口、客户端、风险多种分析视角同屏统计展示，且能够根据某一视角的检索条件变化联动对其他视角统计内容进行实时更新，同时可对检索条件保存；内置多种分析场景，包括但不限于敏感数据出境分析、敏感数据脱离限定区域分析、账号共用分析、新增IP访问分析等（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20</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概览</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数据资产概览</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1.支持以桑基图形式查看数据、类型及敏感级别的占比情况；</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2.支持以应用和接口视角查看指定应用和接口的资产信息，包括但不限于敏感数据分布、访问趋势变化、风险情况等（提供产品功能界面截图证明，并加盖投标人公章）。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21</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画像</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账号IP画像</w:t>
            </w:r>
          </w:p>
        </w:tc>
        <w:tc>
          <w:tcPr>
            <w:tcW w:w="3799" w:type="dxa"/>
            <w:noWrap/>
            <w:vAlign w:val="center"/>
          </w:tcPr>
          <w:p>
            <w:pPr>
              <w:widowControl w:val="0"/>
              <w:spacing w:line="360" w:lineRule="auto"/>
              <w:jc w:val="left"/>
              <w:outlineLvl w:val="1"/>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1.账号过程化数据展示，包含账号（支持一键复制按钮、账号设置-跳转到账号解析页面，数据对比分析）、总访问量、涉敏访问量、总行数、总接口、涉敏接口、访问IP、登录次数、上传次数、下载次数、账号名称、所属应用、账号类型、是否涉敏、姓名、职位、组织机构、手机号、发现时间、请求敏感标签、响应敏感标签；</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2.统计数据包含常用IP、常用终端、棉感数据分布、敏感数据访问统计、常用接口、风险事件、时间集中度；</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3.点击详情按钮会显示对应的详情页面；</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4.支持基于图表方式展现IP涉及的各种统计信息，包含：敏感数据分布、敏感数据级别占比、涉及风险情况、访问趋势统计；</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5.支持基于拓扑图方式展现从账号、访问IP、接口、应用、数据的数据流向信息（提供产品功能界面截图证明，并加盖投标人公章）。</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6.支持账号周期对比：支持按周、月、日、行为基线的周期对比；行为基线对比支持选择基线的自然周对比。</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22</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IP分析</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客户端IP分析</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支持访问IP维度的分析，分析内容包含但不限于访问的接口数量、敏感数据量、登录次数、上传下载文件数、使用的登录账号个数（提供产品功能界面截图证明，并加盖投标人公章）。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23</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耗时</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访问耗时</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1.支持展示应用列表以及各应用访问量，并按照访问量排序；</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2.支持展示全部接口中执行耗时最长top10的行为信息；</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3.支持单个应用全部接口中执行耗时最长top10的行为信息。</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4.支持对接口进行智能和手工规则进行行数解析配置，能够展示相关接口的访问行数数据（提供产品功能界面截图证明，并加盖投标人公章）。</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24</w:t>
            </w:r>
          </w:p>
        </w:tc>
        <w:tc>
          <w:tcPr>
            <w:tcW w:w="113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报表</w:t>
            </w:r>
          </w:p>
        </w:tc>
        <w:tc>
          <w:tcPr>
            <w:tcW w:w="133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统计报表</w:t>
            </w:r>
          </w:p>
        </w:tc>
        <w:tc>
          <w:tcPr>
            <w:tcW w:w="379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1.支持多种数据报表功能，包括但不限于敏感数据暴露面、应用风险、脆弱性分析、涉敏资产分析、接口生命周期、2.合规统计等内置报表；</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3.支持报表周期推送；</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4.支持报表导出功能。</w:t>
            </w:r>
          </w:p>
        </w:tc>
        <w:tc>
          <w:tcPr>
            <w:tcW w:w="82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25</w:t>
            </w:r>
          </w:p>
        </w:tc>
        <w:tc>
          <w:tcPr>
            <w:tcW w:w="1136"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权限</w:t>
            </w:r>
          </w:p>
        </w:tc>
        <w:tc>
          <w:tcPr>
            <w:tcW w:w="1339"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权限管理</w:t>
            </w:r>
          </w:p>
        </w:tc>
        <w:tc>
          <w:tcPr>
            <w:tcW w:w="3799"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1.默认提供三个管理员角色，支持账户三权分离，如管理员只负责完成设备的初始配置，审计员只负责查看相关的审计结果及告警内容，日志员只负责完成对系统本身的用户操作日志管理；</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2.支持创建系统用户组，对用户组赋予角色、权限；</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3.网络访问设置：WEB管理平台访问设置、SSH访问权限、SNMP访问限制、安全日志访问限制。</w:t>
            </w:r>
          </w:p>
        </w:tc>
        <w:tc>
          <w:tcPr>
            <w:tcW w:w="826"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26</w:t>
            </w:r>
          </w:p>
        </w:tc>
        <w:tc>
          <w:tcPr>
            <w:tcW w:w="1136"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分组</w:t>
            </w:r>
          </w:p>
        </w:tc>
        <w:tc>
          <w:tcPr>
            <w:tcW w:w="1339"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资产分组</w:t>
            </w:r>
          </w:p>
        </w:tc>
        <w:tc>
          <w:tcPr>
            <w:tcW w:w="3799"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支持对应用资产分组，并支持单独授权指定用户，满足不同的用户具备不同的应用资产管理范围（提供产品功能界面截图证明，</w:t>
            </w:r>
            <w:bookmarkStart w:id="24" w:name="OLE_LINK52"/>
            <w:r>
              <w:rPr>
                <w:rFonts w:hint="eastAsia" w:ascii="宋体" w:hAnsi="宋体" w:eastAsia="宋体" w:cs="宋体"/>
                <w:kern w:val="2"/>
                <w:sz w:val="21"/>
                <w:szCs w:val="21"/>
                <w:lang w:eastAsia="zh-CN"/>
              </w:rPr>
              <w:t>并加盖投标人公章</w:t>
            </w:r>
            <w:bookmarkEnd w:id="24"/>
            <w:r>
              <w:rPr>
                <w:rFonts w:hint="eastAsia" w:ascii="宋体" w:hAnsi="宋体" w:eastAsia="宋体" w:cs="宋体"/>
                <w:kern w:val="2"/>
                <w:sz w:val="21"/>
                <w:szCs w:val="21"/>
                <w:lang w:eastAsia="zh-CN"/>
              </w:rPr>
              <w:t>）。</w:t>
            </w:r>
          </w:p>
        </w:tc>
        <w:tc>
          <w:tcPr>
            <w:tcW w:w="826"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27</w:t>
            </w:r>
          </w:p>
        </w:tc>
        <w:tc>
          <w:tcPr>
            <w:tcW w:w="1136"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知识产权</w:t>
            </w:r>
          </w:p>
        </w:tc>
        <w:tc>
          <w:tcPr>
            <w:tcW w:w="1339"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知识产权</w:t>
            </w:r>
          </w:p>
        </w:tc>
        <w:tc>
          <w:tcPr>
            <w:tcW w:w="3799"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产品具备《计算机软件著作权登记证书》，提供证书复印件，并加盖投标人公章。</w:t>
            </w:r>
          </w:p>
        </w:tc>
        <w:tc>
          <w:tcPr>
            <w:tcW w:w="826" w:type="dxa"/>
            <w:shd w:val="clear" w:color="auto" w:fill="FFFFFF"/>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bl>
    <w:p>
      <w:pPr>
        <w:widowControl w:val="0"/>
        <w:spacing w:line="360" w:lineRule="auto"/>
        <w:jc w:val="left"/>
        <w:outlineLvl w:val="1"/>
        <w:rPr>
          <w:rFonts w:ascii="宋体" w:hAnsi="宋体" w:eastAsia="宋体" w:cs="宋体"/>
          <w:kern w:val="2"/>
          <w:sz w:val="21"/>
          <w:szCs w:val="21"/>
          <w:lang w:eastAsia="zh-CN"/>
        </w:rPr>
      </w:pPr>
    </w:p>
    <w:p>
      <w:pPr>
        <w:widowControl w:val="0"/>
        <w:spacing w:line="360" w:lineRule="auto"/>
        <w:jc w:val="left"/>
        <w:outlineLvl w:val="1"/>
        <w:rPr>
          <w:rFonts w:ascii="宋体" w:hAnsi="宋体" w:eastAsia="宋体" w:cs="宋体"/>
          <w:bCs/>
          <w:kern w:val="2"/>
          <w:sz w:val="21"/>
          <w:szCs w:val="21"/>
          <w:lang w:eastAsia="zh-CN"/>
        </w:rPr>
      </w:pPr>
      <w:bookmarkStart w:id="25" w:name="_Toc11811"/>
      <w:r>
        <w:rPr>
          <w:rFonts w:hint="eastAsia" w:ascii="宋体" w:hAnsi="宋体" w:eastAsia="宋体" w:cs="宋体"/>
          <w:bCs/>
          <w:kern w:val="2"/>
          <w:sz w:val="21"/>
          <w:szCs w:val="21"/>
          <w:lang w:eastAsia="zh-CN"/>
        </w:rPr>
        <w:t>2.数据库安全管理工具</w:t>
      </w:r>
      <w:bookmarkEnd w:id="25"/>
    </w:p>
    <w:tbl>
      <w:tblPr>
        <w:tblStyle w:val="13"/>
        <w:tblW w:w="79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110"/>
        <w:gridCol w:w="1320"/>
        <w:gridCol w:w="3870"/>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shd w:val="clear" w:color="auto" w:fill="BFBFBF"/>
            <w:vAlign w:val="center"/>
          </w:tcPr>
          <w:p>
            <w:pPr>
              <w:widowControl w:val="0"/>
              <w:spacing w:line="360" w:lineRule="auto"/>
              <w:jc w:val="left"/>
              <w:outlineLvl w:val="1"/>
              <w:rPr>
                <w:rFonts w:ascii="宋体" w:hAnsi="宋体" w:eastAsia="宋体" w:cs="宋体"/>
                <w:bCs/>
                <w:kern w:val="2"/>
                <w:sz w:val="21"/>
                <w:szCs w:val="21"/>
                <w:lang w:eastAsia="zh-CN"/>
              </w:rPr>
            </w:pPr>
            <w:bookmarkStart w:id="26" w:name="_Toc31055"/>
            <w:r>
              <w:rPr>
                <w:rFonts w:hint="eastAsia" w:ascii="宋体" w:hAnsi="宋体" w:eastAsia="宋体" w:cs="宋体"/>
                <w:bCs/>
                <w:kern w:val="2"/>
                <w:sz w:val="21"/>
                <w:szCs w:val="21"/>
                <w:lang w:eastAsia="zh-CN"/>
              </w:rPr>
              <w:t>序号</w:t>
            </w:r>
          </w:p>
        </w:tc>
        <w:tc>
          <w:tcPr>
            <w:tcW w:w="1110" w:type="dxa"/>
            <w:shd w:val="clear" w:color="auto" w:fill="BFBFBF"/>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指标种类</w:t>
            </w:r>
          </w:p>
        </w:tc>
        <w:tc>
          <w:tcPr>
            <w:tcW w:w="1320" w:type="dxa"/>
            <w:shd w:val="clear" w:color="auto" w:fill="BFBFBF"/>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指标名称</w:t>
            </w:r>
          </w:p>
        </w:tc>
        <w:tc>
          <w:tcPr>
            <w:tcW w:w="3870" w:type="dxa"/>
            <w:shd w:val="clear" w:color="auto" w:fill="BFBFBF"/>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指标内容</w:t>
            </w:r>
          </w:p>
        </w:tc>
        <w:tc>
          <w:tcPr>
            <w:tcW w:w="825" w:type="dxa"/>
            <w:shd w:val="clear" w:color="auto" w:fill="BFBFBF"/>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重要性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w:t>
            </w:r>
          </w:p>
        </w:tc>
        <w:tc>
          <w:tcPr>
            <w:tcW w:w="111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软件要求</w:t>
            </w:r>
          </w:p>
        </w:tc>
        <w:tc>
          <w:tcPr>
            <w:tcW w:w="132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软件要求</w:t>
            </w:r>
          </w:p>
        </w:tc>
        <w:tc>
          <w:tcPr>
            <w:tcW w:w="3870" w:type="dxa"/>
            <w:vAlign w:val="center"/>
          </w:tcPr>
          <w:p>
            <w:pPr>
              <w:widowControl w:val="0"/>
              <w:spacing w:line="360" w:lineRule="auto"/>
              <w:jc w:val="left"/>
              <w:outlineLvl w:val="1"/>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1.数据库安全管控系统软件1套，统一纳管不同数据库。提供不少于200个数据库授权，授权不得与CPU、服务器、IP地址、MAC绑定，不限制用户数量（投标时提供承诺函，可参照“投标文件格式”中《承诺函》格式）。</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
                <w:bCs/>
                <w:kern w:val="2"/>
                <w:sz w:val="21"/>
                <w:szCs w:val="21"/>
                <w:lang w:eastAsia="zh-CN"/>
              </w:rPr>
              <w:t>2.对于平台保存的数据库账号密码提供支持国密算法的加密保护，满足《中华人民共和国密码法》要求</w:t>
            </w:r>
            <w:r>
              <w:rPr>
                <w:rFonts w:hint="eastAsia" w:ascii="宋体" w:hAnsi="宋体" w:eastAsia="宋体" w:cs="宋体"/>
                <w:b/>
                <w:kern w:val="2"/>
                <w:sz w:val="21"/>
                <w:szCs w:val="21"/>
                <w:lang w:eastAsia="zh-CN"/>
              </w:rPr>
              <w:t>（投标时提供承诺函，可参照“投标文件格式”中《承诺函》格式）</w:t>
            </w:r>
            <w:r>
              <w:rPr>
                <w:rFonts w:hint="eastAsia" w:ascii="宋体" w:hAnsi="宋体" w:eastAsia="宋体" w:cs="宋体"/>
                <w:b/>
                <w:bCs/>
                <w:kern w:val="2"/>
                <w:sz w:val="21"/>
                <w:szCs w:val="21"/>
                <w:lang w:eastAsia="zh-CN"/>
              </w:rPr>
              <w:t>；</w:t>
            </w:r>
            <w:r>
              <w:rPr>
                <w:rFonts w:ascii="宋体" w:hAnsi="宋体" w:eastAsia="宋体" w:cs="宋体"/>
                <w:b/>
                <w:bCs/>
                <w:kern w:val="2"/>
                <w:sz w:val="21"/>
                <w:szCs w:val="21"/>
                <w:lang w:eastAsia="zh-CN"/>
              </w:rPr>
              <w:t xml:space="preserve"> </w:t>
            </w:r>
          </w:p>
        </w:tc>
        <w:tc>
          <w:tcPr>
            <w:tcW w:w="825"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w:t>
            </w:r>
          </w:p>
        </w:tc>
        <w:tc>
          <w:tcPr>
            <w:tcW w:w="111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架构</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部署架构</w:t>
            </w:r>
          </w:p>
        </w:tc>
        <w:tc>
          <w:tcPr>
            <w:tcW w:w="3870" w:type="dxa"/>
            <w:vAlign w:val="center"/>
          </w:tcPr>
          <w:p>
            <w:pPr>
              <w:widowControl w:val="0"/>
              <w:spacing w:line="360" w:lineRule="auto"/>
              <w:jc w:val="left"/>
              <w:outlineLvl w:val="1"/>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1.B/S架构；非硬件产品；无需在数据库服务器安装或部署任何agent等程序软件；提供SQL协议解析器，自带原生一体的SQL操作界面窗口，无需使用或者调用其他诸如PL/SQL Developer、TOAD、Navicat等数据库客户端工具或DBeaver等开源软件（投标时提供承诺函，可参照“投标文件格式”中《承诺函》格式）。</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
                <w:kern w:val="2"/>
                <w:sz w:val="21"/>
                <w:szCs w:val="21"/>
                <w:lang w:eastAsia="zh-CN"/>
              </w:rPr>
              <w:t>2.支持SQL操作与权限管控的底层数据融通，实现操控一体，通过一个软件界面可满足SQL操作、动态提权、脱敏管理等多维度的要求（提供官网产品介绍等证明材料，并加盖投标人公章）。</w:t>
            </w:r>
          </w:p>
        </w:tc>
        <w:tc>
          <w:tcPr>
            <w:tcW w:w="825"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w:t>
            </w:r>
          </w:p>
        </w:tc>
        <w:tc>
          <w:tcPr>
            <w:tcW w:w="111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稳定性</w:t>
            </w:r>
          </w:p>
        </w:tc>
        <w:tc>
          <w:tcPr>
            <w:tcW w:w="132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稳定性和高可用机制</w:t>
            </w:r>
          </w:p>
        </w:tc>
        <w:tc>
          <w:tcPr>
            <w:tcW w:w="387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私有云、公有云及混合云环境及云网环境，支持在云主机、虚拟机、物理机上进行部署，支持容器化部署和版本升级；提供分布式部署功能，满足横向扩展及冗余要求，实现高可用部署（提供证明材料，并加盖投标人公章）。</w:t>
            </w:r>
          </w:p>
        </w:tc>
        <w:tc>
          <w:tcPr>
            <w:tcW w:w="825"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快速恢复</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平台灾备</w:t>
            </w:r>
          </w:p>
        </w:tc>
        <w:tc>
          <w:tcPr>
            <w:tcW w:w="387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提供平台统一备份脚本，支持权限、密码等的快速恢复。</w:t>
            </w:r>
          </w:p>
        </w:tc>
        <w:tc>
          <w:tcPr>
            <w:tcW w:w="825"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数据库类型</w:t>
            </w:r>
          </w:p>
        </w:tc>
        <w:tc>
          <w:tcPr>
            <w:tcW w:w="132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数据库支持</w:t>
            </w:r>
          </w:p>
        </w:tc>
        <w:tc>
          <w:tcPr>
            <w:tcW w:w="387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支持数据库类型包括但不限于Oracle、MySQL、Redis、SQL Server、</w:t>
            </w:r>
            <w:r>
              <w:rPr>
                <w:rFonts w:hint="eastAsia" w:ascii="宋体" w:hAnsi="宋体" w:eastAsia="宋体" w:cs="宋体"/>
                <w:bCs/>
                <w:kern w:val="2"/>
                <w:sz w:val="21"/>
                <w:szCs w:val="21"/>
                <w:lang w:eastAsia="zh-CN"/>
              </w:rPr>
              <w:t>DB2、MariaDB、OceanBase、Kingbase、GoldenDB、TIDB、GBase、GaussDB、</w:t>
            </w:r>
            <w:r>
              <w:rPr>
                <w:rFonts w:hint="eastAsia" w:ascii="宋体" w:hAnsi="宋体" w:eastAsia="宋体" w:cs="宋体"/>
                <w:kern w:val="2"/>
                <w:sz w:val="21"/>
                <w:szCs w:val="21"/>
                <w:lang w:eastAsia="zh-CN"/>
              </w:rPr>
              <w:t>MongoDB、DamengDB、PostgreSQL、阿里云数据库ADS、RDS、腾讯TDPG、TDSQL、H3C SeaSQLEDW、Hive等主流数据库（提供证明材料，并加盖投标人公章）。</w:t>
            </w:r>
          </w:p>
        </w:tc>
        <w:tc>
          <w:tcPr>
            <w:tcW w:w="825"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资源及安全管理</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数据库资源及密码安全管理</w:t>
            </w:r>
          </w:p>
        </w:tc>
        <w:tc>
          <w:tcPr>
            <w:tcW w:w="387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1.提供数据库工作台，统一管理数据库资源、对象资源、权限资源等；</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2.提供数据库资产标记功能，不同类型资产（生产、开发测试等）显示不同的标识（提供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3.支持对数据库账户密码进行统一管控（提供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4.支持数据库账户密码强度检测（提供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5.支持特权账户密码的更新和下发（提供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6.支持特权账户的密码定期修改（提供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用户清册</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数据库用户清册</w:t>
            </w:r>
          </w:p>
        </w:tc>
        <w:tc>
          <w:tcPr>
            <w:tcW w:w="387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提供对接入数据库的源端数据库用户的查询功能。能够动态更新数据库账户的基本信息，包括但不限于数据库编号、数据库名称、用户编号、用户名、状态、创建时间、缺省表空间、有效性、权限等，形成源端数据库用户清册；支持对用户清册信息相关信息的手工维护，可以分实例授权不同用户维护，维护包括但不限于单位、姓名、用户类型、用途、备注等。</w:t>
            </w:r>
          </w:p>
        </w:tc>
        <w:tc>
          <w:tcPr>
            <w:tcW w:w="825"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w:t>
            </w:r>
          </w:p>
        </w:tc>
        <w:tc>
          <w:tcPr>
            <w:tcW w:w="111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SQL编辑器</w:t>
            </w:r>
          </w:p>
        </w:tc>
        <w:tc>
          <w:tcPr>
            <w:tcW w:w="132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SQL编辑器</w:t>
            </w:r>
          </w:p>
        </w:tc>
        <w:tc>
          <w:tcPr>
            <w:tcW w:w="387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1.支持按照树形结构列出所有具有权限的实例、schema、对象等信息；支持按照业务或者数据库类型进行排序；支持数据资源全局检索（提供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2.支持对纳管的数据库SQL可视化操作窗口，支持可视化创建、查看、变更表、视图、存储过程、函数等多种资源对象类型（提供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3.支持SQL语句的执行、提交、中断和回滚，并且支持提交和回滚高亮（提供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4.支持DML（select、insert、Update、delete、CALL/EXEC等）、DDL（drop、truncate、create、alter）等常用数据库操作语句类型；支持USE（T-SQL）、BEGIN...END（PL/SQL）等常用的SQL方言语法（提供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5.支持所有结果数据的导出及分页导出功能，支持以TXT、EXCEL、CSV、sql等格式导出（提供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6.支持结果集直接编辑；SQL语句联想、美化；（提供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7.支持设置自动和手动两种事务提交模式，手动模式下支持回滚操作，支持终止SQL语句、终止SQL会话；（提供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8.支持按照不同数据库的特定风格提供执行计划，如Oracle参照PL/SQL格式显示执行计划信息；MySQL参照Navicat格式显示执行计划信息（提供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9.支持结果集lob字段的友好展示，能够完整展示查询结果集中的LOB字段内容，无乱码，无需借助其他编辑工具（提供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9</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编译调试</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编译调试及管理</w:t>
            </w:r>
          </w:p>
        </w:tc>
        <w:tc>
          <w:tcPr>
            <w:tcW w:w="3870" w:type="dxa"/>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1.支持存储过程、函数、程序包/包体的查看、编辑、编译和调试；</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2.支持对失效对象的快捷发现和批量编译；</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3.支持采用断点、带参、步入、步出等方法进行SQL脚本调试（提供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4.支持对数据库会话信息查看和查杀会话。</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10</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脚本</w:t>
            </w:r>
          </w:p>
        </w:tc>
        <w:tc>
          <w:tcPr>
            <w:tcW w:w="132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脚本管理</w:t>
            </w:r>
          </w:p>
        </w:tc>
        <w:tc>
          <w:tcPr>
            <w:tcW w:w="387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1.支持SQL脚本的批量上传、导入、导出和保存功能；</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2.支持SQL脚本预检查，系统自动检查脚本语法、编码、高危语句并进行提示（提供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3.支持SQL脚本指定执行人员、限定时间段内执行（提供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4.支持共享SQL脚本的指定使用时间段（提供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hint="eastAsia" w:ascii="宋体" w:hAnsi="宋体" w:eastAsia="宋体" w:cs="宋体"/>
                <w:bCs/>
                <w:kern w:val="2"/>
                <w:sz w:val="21"/>
                <w:szCs w:val="21"/>
                <w:lang w:eastAsia="zh-CN"/>
              </w:rPr>
            </w:pPr>
            <w:r>
              <w:rPr>
                <w:rFonts w:hint="eastAsia" w:ascii="宋体" w:hAnsi="宋体" w:eastAsia="宋体" w:cs="宋体"/>
                <w:bCs/>
                <w:kern w:val="2"/>
                <w:sz w:val="21"/>
                <w:szCs w:val="21"/>
                <w:lang w:eastAsia="zh-CN"/>
              </w:rPr>
              <w:t>5.提供对SQL脚本的审核功能：新建SQL脚本审核通过后，可重复次执行；</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6.脚本修改后，需重新审核；</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7.支持由平台进行脚本执行并提供执行结果记录；在执行异常时，可进行重试操作重新执行语句；</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8.支持带参数脚本执行（提供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11</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登录</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登录验证</w:t>
            </w:r>
          </w:p>
        </w:tc>
        <w:tc>
          <w:tcPr>
            <w:tcW w:w="387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1.支持用户名密码、动态口令、手机短信等多种验证登录（</w:t>
            </w:r>
            <w:r>
              <w:rPr>
                <w:rFonts w:hint="eastAsia" w:ascii="宋体" w:hAnsi="宋体" w:eastAsia="宋体" w:cs="宋体"/>
                <w:kern w:val="2"/>
                <w:sz w:val="21"/>
                <w:szCs w:val="21"/>
                <w:lang w:eastAsia="zh-CN"/>
              </w:rPr>
              <w:t>提供产品功能界面截图证明，并加盖投标人公章）</w:t>
            </w:r>
            <w:r>
              <w:rPr>
                <w:rFonts w:hint="eastAsia" w:ascii="宋体" w:hAnsi="宋体" w:eastAsia="宋体" w:cs="宋体"/>
                <w:bCs/>
                <w:kern w:val="2"/>
                <w:sz w:val="21"/>
                <w:szCs w:val="21"/>
                <w:lang w:eastAsia="zh-CN"/>
              </w:rPr>
              <w:t>；</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2.支持与现有堡垒机进行集成，实现系统的免密登录。</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12</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操作</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操作管控</w:t>
            </w:r>
          </w:p>
        </w:tc>
        <w:tc>
          <w:tcPr>
            <w:tcW w:w="3870" w:type="dxa"/>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1.支持按照部门或者组织进行权限的快捷分配，可以快速给同一个部门授予相同的权限；支持用户归属多个部门；</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支持数据库实例、schema、表权限的细粒度管控，包括对查询、变更、高危、导出等进行权限设置（提供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2.支持select、delete、update单次操作的最大返回行数设置，超过安全规则限制的数据量进行拦截及提示（提供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3.支持数据库实例、schema、表的可访问的时间段控制，对于未授权操作进行提示拦截；</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4.支持消息窗口告警和权限申请提示，在消息窗口提供无操作权限的提示，并提供申请权限按钮（提供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13</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权限</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权限策略</w:t>
            </w:r>
          </w:p>
        </w:tc>
        <w:tc>
          <w:tcPr>
            <w:tcW w:w="3870" w:type="dxa"/>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1.支持角色的自定义配置，以及相应权限的配置（提供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2.支持按照用户的部门、团队、组织等进行权限的配置（提供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3.支持实例、schema、表、可编程对象、列权限管控；</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4.支持实例级连接会话信息查看，包括用户在线数、在线状态、最后登录IP、最后登录时间等整体情况；</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5.支持数据库实例、schema、表的访问控制，可设定访问策略，以及设置多个sql命令的特例放行（提供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6.支持按一定访问限制策略，设置单实例访问次数上限（提供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14</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系统管理</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系统管理</w:t>
            </w:r>
          </w:p>
        </w:tc>
        <w:tc>
          <w:tcPr>
            <w:tcW w:w="3870" w:type="dxa"/>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1.提供用户管理功能，支持用户添加、密码管理、用户启用及禁用等；</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2.提供机构管理功能，支持添加或者删除机构信息；</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3.提供角色管理功能，支持编辑、添加或者删除角色；</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4.提供平台登录尝试次数锁定；</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5.提供平台空闲超时退出机制（或锁屏机制）。</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6.支持不同数据库的非法访问、越权操作、危险操作的告警规则配置；</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7.支持权限申请审批工作流，在工单中进行提报并审批，通过后即可获得相应权限，到期后权限自动回收；支持对审批工作流流程的配置</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kern w:val="2"/>
                <w:sz w:val="21"/>
                <w:szCs w:val="21"/>
                <w:lang w:eastAsia="zh-CN"/>
              </w:rPr>
              <w:t>（以上所有提供产品功能界面截图证明，并加盖投标人公章）。</w:t>
            </w:r>
          </w:p>
        </w:tc>
        <w:tc>
          <w:tcPr>
            <w:tcW w:w="825"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15</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备份恢复</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操作备份及误操作恢复</w:t>
            </w:r>
          </w:p>
        </w:tc>
        <w:tc>
          <w:tcPr>
            <w:tcW w:w="3870" w:type="dxa"/>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1.支持按实例和schema维度对数据库进行INSERT /UPDATE /DELETE /TRUNCATE操作备份配置；</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2.支持数据恢复功能，能够快速恢复历史变更操作的任意行级数据，支持单行数据恢复、多行数据批量恢复（提供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16</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敏感数据</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敏感数据管理</w:t>
            </w:r>
          </w:p>
        </w:tc>
        <w:tc>
          <w:tcPr>
            <w:tcW w:w="3870" w:type="dxa"/>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1.支持对敏感数据自定义分级分类；支持自定义配置脱敏规则；</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2.提供动态脱敏功能，支持单个字段的脱敏操作和访问管控；</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3.支持智能全库扫描识别敏感数据和增量扫描识别敏感数据（提供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4.支持内置常用脱敏规则，支持脱敏方式：遮盖、哈希、加密、变换、随机替换、固定替换等方式；</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5.支持查询结果脱敏、导出结果脱敏；</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支持结果集窗口水印加密，防止截图（提供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6.支持导出结果集水印加密（EXCEL）（提供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7.支持导出文件加密，加密后通过秘钥才能查看导出文件（提供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8.导出时支持记录导出事由，数据导出的审计需有操作人、事由、时间等信息；支持导出统计。</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17</w:t>
            </w:r>
          </w:p>
        </w:tc>
        <w:tc>
          <w:tcPr>
            <w:tcW w:w="111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审计</w:t>
            </w:r>
          </w:p>
        </w:tc>
        <w:tc>
          <w:tcPr>
            <w:tcW w:w="1320"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审计管理</w:t>
            </w:r>
          </w:p>
        </w:tc>
        <w:tc>
          <w:tcPr>
            <w:tcW w:w="3870" w:type="dxa"/>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1.支持对所有数据库操作进行留痕，内容包括操作人、操作时间、I操作内容、执行结果等（提供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2.支持按照实例、操作人、执行结果、执行动作、执行时间等进行SQL操作语句筛选（提供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3.支持按照拦截语句、未成功语句、成功语句进行SQL操作语句筛选（提供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4.支持对未遂的SQL操作进行审计（提供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5.支持SQL操作审计的便捷权限追踪；</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6.支持SQL操作审计数据的导出；</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7.支持SQL操作的统计数据的图表化展示（提供</w:t>
            </w:r>
            <w:r>
              <w:rPr>
                <w:rFonts w:hint="eastAsia" w:ascii="宋体" w:hAnsi="宋体" w:eastAsia="宋体" w:cs="宋体"/>
                <w:kern w:val="2"/>
                <w:sz w:val="21"/>
                <w:szCs w:val="21"/>
                <w:lang w:eastAsia="zh-CN"/>
              </w:rPr>
              <w:t>产品</w:t>
            </w:r>
            <w:r>
              <w:rPr>
                <w:rFonts w:hint="eastAsia" w:ascii="宋体" w:hAnsi="宋体" w:eastAsia="宋体" w:cs="宋体"/>
                <w:bCs/>
                <w:kern w:val="2"/>
                <w:sz w:val="21"/>
                <w:szCs w:val="21"/>
                <w:lang w:eastAsia="zh-CN"/>
              </w:rPr>
              <w:t>功能界面截图证明，并加盖投标人公章）；</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8.支持对操作提权、授权的行为留痕；</w:t>
            </w: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9.支持审计结果保存1年或以上。</w:t>
            </w:r>
          </w:p>
        </w:tc>
        <w:tc>
          <w:tcPr>
            <w:tcW w:w="825" w:type="dxa"/>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18</w:t>
            </w:r>
          </w:p>
        </w:tc>
        <w:tc>
          <w:tcPr>
            <w:tcW w:w="111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兼容性</w:t>
            </w:r>
          </w:p>
        </w:tc>
        <w:tc>
          <w:tcPr>
            <w:tcW w:w="132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产品兼容性、安全性及适配能力要求</w:t>
            </w:r>
          </w:p>
        </w:tc>
        <w:tc>
          <w:tcPr>
            <w:tcW w:w="3870"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1.服务器端支持的操作系统应包括但不限于windows、linux等主流操作系统，需支持龙蜥、欧拉、麒麟等操作系统；</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2.平台兼容 chrome 、Firefox等及相应内核的浏览器。</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3.至少支持龙芯、鲲鹏芯片，银河麒麟、统信操作系统，阿里云、腾讯云、华为</w:t>
            </w:r>
            <w:r>
              <w:rPr>
                <w:rFonts w:hint="eastAsia" w:ascii="宋体" w:hAnsi="宋体" w:eastAsia="宋体" w:cs="宋体"/>
                <w:kern w:val="2"/>
                <w:sz w:val="21"/>
                <w:szCs w:val="21"/>
                <w:lang w:val="en-US" w:eastAsia="zh-CN"/>
              </w:rPr>
              <w:t>GaussDB、人大金仓数据库，</w:t>
            </w:r>
            <w:r>
              <w:rPr>
                <w:rFonts w:hint="eastAsia" w:ascii="宋体" w:hAnsi="宋体" w:eastAsia="宋体" w:cs="宋体"/>
                <w:kern w:val="2"/>
                <w:sz w:val="21"/>
                <w:szCs w:val="21"/>
                <w:lang w:eastAsia="zh-CN"/>
              </w:rPr>
              <w:t>云平台的适配支持（提供双方互认证证书）；</w:t>
            </w:r>
          </w:p>
          <w:p>
            <w:pPr>
              <w:widowControl w:val="0"/>
              <w:jc w:val="both"/>
              <w:rPr>
                <w:rFonts w:ascii="Times New Roman" w:hAnsi="Times New Roman" w:eastAsia="宋体" w:cs="Times New Roman"/>
                <w:kern w:val="2"/>
                <w:sz w:val="21"/>
                <w:szCs w:val="22"/>
                <w:lang w:eastAsia="zh-CN"/>
              </w:rPr>
            </w:pPr>
            <w:r>
              <w:rPr>
                <w:rFonts w:hint="eastAsia" w:ascii="宋体" w:hAnsi="宋体" w:eastAsia="宋体" w:cs="宋体"/>
                <w:kern w:val="2"/>
                <w:sz w:val="21"/>
                <w:szCs w:val="21"/>
                <w:lang w:eastAsia="zh-CN"/>
              </w:rPr>
              <w:t>4.产品安全性符合国家及税务系统相关要求。</w:t>
            </w:r>
          </w:p>
          <w:p>
            <w:pPr>
              <w:widowControl w:val="0"/>
              <w:spacing w:line="360" w:lineRule="auto"/>
              <w:jc w:val="left"/>
              <w:outlineLvl w:val="1"/>
              <w:rPr>
                <w:rFonts w:ascii="宋体" w:hAnsi="宋体" w:eastAsia="宋体" w:cs="宋体"/>
                <w:kern w:val="2"/>
                <w:sz w:val="21"/>
                <w:szCs w:val="21"/>
                <w:lang w:eastAsia="zh-CN"/>
              </w:rPr>
            </w:pPr>
          </w:p>
        </w:tc>
        <w:tc>
          <w:tcPr>
            <w:tcW w:w="825" w:type="dxa"/>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bl>
    <w:p>
      <w:pPr>
        <w:widowControl w:val="0"/>
        <w:spacing w:line="360" w:lineRule="auto"/>
        <w:jc w:val="left"/>
        <w:outlineLvl w:val="1"/>
        <w:rPr>
          <w:rFonts w:ascii="宋体" w:hAnsi="宋体" w:eastAsia="宋体" w:cs="宋体"/>
          <w:kern w:val="2"/>
          <w:sz w:val="21"/>
          <w:szCs w:val="21"/>
          <w:lang w:eastAsia="zh-CN"/>
        </w:rPr>
      </w:pP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3.</w:t>
      </w:r>
      <w:bookmarkEnd w:id="26"/>
      <w:r>
        <w:rPr>
          <w:rFonts w:ascii="宋体" w:hAnsi="宋体" w:eastAsia="宋体" w:cs="宋体"/>
          <w:bCs/>
          <w:kern w:val="2"/>
          <w:sz w:val="21"/>
          <w:szCs w:val="21"/>
          <w:lang w:eastAsia="zh-CN"/>
        </w:rPr>
        <w:t>静态代码安全检测工具</w:t>
      </w:r>
    </w:p>
    <w:tbl>
      <w:tblPr>
        <w:tblStyle w:val="13"/>
        <w:tblpPr w:leftFromText="180" w:rightFromText="180" w:vertAnchor="text" w:horzAnchor="page" w:tblpX="1616" w:tblpY="104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708"/>
        <w:gridCol w:w="709"/>
        <w:gridCol w:w="6175"/>
        <w:gridCol w:w="3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shd w:val="clear" w:color="auto" w:fill="BEBEBE"/>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序号</w:t>
            </w:r>
          </w:p>
        </w:tc>
        <w:tc>
          <w:tcPr>
            <w:tcW w:w="708" w:type="dxa"/>
            <w:shd w:val="clear" w:color="auto" w:fill="BEBEBE"/>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指标种类</w:t>
            </w:r>
          </w:p>
        </w:tc>
        <w:tc>
          <w:tcPr>
            <w:tcW w:w="709" w:type="dxa"/>
            <w:shd w:val="clear" w:color="auto" w:fill="BEBEBE"/>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指标名称</w:t>
            </w:r>
          </w:p>
        </w:tc>
        <w:tc>
          <w:tcPr>
            <w:tcW w:w="6175" w:type="dxa"/>
            <w:shd w:val="clear" w:color="auto" w:fill="BEBEBE"/>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指标内容</w:t>
            </w:r>
          </w:p>
        </w:tc>
        <w:tc>
          <w:tcPr>
            <w:tcW w:w="396" w:type="dxa"/>
            <w:shd w:val="clear" w:color="auto" w:fill="BEBEBE"/>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重要性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语言支持</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代码语言支持</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支持Java，.NET，C，C++，C#、Objective-C，swift，PL/SQL，JavaScript，Python，PHP，Go,H5（Node.js）,Android、ios等常见语言的代码检测（提供产品功能截图，并加盖投标人公章）。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模式</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扫描模式</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同时支持常规模式和快速模式：</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1.常规模式下，可以保障缺陷检测全面；</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2.快速模式下，检测速度不低于6万行/每分钟；（提供产品功能界面截图证明，并加盖投标人公章）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标准</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合规对标</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包括对标标准包括：</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（1）GB/T 34943-2017 C/C++语言源代码漏洞测试规范</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（2）GB/T 34944-2017 Java语言源代码漏洞测试规范</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（3）GB/T 34946-2017 C#语言源代码漏洞测试规范</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（4）GB/T 39412-2020 信息安全技术 代码安全审计规范</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（5）GB/T 38674-2020 信息安全技术 应用软件安全编程指南</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（6）OWASP Top10 2017</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（7）CWE/SANS TOP25</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（8）CWE（常见缺陷列表）</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（9）PCI DSS 3.2</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（10）GJB 8114-2023 C/C++语言编程安全子集</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（11）MISRA C 2012</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（12）MISRA C++2008</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（13）CERT C++编码规范</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代码检测</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代码检测</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1.支持对增量代码进行扫描检测分析；</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2.支持检测代码中可能存在的安全缺陷，安全缺陷可能会形成安全漏洞；</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3.支持按照安全缺陷、质量缺陷分类对缺陷进行分类显示；</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4.支持检测代码中存在的不规范的风格，存在功能或性能方面的缺陷；</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5.支持配置自动化扫描检测策略，能够从Git、SVN、FTP上获取代码进行自动化周期性扫描检测；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6.支持自定义添加检测规则用于源代码缺陷检测。</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多并发扫描</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多并发扫描检测</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1.支持分布式技术实现多任务并行扫描检测（提供产品功能界面截图证明，并加盖投标人公章）；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2.支持每天构建扫描项目量大于600个。</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缺陷处置</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缺陷处置</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1.能够提供针对实际业务代码的缺陷成因解释和可直接应用的修复方案，帮助用户更好地理解和修复缺陷（提供产品功能界面截图证明，并加盖投标人公章）；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2.对于同一个代码项目的多次检测任务，只保留去重后的代码缺陷，基于去重机制可自动验证代码缺陷新增、未修复和修复状态，增强代码风险缺陷闭环管理（提供产品功能界面截图证明，并加盖投标人公章）；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3.支持对开发标记为误报或忽略的缺陷进行复审，能够驳回或通过开发的审核结果（提供产品功能界面截图证明，并加盖投标人公章）。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缺陷类型</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缺陷类型数</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涵盖缺陷类型种类数量不少于2000+（提供功能界面截图证明，并加盖投标人公章）。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检测支持</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基于源码检测</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支持直接检测源代码，不依赖编译环境（提供产品功能界面截图证明，并加盖投标人公章）。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9</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误报策略</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误报策略</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1.支持通过误报策略对存在的误报特征、规则进行标识和过滤，从规则和代码逻辑层面有效降低代码检测误报率（提供产品功能界面截图证明，并加盖投标人公章）；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2.具有缺陷处理策略，可自动化分析过滤误报。误报规则至少包括：</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（1）缺陷类型误报规则；</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（2）代码路径误报规则；</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（3）代码内容误报规则；</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10</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白名单</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函数白名单</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添加函数白名单，通过类名、函数名等制定白名单函数，通过调用该函数的对象、函数参数及函数返回值确定污点的传入传出点，将该传递路径确定为函数的可信传递（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11</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期限设置</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整改期限</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支持对检出的中高危缺陷设置修复期限，提醒开发在规定时间内修复安全问题（提供产品功能界面截图证明，并加盖投标人公章）。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12</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审核</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代码缺陷审核</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1.支持通过代码路径、代码内容、漏洞分类等筛选条件审核扫描结果；</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2.支持筛选查看原始扫描结果和审计分析结果；</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3.支持对发现的代码缺陷进行分类和打标签等；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4.在审计分析页面上，能够分析代码漏洞产生的详细路径，并对扫描结果的每个问题给出详细的漏洞风险说明和解决方案；</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5.支持开发自治的缺陷治理模式，开发可自行确认缺陷是否需要整改，审核对开发认为无需整改的缺陷做确认；</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6.支持全局缺陷的统一筛选审核，可以按缺陷类型对缺陷进行统一处理（提供产品功能界面截图证明，并加盖投标人公章）；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7.支持自定义缺陷规则集合，只分析特定的代码缺陷类型；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8.记录缺陷发现、确认、处理和修复的“生命周期”，并能够统计缺陷问题整理报表。</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13</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报告</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报表报告</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多维度统计报表分析，包括但不限于检测任务数、代码量统计、缺陷数、千行代码缺陷率、代码缺陷Top10排名、代码漏洞趋势分析、审核状态统计、缺陷等级和类型分布等；支持对阶段性的检测结果统计分析；</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2.报告内容包括问题等级及问题类型等基本统计信息、问题分类、问题描述、修复建议、风险点、问题跟踪信息及关键API等详细信息；报告内容可对问题等级、问题类型、修复建议、跟踪路径根据需求进行定制。</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14</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登录</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登录认证和权限管理</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1.支持配置接入AD域进行用户登录认证；</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2.支持企业Gitlab体系用户登录认证；</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3.支持双因子认证登录；</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4.可自定义配置密码有效期，到期后强制修改密码（提供产品功能界面截图证明，并加盖投标人公章）；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分配多个角色权限，如管理员、项目经理、测试员、开发者等，并且能够针对某个扫描项目分配给其他权限的用户，同时支持多个团队项目之间数据隔离，不同团队无法越权查看（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15</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集成</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集成要求</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1.系统支持本地直接发起检测任务，也可以从SVN、GIT等代码仓库以及FTP获取代码并发起检测任务，支持对项目的批量检测；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2.通过插件、命令行脚本或Pipeline脚本集成到CI/CD流水线中，自动触发代码扫描检测和获取检测结果。支持Coding、蓝鲸、Jenkins、Azure DevOps、GitLab-CI等DevOps环境集成；</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3.至少支持IntelliJ IDEA、Android Studio、vs code等IDE插件，通过IDE插件集成，在IDE端发起代码扫描检测和查看检测结果（提供产品功能界面截图证明，并加盖投标人公章）。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16</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日志</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日志记录与监控</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1.支持查询扫描引擎的扫描日志功能，并记录扫描失败的原因：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2.能够提供可视化的页面配置系统参数、系统日志管理、异常预警等相关信息；区分扫描引擎扫描阶段、结果分析阶段，并能看到每个阶段的扫描耗时。</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7" w:hRule="atLeast"/>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17</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性能</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性能要求</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在CPU为16C内存64G的配置下：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检测平均速度大于30KLOC/分钟。</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支持每天构建检测项目大于600个，支持多任务同时扫描不少于4个检测任务。支持并发用户数大于100人（提供产品证明材料，并加盖投标人公章）。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18</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兼容性</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兼容性</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1.支持与常见的开发环境工具、开发语言和操作系统兼容，并且能够与其他测试工具集成使用。</w:t>
            </w:r>
          </w:p>
          <w:p>
            <w:pPr>
              <w:widowControl w:val="0"/>
              <w:spacing w:line="360" w:lineRule="auto"/>
              <w:jc w:val="left"/>
              <w:outlineLvl w:val="1"/>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2.CPU要求至少兼容：海光、鲲鹏、飞腾；</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3.至少支持银河麒麟、OpenEuler、统信UOS、申威等环境部署；</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4.数据库至少支持：TDSQL、OceanBase、达梦、GaussDB等；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5.支持Chrome、火狐等主流浏览器版本（提供产品功能界面截图证明，并加盖投标人公章）。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19</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扩展性</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可扩展性</w:t>
            </w:r>
          </w:p>
        </w:tc>
        <w:tc>
          <w:tcPr>
            <w:tcW w:w="6175" w:type="dxa"/>
            <w:noWrap/>
            <w:vAlign w:val="center"/>
          </w:tcPr>
          <w:p>
            <w:pPr>
              <w:widowControl w:val="0"/>
              <w:spacing w:line="360" w:lineRule="auto"/>
              <w:jc w:val="left"/>
              <w:outlineLvl w:val="1"/>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1.支持分布式引擎部署，支持灵活扩展引擎，能够无缝对接第三方扫描引擎。</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2.提供丰富的API接口以及相关API文档说明</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bCs/>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20</w:t>
            </w:r>
          </w:p>
        </w:tc>
        <w:tc>
          <w:tcPr>
            <w:tcW w:w="708"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知识产权</w:t>
            </w:r>
          </w:p>
        </w:tc>
        <w:tc>
          <w:tcPr>
            <w:tcW w:w="70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自主知识产权</w:t>
            </w:r>
          </w:p>
        </w:tc>
        <w:tc>
          <w:tcPr>
            <w:tcW w:w="6175"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产品具有源代码审计相关的计算机软件著作权登记证书（提供证书复印件，并加盖投标人公章）</w:t>
            </w:r>
          </w:p>
        </w:tc>
        <w:tc>
          <w:tcPr>
            <w:tcW w:w="39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bl>
    <w:p>
      <w:pPr>
        <w:widowControl w:val="0"/>
        <w:spacing w:line="360" w:lineRule="auto"/>
        <w:jc w:val="left"/>
        <w:outlineLvl w:val="1"/>
        <w:rPr>
          <w:rFonts w:hint="eastAsia" w:ascii="宋体" w:hAnsi="宋体" w:eastAsia="宋体" w:cs="宋体"/>
          <w:kern w:val="2"/>
          <w:sz w:val="21"/>
          <w:szCs w:val="21"/>
          <w:lang w:eastAsia="zh-CN"/>
        </w:rPr>
      </w:pPr>
      <w:bookmarkStart w:id="27" w:name="_Toc22660"/>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4.</w:t>
      </w:r>
      <w:bookmarkEnd w:id="27"/>
      <w:r>
        <w:rPr>
          <w:rFonts w:ascii="宋体" w:hAnsi="宋体" w:eastAsia="宋体" w:cs="宋体"/>
          <w:bCs/>
          <w:kern w:val="2"/>
          <w:sz w:val="21"/>
          <w:szCs w:val="21"/>
          <w:lang w:eastAsia="zh-CN"/>
        </w:rPr>
        <w:t>开源组件检测工具</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850"/>
        <w:gridCol w:w="851"/>
        <w:gridCol w:w="5880"/>
        <w:gridCol w:w="4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shd w:val="clear" w:color="auto" w:fill="D7D7D7"/>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序号</w:t>
            </w:r>
          </w:p>
        </w:tc>
        <w:tc>
          <w:tcPr>
            <w:tcW w:w="850" w:type="dxa"/>
            <w:shd w:val="clear" w:color="auto" w:fill="D7D7D7"/>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指标种类</w:t>
            </w:r>
          </w:p>
        </w:tc>
        <w:tc>
          <w:tcPr>
            <w:tcW w:w="851" w:type="dxa"/>
            <w:shd w:val="clear" w:color="auto" w:fill="D7D7D7"/>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指标名称</w:t>
            </w:r>
          </w:p>
        </w:tc>
        <w:tc>
          <w:tcPr>
            <w:tcW w:w="5880" w:type="dxa"/>
            <w:shd w:val="clear" w:color="auto" w:fill="D7D7D7"/>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指标内容</w:t>
            </w:r>
          </w:p>
        </w:tc>
        <w:tc>
          <w:tcPr>
            <w:tcW w:w="407" w:type="dxa"/>
            <w:shd w:val="clear" w:color="auto" w:fill="D7D7D7"/>
            <w:noWrap/>
            <w:vAlign w:val="center"/>
          </w:tcPr>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重要性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检测对象</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检测对象</w:t>
            </w:r>
          </w:p>
        </w:tc>
        <w:tc>
          <w:tcPr>
            <w:tcW w:w="5880" w:type="dxa"/>
            <w:noWrap/>
            <w:vAlign w:val="center"/>
          </w:tcPr>
          <w:p>
            <w:pPr>
              <w:widowControl w:val="0"/>
              <w:spacing w:line="360" w:lineRule="auto"/>
              <w:jc w:val="left"/>
              <w:outlineLvl w:val="1"/>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支持对源代码、二进制制品（支持jar、war，elf、exe、deb、rpm）、容器镜像和SBOM进行检测（提供产品功能截图，并加盖投标人公章）。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语言支持</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语言支持</w:t>
            </w:r>
          </w:p>
        </w:tc>
        <w:tc>
          <w:tcPr>
            <w:tcW w:w="5880" w:type="dxa"/>
            <w:noWrap/>
            <w:vAlign w:val="center"/>
          </w:tcPr>
          <w:p>
            <w:pPr>
              <w:widowControl w:val="0"/>
              <w:spacing w:line="360" w:lineRule="auto"/>
              <w:jc w:val="left"/>
              <w:outlineLvl w:val="1"/>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支持对Java、Python、JS、PHP、C#/.NET、ObjectiveC/Swift、Go、Kotlin、Node.js语言进行检测（提供产品功能截图证明材料，并加盖投标人公章）。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检测方式</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检测方式</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1.支持对Maven、Gradle、Npm、Yarn、Pypi、Pipenv、Composer、Nuget、Go Modules、Cocoapods等包管理器进行检测；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2.支持本地上传、git上传、svn上传和ftp的方式进行上传检测，git上传、svn上传和ftp的方式支持用户名+密码方式进行配置，Git额外支持SSH公钥和Token类型；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3.支持Git代码仓库对接，支持对代码仓库的代码进行批量检测；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4.支持检测组件在项目中多个路径存在的情况；</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5.支持多任务并发检测，节点和任务数没有限制；</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6.支持对检测出的组件进行标记，可以标记为误报、预留、其他合内部库；</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7.支持客户端检测，提供sbom清单工具，以提交sbom清单的方式进行检测，避免源代码上传到服务器。</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格式</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文件格式</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支持zip、war、jar、rar、tar、7z、tgz、gz、tar.gz、tbz、tbz2、tar.bz2、txz、xz、tar.xz等的文件格式进行上传（提供产品功能界面截图证明，并加盖投标人公章）。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知识库</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知识库</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许可证知识库1900+，组件漏洞库27万+、组件库1亿+（提供产品功能截图，并加盖投标人公章）。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篡改检测</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篡改检测</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支持检测jar包是否存在篡改的情况，对存在篡改的jar给出提示（提供产品功能界面截图证明，并加盖投标人公章）。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报告</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生成报告</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支持以word、pdf、excel、xml和json的格式生成报告，报告中展示的内容包括项目基本信息、隐患组件清单、许可证清单、漏洞修复方案和组件风险详情（提供产品功能界面截图证明，并加盖投标人公章）。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组件清单</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组件清单</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支持展示项目内的组件名称、组件版本、引用方式、组件的漏洞情况和许可证情况；支持展示组件之间的依赖关系（提供产品功能界面截图证明，并加盖投标人公章）。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9</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漏洞</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漏洞信息</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支持展示组件的漏洞信息，包括漏洞的名称、漏洞详情、风险等级、漏洞的修复方案、漏洞编号、CVSS2和CVSS3信息、漏洞发布时间、影响的项目信息（提供产品功能界面截图证明，并加盖投标人公章）。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10</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许可证</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许可证信息</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对开源组件许可证检测分析，发现组件许可证合规风险，展示许可证的禁止项、义务项、权力项、许可证原文和影响的组件，并支持检测一个组件存在多个许可证的情况（提供产品功能界面截图证明，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11</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组件管理</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组件管理</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1.能够查看所有检测到的组件清单、漏洞清单和许可证清单，并通过组件与项目关联、组件与漏洞关联的方式关联查看组件所存在的漏洞和影响到的项目；</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2.将子组件的漏洞归属到对应父组件，平台以直接引入组件的维度来展示漏洞信息（仅支持java）（提供产品功能界面截图证明，并加盖投标人公章）；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以父组件的维度给出升级修复方案，修复方案包括漏洞优先和兼容性优先两个维度，能在升级前看到升级后能修复哪些漏洞，遗留哪些漏洞以及剩余哪些漏洞（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4.支持对组件进行自定义的漏洞规则配置；</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5.支持监测组件在项目中是否实际使用。</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12</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双因子</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双因子认证</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平台支持双因子认证，保证平台数据安全性（提供产品功能界面截图证明，并加盖投标人公章）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13</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报告清单</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报告和清单导出</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1.支持导出常规检测报告、对标检测报告、概要检测报告、整改检测报告，导出报告可根据分类选择安全报告、质量报告。导出的报告文件格式，包括word/pdf/xml/json等。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2.报告内容包括问题等级及问题类型等基本统计信息、问题分类、问题描述、修复建议、风险点、问题跟踪信息及关键API等详细信息；报告内容可对问题等级、问题类型、修复建议、跟踪路径根据需求进行定制；</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3.支持用户自定义上传报告的页眉、封面和水印；</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4.支持导出cyclonedx和spdx两种格式的sbom清单；</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14</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权限管理</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权限管理</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支持分配多个角色权限，如管理员，项目经理，测试员，开发者等，并且能够针对某个扫描项目分配给其他权限的用户，同时支持多个团队项目之间数据隔离，不同团队无法越权查看。</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15</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Ga变化提示</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Ga变化提示</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对groupid和artifactid变化的组件做出提示（提供产品功能界面截图证明，并加盖投标人公章）。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16</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漏洞相关</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漏洞相关</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1.漏洞库升级：支持定期提供漏洞和规则库离线更新包，更新包可通过系统后台管理页面离线导入，支持以在线的方式进行更新；</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2.漏洞预警：在漏洞知识库更新后，可以告知用户新增的漏洞会影响哪些组件和哪些项目；</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3.漏洞忽略：支持用户忽略掉检测出的漏洞；</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4.自定义漏洞：支持用户对组件进行自定义的漏洞规则配置；</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5.漏洞信息：支持展示组件的漏洞信息，包括漏洞的名称、漏洞详情、风险等级、漏洞的修复方案、漏洞编号、CVSS2和CVSS3信息、漏洞发布时间、影响的项目信息。</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17</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知识库</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知识库查询</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支持输入组件名称等方式查询组件的相关信息，支持输入漏洞编号等方式查询漏洞，支持输入许可证编号等方式查询许可证相关信息</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18</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邮件通知</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邮件通知</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在任务检测完成后以邮件的方式通知检测者</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19</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兼容性</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兼容能力</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至少支持部署在飞腾、鲲鹏、龙芯、兆芯、海光设备上，至少支持银河麒麟、统信和欧拉系统</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20</w:t>
            </w:r>
          </w:p>
        </w:tc>
        <w:tc>
          <w:tcPr>
            <w:tcW w:w="85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知识产权</w:t>
            </w:r>
          </w:p>
        </w:tc>
        <w:tc>
          <w:tcPr>
            <w:tcW w:w="851"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软件著作权</w:t>
            </w:r>
          </w:p>
        </w:tc>
        <w:tc>
          <w:tcPr>
            <w:tcW w:w="588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具有开源组件安全检测相关的计算机软件著作权登记证书（提供证书复印件，并加盖投标人公章）</w:t>
            </w:r>
          </w:p>
        </w:tc>
        <w:tc>
          <w:tcPr>
            <w:tcW w:w="407"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bl>
    <w:p>
      <w:pPr>
        <w:widowControl w:val="0"/>
        <w:spacing w:line="360" w:lineRule="auto"/>
        <w:jc w:val="left"/>
        <w:outlineLvl w:val="1"/>
        <w:rPr>
          <w:rFonts w:ascii="宋体" w:hAnsi="宋体" w:eastAsia="宋体" w:cs="宋体"/>
          <w:kern w:val="2"/>
          <w:sz w:val="21"/>
          <w:szCs w:val="21"/>
          <w:lang w:eastAsia="zh-CN"/>
        </w:rPr>
      </w:pPr>
    </w:p>
    <w:p>
      <w:pPr>
        <w:widowControl w:val="0"/>
        <w:spacing w:line="360" w:lineRule="auto"/>
        <w:jc w:val="left"/>
        <w:outlineLvl w:val="1"/>
        <w:rPr>
          <w:rFonts w:ascii="宋体" w:hAnsi="宋体" w:eastAsia="宋体" w:cs="宋体"/>
          <w:bCs/>
          <w:kern w:val="2"/>
          <w:sz w:val="21"/>
          <w:szCs w:val="21"/>
          <w:lang w:eastAsia="zh-CN"/>
        </w:rPr>
      </w:pPr>
      <w:r>
        <w:rPr>
          <w:rFonts w:hint="eastAsia" w:ascii="宋体" w:hAnsi="宋体" w:eastAsia="宋体" w:cs="宋体"/>
          <w:bCs/>
          <w:kern w:val="2"/>
          <w:sz w:val="21"/>
          <w:szCs w:val="21"/>
          <w:lang w:eastAsia="zh-CN"/>
        </w:rPr>
        <w:t>5.主机安全防护系统</w:t>
      </w:r>
      <w:bookmarkStart w:id="48" w:name="_GoBack"/>
      <w:bookmarkEnd w:id="48"/>
    </w:p>
    <w:tbl>
      <w:tblPr>
        <w:tblStyle w:val="13"/>
        <w:tblW w:w="7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186"/>
        <w:gridCol w:w="1289"/>
        <w:gridCol w:w="384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shd w:val="clear" w:color="auto" w:fill="C9C9C9"/>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序号</w:t>
            </w:r>
          </w:p>
        </w:tc>
        <w:tc>
          <w:tcPr>
            <w:tcW w:w="1186" w:type="dxa"/>
            <w:shd w:val="clear" w:color="auto" w:fill="C9C9C9"/>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指标种类</w:t>
            </w:r>
          </w:p>
        </w:tc>
        <w:tc>
          <w:tcPr>
            <w:tcW w:w="1289" w:type="dxa"/>
            <w:shd w:val="clear" w:color="auto" w:fill="C9C9C9"/>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指标名称</w:t>
            </w:r>
          </w:p>
        </w:tc>
        <w:tc>
          <w:tcPr>
            <w:tcW w:w="3840" w:type="dxa"/>
            <w:shd w:val="clear" w:color="auto" w:fill="C9C9C9"/>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指标内容</w:t>
            </w:r>
          </w:p>
        </w:tc>
        <w:tc>
          <w:tcPr>
            <w:tcW w:w="840" w:type="dxa"/>
            <w:shd w:val="clear" w:color="auto" w:fill="C9C9C9"/>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重要性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配置</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配置要求</w:t>
            </w:r>
          </w:p>
        </w:tc>
        <w:tc>
          <w:tcPr>
            <w:tcW w:w="3840" w:type="dxa"/>
            <w:noWrap/>
            <w:vAlign w:val="center"/>
          </w:tcPr>
          <w:p>
            <w:pPr>
              <w:widowControl w:val="0"/>
              <w:spacing w:line="360" w:lineRule="auto"/>
              <w:jc w:val="left"/>
              <w:outlineLvl w:val="1"/>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采用Agent-Server架构，支持通过B/S管理方式对每个主机进行集中管理。提供2套控制中心，服务器软件客户端2000点，每套控制中心管理的点数根据用户需要进行调整。功能模块包括：资产清点、风险发现、入侵检测、合规基线、微蜜罐、内存后门、文件完整性、病毒查杀、违规外联等（投标时提供承诺函，可参照“投标文件格式”中《承诺函》格式）。</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权限</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权限管理</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具备三权分立，支持根据用户类别划分角色和权限，支持设置每个账户管理不同的主机与功能，账号支持与LDAP和AD进行对接，账号应支持OTP二次验证。</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客户端</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客户端和插件</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推送Agent的升级支持限制升级的速度，防止网络拥堵，支持Agent版本回滚至任意指定版本；支持以时间维度详细展示客户端安装记录，应至少记录并支持检索如下信息：安装时间、主机名、主机IP、操作系统、连接方式、业务组、当前是否在线等信息；相关信息应支持导出csv格式完整安装记录；支持通过平台查看Agent的状态，并可随时调整Agent运行模式，导出Agent运行日志与报表；支持通过命令行方式安装客户端（linux、windows）（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主机管理</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批量导入资产等级、负责人、负责人邮箱、机房位置、固定资产编号、标签、备注等主机信息。提供资产标签功能，支持资产标签自动更新，标签功能支持匹配进程或应用后自动标记标签（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告警</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告警显示</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统一管理，每条通知告警应包括：告警发送时间，告警消息类型，告警标题，告警内容，且支持筛选搜索（提供产品功能界面截图证明，并加盖投标人公章）。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安全</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安全性与稳定性</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客户端占用内存资源不超过500MB，CPU单核使用率不超过50%，客户端不得修改服务器操作系统内核或驱动，客户端在安装前后，Linux服务器内核模块无变化。客户端具有自动降级与自杀机制，以保证业务连续性要求，并支持使用非root账号运行（提供截图证明，针对不修改内核及驱动需提供第三方检测报告，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操作系统</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操作系统支持</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1_)支持常见windows service操作系统，支持常见Linux操作系统：Oracle：5、6、7；RHEL：5、6、7；CentOS：5-8；Ubuntu：10-19；SUSE：10-15;Debian:6-10;OPenSUSE:11-15;</w:t>
            </w:r>
          </w:p>
          <w:p>
            <w:pPr>
              <w:widowControl w:val="0"/>
              <w:spacing w:line="360" w:lineRule="auto"/>
              <w:jc w:val="left"/>
              <w:outlineLvl w:val="1"/>
              <w:rPr>
                <w:rFonts w:ascii="宋体" w:hAnsi="宋体" w:eastAsia="宋体" w:cs="宋体"/>
                <w:b/>
                <w:kern w:val="2"/>
                <w:sz w:val="21"/>
                <w:szCs w:val="21"/>
                <w:lang w:eastAsia="zh-CN"/>
              </w:rPr>
            </w:pPr>
            <w:r>
              <w:rPr>
                <w:rFonts w:hint="eastAsia" w:ascii="宋体" w:hAnsi="宋体" w:eastAsia="宋体" w:cs="宋体"/>
                <w:kern w:val="2"/>
                <w:sz w:val="21"/>
                <w:szCs w:val="21"/>
                <w:lang w:eastAsia="zh-CN"/>
              </w:rPr>
              <w:t>2)至少支持常见操作系统：NeoKylin：6、7（中标麒麟）；YHKylin：4、10（银河麒麟）；Redflag4、7、9（红旗）；Redflag Asianux 8.1（欧拉版）；Deepin15（深度）；iSoft，iSoft5（普华），EulerOS 2（欧拉），bc_linux（大云）（投标时提供承诺函，可参照“投标文件格式”中《承诺函》格式）</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探测</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离线探测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采用配置ping或nmap方式对离线的主机进行探测，用以辅助分析主机离线原因。支持手动探测和定时自动探测，并提供离线原因说明，提供系统消息队列状态监控，防止系统数据拥堵（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9</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资产</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主机资产管理</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1.支持实时清点主机基础信息，监控主机状态，并提供自定义主机分组、操作系统、业务进程、安全插件等各种管理维度的主机统计；</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2.提供进程信息快照，展示进程各维度的信息，对root权限、僵尸进程、IO waiting 进程、非包安装进程、唯一进程进行分析统计，帮助发现问题进程；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3.支持清点账号公钥key数据，并统计每个公钥值被使用的账号数与具体账号；</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4.支持清点windows域账号，清点域账号服务器管理的账号与域账号被使用登录的信息，至少包括：所属域名、账号最近登录时间、账号状态、账号类型、Home目录、最近登录主机名、最近登录主机IP等；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5.支持清点Windows系统中包含的根证书颁发机构、受信任证书等信息，至少包括：签名信息、颁发者、指纹、证书路径、有效期；</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6.支持清点Windows系统注册表项值，选择清点其中与安全相关的重要表项值，至少包括：路径、名称、类型、数据、风险描述等；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7.支持清点服务器中运行各类常见Web中间件，包括：Nginx、Apache、Jboss、Tomcat、Weblogic、Jetty等（提供产品功能界面截图证明，并加盖投标人公章）；</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8.清点的Web站点信息中应包括该站点的所有虚拟目录，以确保所有Web目录被监控，目录应清点如下信息：目录虚拟路径、物理路径、文件所有者、文件所属组、文件权限；</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9.支持自动清点Web服务在运行的Web站点，并域名维度分析系统的Web业务情况，梳理对外、root权限、777权限的站点，提醒运维人员优化站点配置；</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支持指定协议（tcp、udp）和端口进行扫描发现，支持获取操作系统信息，为防止网络扫描拥堵，未知资产扫描时应允许控制扫描速率，包括并发扫描数量、每秒最大发包数量、每次下发间隔。</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10</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风险</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主机风险管理</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漏洞检测支持可以选择配置检测方式，包括版本比和poc的方式进行扫描，poc校验能够提供校验返回结果；支持windows补丁替换关系梳理，可逐级查询补丁替代关系；补丁列表支持通过旧补丁修复漏洞的cve编号找到替换补丁；支持统计近7天、30天、3个月的补丁修复统计、危险程度分布、平均修复时长、统计补丁总数趋势，可按业务组展示补丁修复情况，可按修复时长展示补丁修复情况，支持手动配置自定义修复建议；支持业务影响性分析能力，可一键检查补丁修复对服务器进程的影响；可批量配置补丁白名单规则，批量按照补丁名称、补丁修复的应用、修复影响、补丁危害程度、补丁特征等加入白名单（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11</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弱口令</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主机弱密码检查</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检测弱密码默认应隐藏密码值，支持手动打开，查看明文密码值。支持自定义组合密码，允许按照前缀，中缀，后缀模式分别定义字典，自动组合计算弱密码组合，自定义组合密码，用户名与空字符将自动作为任意部分的组合条件，加入检测。支持以时间顺序展示弱密码的修复历史，统计修复所用时长（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12</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应用数据</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应用数据安全</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基于通过主机Agent进行API清点，支持构建以应用系统为视角的服务拓扑图，呈现应用系统内部的微服务调用情况、应用系统与外部调用访问IP以及内部其他应用系统交互的关系，应用安全授权数量需支持至少100台重点业务主机；可查看API接口单次调用的完整链路，包含访问来源、服务、API、数据库等元素。提供API记录的快照信息，留存快照时API传输的请求、返回信息以及请求的来源，并基于快照构建数据链路追踪图（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13</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防破解</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主机防暴力破解</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实时检测针对Linux系统账号和Windows系统账号的暴力破解行为，支持实时监控针对FTP和文件共享协议SMB的暴力破解行为，并支持配置自动封停，也可在告警界面进行手动封禁和解封（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14</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异常登录</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主机异常登陆检测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检查主机环境中的登录日志配置和采集是否正常，Agent可以根据检测的情况自适应地监控服务当前配置的登录日志，展示日志监控状态和登录日志的具体路径。支持对发现的告警事件进行手动处置，支持手动封禁和解封IP；支持配置正常登录规则，实时检测在非法登录来源IP、非法账号、非合法登录时间、非合法登录来源区域的登录行为（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15</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后门</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主机后门检测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自定义恶意域名、IP与端口进行实时监控服务器对外的恶意链接行为；支持自定义恶意进程名与进程参数检测，实时监控服务器的恶意进程启动行为；可自定义系统配置规则，通过扫描方式对指定的系统配置文件内容进行检测，发现可疑配置；可自定义文件特性规则，通过扫描方式对指定文件的特性进行检测，发现可疑文件；可自定义脚本内容实时监控进程执行的可疑脚本行为；支持系统后门实时检测，对后门进行隔离、加白、确认已修复等操作。后门告警信息包括：告警类型、告警说明、IP、发现时间等（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16</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Webshell</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主机Webshell检测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实时监控并检测网站目录下文件变化行为，对webshell文件进行上报告警，事件信息至少包含事件的危险程度，后门类型，文件名，文件修改时间，域名，受感染主机，发现时间等信息；支持对文件进行下载查看；支持根据特定主机或业务组开启实时web后门检测，根据告警级别、IP、时间段来配置web后门自动隔离策略。支持配置开启NFS挂载的网站目录识别，且支持按照单台主机开启/关闭，防止引发性能问题（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17</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反弹shell</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主机反弹shell检测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1.支持实时检测Linux和Windows下的反弹shell行为并产生告警，告警信息能看到事件基本信息如受害主机IP、目标主机IP、目标端口、发现时间等，可看到事件说明，以及以攻击链方式展示的反弹详细过程；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2.可按照进程、端口、目标主机等维度选择特定业务组范围的主机进行白名单策略配置，可单独配置是否上报内网反弹行为；</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3.可根据特定业务组和特定时间段配置反弹shell自动响应策略，也可在告警界面手动阻断反弹进程。</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18</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本地提权</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主机本地提权检测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支持实时检测系统程序被异常提高权限执行的行为，例如，支持脏牛漏洞的恶意提权检测。</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19</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RCE利用</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主机RCE利用检测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1.支持对特定主机或者全部主机进行web远程命令执行检测，同时可查看详细的进程树信息，包括进程名，PID，所属用户，所属用户组，文件路径，文件执行权限，进程命令行等；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2.支持批量配置白名单规则，批量按照连接进程名、进程命令行、进程树、适用主机范围加入白名单。其中进程命令行应支持正则表达式。</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20</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可疑操作</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主机可疑操作审计</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实时监控危险的操作命令，系统默认的审计规则不少于100条。可自定义危险操作命令。可对所有发现恶意的命令执行操作进行审核，方便用户标记事件。支持通过配置堡垒机相应的环境变量信息，获取真实的操作来源IP信息（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21</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基线检查</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主机基线检查</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1.系统安全基线应至少覆盖Ubuntu、Debian、CentOS、Oracle Linux、Red Hat Enterprise Linux、Suse Linux、中标麒麟、BC-Linux；支持系统安全基线Windows2008/2012/2016/2019，等Windows系统；</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2.支持对Apache、Ngnix、Tomcat、Jboss、Resin、WebSphere、Weblogic等应用等保的检测；</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3.支持对Mysql、MongoDB、Oracle、DB2、informix 等数据库等保的检测。并针对数据库的等保基线检测，支持录入数据库的用户名、密码和端口检查凭证，管理凭证需要管理员权限密码。支持设置公用基线，主账号配置的公用基线子账号不可修改（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9" w:hRule="atLeast"/>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22</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病毒</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病毒查杀</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1.支持至少包含3个以上杀毒引擎，可自定义配置每个杀毒引擎的开启与关闭，所有引擎应提供版本号，更新时间；</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2.可选择主机进行本地引擎安装、升级和卸载，用户可设置是否自动安装和自动升级，可查看本地引擎版本支持清单，查看不可用主机列表；</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3.提供病毒修复历史，记录所有已修复或已进行处理的病毒，准确记录已修复病毒的相关信息，记录信息至少应包括，发生时间，修复时间，病毒类型，感染主机，病毒详情。</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6" w:hRule="atLeast"/>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23</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蜜罐</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主机微蜜罐</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1.支持在主机伪造诱饵文件，实时检测对诱饵文件的访问和操作行为。支持内置诱饵文件模板，实现一键部署，并可手动定义诱饵文件大小。</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2.支持伪造任意系统端口，实时检测对设置蜜罐端口的尝试连接行为，并提供告警，应提供一键处理冲突的操作，支持根据端口、适用主机范围，批量在主机中添加监控规则， 监控已设置规则的端口，一旦尝试访问端口，即上报告警，其中端口应支持输入多个。</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24</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文件</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主机文件完整性</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采用定时扫描和实时检测两种方式,对文件的新增、修改、删除、权限变更等变化行为进行告警；支持一键自动学习并引用web站点目录,并支持配置根据文件变化数量和危险程度进行告警（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25</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内存马</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主机内存马检测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1.支持实时检测在内存中加载网站恶意文件，无任何本地文件、恶意代码注入的检测。需要展示内存对应的类名、父类名、所属类加载器、内存对应大小、MD5信息等；</w:t>
            </w:r>
          </w:p>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2.支持主动发起单台主机/业务组/全部主机的扫描。支持主动发起事件验证，可验证主机中是否还存在该内存后门。</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4"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26</w:t>
            </w:r>
          </w:p>
        </w:tc>
        <w:tc>
          <w:tcPr>
            <w:tcW w:w="1186"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外联</w:t>
            </w:r>
          </w:p>
        </w:tc>
        <w:tc>
          <w:tcPr>
            <w:tcW w:w="1289"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主机外联检测</w:t>
            </w:r>
          </w:p>
        </w:tc>
        <w:tc>
          <w:tcPr>
            <w:tcW w:w="3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支持主机出网检查，利用agent主动向外网特定服务器发起网络连接，探测主机是否能出网，帮助发现网络策略的缺陷，可选择tcp、icmp、udp等不同的探测协议。支持配置被探测服务端的ip和安全密钥认证，保证安全性；支持预置规则，将定期发现的恶意IP或者恶意域名内置到预置规则库，通过同步规则来更新外联检测的检测能力（提供产品功能界面截图证明，并加盖投标人公章）。</w:t>
            </w:r>
          </w:p>
        </w:tc>
        <w:tc>
          <w:tcPr>
            <w:tcW w:w="840" w:type="dxa"/>
            <w:noWrap/>
            <w:vAlign w:val="center"/>
          </w:tcPr>
          <w:p>
            <w:pPr>
              <w:widowControl w:val="0"/>
              <w:spacing w:line="360" w:lineRule="auto"/>
              <w:jc w:val="left"/>
              <w:outlineLvl w:val="1"/>
              <w:rPr>
                <w:rFonts w:ascii="宋体" w:hAnsi="宋体" w:eastAsia="宋体" w:cs="宋体"/>
                <w:kern w:val="2"/>
                <w:sz w:val="21"/>
                <w:szCs w:val="21"/>
                <w:lang w:eastAsia="zh-CN"/>
              </w:rPr>
            </w:pPr>
            <w:r>
              <w:rPr>
                <w:rFonts w:hint="eastAsia" w:ascii="宋体" w:hAnsi="宋体" w:eastAsia="宋体" w:cs="宋体"/>
                <w:kern w:val="2"/>
                <w:sz w:val="21"/>
                <w:szCs w:val="21"/>
                <w:lang w:eastAsia="zh-CN"/>
              </w:rPr>
              <w:t>#</w:t>
            </w:r>
          </w:p>
        </w:tc>
      </w:tr>
    </w:tbl>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i w:val="0"/>
          <w:iCs w:val="0"/>
        </w:rPr>
      </w:pPr>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i w:val="0"/>
          <w:iCs w:val="0"/>
        </w:rPr>
      </w:pPr>
      <w:r>
        <w:rPr>
          <w:rFonts w:ascii="仿宋_GB2312" w:hAnsi="仿宋_GB2312" w:eastAsia="仿宋_GB2312" w:cs="仿宋_GB2312"/>
          <w:i w:val="0"/>
          <w:iCs w:val="0"/>
        </w:rPr>
        <w:t>3.4服务要求</w:t>
      </w:r>
      <w:bookmarkEnd w:id="23"/>
    </w:p>
    <w:p>
      <w:pPr>
        <w:keepLines w:val="0"/>
        <w:pageBreakBefore w:val="0"/>
        <w:kinsoku/>
        <w:wordWrap/>
        <w:overflowPunct/>
        <w:bidi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1.投标人应提供</w:t>
      </w:r>
      <w:r>
        <w:rPr>
          <w:rFonts w:hint="eastAsia" w:ascii="仿宋" w:hAnsi="仿宋" w:eastAsia="仿宋" w:cs="仿宋"/>
          <w:sz w:val="28"/>
          <w:szCs w:val="28"/>
          <w:lang w:eastAsia="zh-CN"/>
        </w:rPr>
        <w:t>所投产品</w:t>
      </w:r>
      <w:r>
        <w:rPr>
          <w:rFonts w:hint="eastAsia" w:ascii="仿宋" w:hAnsi="仿宋" w:eastAsia="仿宋" w:cs="仿宋"/>
          <w:sz w:val="28"/>
          <w:szCs w:val="28"/>
        </w:rPr>
        <w:t>的技术架构</w:t>
      </w:r>
      <w:r>
        <w:rPr>
          <w:rFonts w:hint="eastAsia" w:ascii="仿宋" w:hAnsi="仿宋" w:eastAsia="仿宋" w:cs="仿宋"/>
          <w:sz w:val="28"/>
          <w:szCs w:val="28"/>
          <w:lang w:eastAsia="zh-CN"/>
        </w:rPr>
        <w:t>、产品功能及性能说明</w:t>
      </w:r>
      <w:r>
        <w:rPr>
          <w:rFonts w:hint="eastAsia" w:ascii="仿宋" w:hAnsi="仿宋" w:eastAsia="仿宋" w:cs="仿宋"/>
          <w:sz w:val="28"/>
          <w:szCs w:val="28"/>
        </w:rPr>
        <w:t>，阐述系统工作原理</w:t>
      </w:r>
      <w:r>
        <w:rPr>
          <w:rFonts w:hint="eastAsia" w:ascii="仿宋" w:hAnsi="仿宋" w:eastAsia="仿宋" w:cs="仿宋"/>
          <w:sz w:val="28"/>
          <w:szCs w:val="28"/>
          <w:lang w:eastAsia="zh-CN"/>
        </w:rPr>
        <w:t>，并根据需求和技术要求提交项目技术实施方案、培训方案和售后服务方案</w:t>
      </w:r>
      <w:r>
        <w:rPr>
          <w:rFonts w:hint="eastAsia" w:ascii="仿宋" w:hAnsi="仿宋" w:eastAsia="仿宋" w:cs="仿宋"/>
          <w:sz w:val="28"/>
          <w:szCs w:val="28"/>
        </w:rPr>
        <w:t>。投标人提供的</w:t>
      </w:r>
      <w:r>
        <w:rPr>
          <w:rFonts w:hint="eastAsia" w:ascii="仿宋" w:hAnsi="仿宋" w:eastAsia="仿宋" w:cs="仿宋"/>
          <w:sz w:val="28"/>
          <w:szCs w:val="28"/>
          <w:lang w:eastAsia="zh-CN"/>
        </w:rPr>
        <w:t>产品</w:t>
      </w:r>
      <w:r>
        <w:rPr>
          <w:rFonts w:hint="eastAsia" w:ascii="仿宋" w:hAnsi="仿宋" w:eastAsia="仿宋" w:cs="仿宋"/>
          <w:sz w:val="28"/>
          <w:szCs w:val="28"/>
        </w:rPr>
        <w:t>应完全符合采购人指明的标准，并满足或高于采购人的要求。</w:t>
      </w:r>
    </w:p>
    <w:p>
      <w:pPr>
        <w:keepLines w:val="0"/>
        <w:pageBreakBefore w:val="0"/>
        <w:kinsoku/>
        <w:wordWrap/>
        <w:overflowPunct/>
        <w:bidi w:val="0"/>
        <w:spacing w:line="360" w:lineRule="auto"/>
        <w:ind w:firstLine="560" w:firstLineChars="200"/>
      </w:pPr>
      <w:r>
        <w:rPr>
          <w:rFonts w:hint="eastAsia" w:ascii="仿宋" w:hAnsi="仿宋" w:eastAsia="仿宋" w:cs="仿宋"/>
          <w:sz w:val="28"/>
          <w:szCs w:val="28"/>
        </w:rPr>
        <w:t>2.投标人在其技术</w:t>
      </w:r>
      <w:r>
        <w:rPr>
          <w:rFonts w:hint="eastAsia" w:ascii="仿宋" w:hAnsi="仿宋" w:eastAsia="仿宋" w:cs="仿宋"/>
          <w:sz w:val="28"/>
          <w:szCs w:val="28"/>
          <w:lang w:eastAsia="zh-CN"/>
        </w:rPr>
        <w:t>实施方案</w:t>
      </w:r>
      <w:r>
        <w:rPr>
          <w:rFonts w:hint="eastAsia" w:ascii="仿宋" w:hAnsi="仿宋" w:eastAsia="仿宋" w:cs="仿宋"/>
          <w:sz w:val="28"/>
          <w:szCs w:val="28"/>
        </w:rPr>
        <w:t>中，对需求中所提各项要求能否实现与满足，应逐项诚实地予以说明和答复。对</w:t>
      </w:r>
      <w:r>
        <w:rPr>
          <w:rFonts w:hint="eastAsia" w:ascii="仿宋" w:hAnsi="仿宋" w:eastAsia="仿宋" w:cs="仿宋"/>
          <w:sz w:val="28"/>
          <w:szCs w:val="28"/>
          <w:lang w:eastAsia="zh-CN"/>
        </w:rPr>
        <w:t>方案</w:t>
      </w:r>
      <w:r>
        <w:rPr>
          <w:rFonts w:hint="eastAsia" w:ascii="仿宋" w:hAnsi="仿宋" w:eastAsia="仿宋" w:cs="仿宋"/>
          <w:sz w:val="28"/>
          <w:szCs w:val="28"/>
        </w:rPr>
        <w:t>中某项回答过于简单或未作明确答复的，将视为不能满足该项要求。</w:t>
      </w:r>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bookmarkStart w:id="28" w:name="_Toc256000024"/>
      <w:r>
        <w:rPr>
          <w:rFonts w:ascii="仿宋_GB2312" w:hAnsi="仿宋_GB2312" w:eastAsia="仿宋_GB2312" w:cs="仿宋_GB2312"/>
          <w:i w:val="0"/>
          <w:iCs w:val="0"/>
        </w:rPr>
        <w:t>3.5其他要求</w:t>
      </w:r>
      <w:bookmarkEnd w:id="28"/>
    </w:p>
    <w:p>
      <w:pPr>
        <w:keepLines w:val="0"/>
        <w:pageBreakBefore w:val="0"/>
        <w:kinsoku/>
        <w:wordWrap/>
        <w:overflowPunct/>
        <w:bidi w:val="0"/>
        <w:spacing w:line="360" w:lineRule="auto"/>
        <w:ind w:firstLine="560" w:firstLineChars="200"/>
        <w:rPr>
          <w:rFonts w:hint="eastAsia" w:ascii="仿宋_GB2312" w:eastAsia="仿宋_GB2312"/>
          <w:sz w:val="28"/>
          <w:szCs w:val="28"/>
          <w:lang w:val="en-US" w:eastAsia="zh-CN"/>
        </w:rPr>
      </w:pPr>
      <w:bookmarkStart w:id="29" w:name="_Toc256000025"/>
      <w:r>
        <w:rPr>
          <w:rFonts w:hint="eastAsia" w:ascii="仿宋_GB2312" w:eastAsia="仿宋_GB2312"/>
          <w:sz w:val="28"/>
          <w:szCs w:val="28"/>
          <w:lang w:val="en-US" w:eastAsia="zh-CN"/>
        </w:rPr>
        <w:t>1、投标人应提供符合国家及用户提出的有关质量标准的产品；</w:t>
      </w:r>
    </w:p>
    <w:p>
      <w:pPr>
        <w:keepLines w:val="0"/>
        <w:pageBreakBefore w:val="0"/>
        <w:kinsoku/>
        <w:wordWrap/>
        <w:overflowPunct/>
        <w:bidi w:val="0"/>
        <w:spacing w:line="360" w:lineRule="auto"/>
        <w:ind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2、采用的技术和产品本身具有良好的发展前景，将来产品的更新换代能够在保护现有投资的基础上进行升级和扩展，且对产品的升级和扩展提供合理的性价比；</w:t>
      </w:r>
    </w:p>
    <w:p>
      <w:pPr>
        <w:keepLines w:val="0"/>
        <w:pageBreakBefore w:val="0"/>
        <w:kinsoku/>
        <w:wordWrap/>
        <w:overflowPunct/>
        <w:bidi w:val="0"/>
        <w:spacing w:line="360" w:lineRule="auto"/>
        <w:ind w:firstLine="560" w:firstLineChars="200"/>
      </w:pPr>
      <w:r>
        <w:rPr>
          <w:rFonts w:hint="eastAsia" w:ascii="仿宋_GB2312" w:eastAsia="仿宋_GB2312"/>
          <w:sz w:val="28"/>
          <w:szCs w:val="28"/>
          <w:lang w:val="en-US" w:eastAsia="zh-CN"/>
        </w:rPr>
        <w:t>3、投标人需提供投标产品的详细配置清单及分项细项报价，性能应答需与报价中的详细配置一致；</w:t>
      </w:r>
    </w:p>
    <w:p>
      <w:pPr>
        <w:pStyle w:val="2"/>
        <w:keepNext w:val="0"/>
        <w:keepLines w:val="0"/>
        <w:pageBreakBefore w:val="0"/>
        <w:kinsoku/>
        <w:wordWrap/>
        <w:overflowPunct/>
        <w:bidi w:val="0"/>
        <w:spacing w:before="0" w:after="0" w:line="360" w:lineRule="auto"/>
        <w:ind w:left="0" w:leftChars="0" w:firstLine="481" w:firstLineChars="150"/>
        <w:jc w:val="left"/>
        <w:rPr>
          <w:rFonts w:ascii="仿宋_GB2312" w:hAnsi="仿宋_GB2312" w:eastAsia="仿宋_GB2312" w:cs="仿宋_GB2312"/>
          <w:b/>
          <w:bCs/>
          <w:sz w:val="32"/>
          <w:szCs w:val="32"/>
        </w:rPr>
      </w:pPr>
      <w:r>
        <w:rPr>
          <w:rFonts w:ascii="仿宋_GB2312" w:hAnsi="仿宋_GB2312" w:eastAsia="仿宋_GB2312" w:cs="仿宋_GB2312"/>
          <w:kern w:val="36"/>
        </w:rPr>
        <w:t>4人员要求</w:t>
      </w:r>
      <w:bookmarkEnd w:id="29"/>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i w:val="0"/>
          <w:iCs w:val="0"/>
        </w:rPr>
      </w:pPr>
      <w:bookmarkStart w:id="30" w:name="_Toc256000026"/>
      <w:r>
        <w:rPr>
          <w:rFonts w:ascii="仿宋_GB2312" w:hAnsi="仿宋_GB2312" w:eastAsia="仿宋_GB2312" w:cs="仿宋_GB2312"/>
          <w:i w:val="0"/>
          <w:iCs w:val="0"/>
        </w:rPr>
        <w:t>4.1团队要求</w:t>
      </w:r>
      <w:bookmarkEnd w:id="30"/>
    </w:p>
    <w:p>
      <w:pPr>
        <w:keepLines w:val="0"/>
        <w:pageBreakBefore w:val="0"/>
        <w:kinsoku/>
        <w:wordWrap/>
        <w:overflowPunct/>
        <w:bidi w:val="0"/>
        <w:spacing w:line="360" w:lineRule="auto"/>
        <w:ind w:firstLine="560" w:firstLineChars="200"/>
        <w:rPr>
          <w:rFonts w:hint="eastAsia" w:ascii="仿宋" w:hAnsi="仿宋" w:eastAsia="仿宋"/>
          <w:sz w:val="28"/>
          <w:szCs w:val="28"/>
        </w:rPr>
      </w:pPr>
      <w:r>
        <w:rPr>
          <w:rFonts w:hint="eastAsia" w:ascii="仿宋" w:hAnsi="仿宋" w:eastAsia="仿宋"/>
          <w:sz w:val="28"/>
          <w:szCs w:val="28"/>
          <w:lang w:val="en-US" w:eastAsia="zh-CN"/>
        </w:rPr>
        <w:t>1.</w:t>
      </w:r>
      <w:r>
        <w:rPr>
          <w:rFonts w:hint="eastAsia" w:ascii="仿宋" w:hAnsi="仿宋" w:eastAsia="仿宋"/>
          <w:sz w:val="28"/>
          <w:szCs w:val="28"/>
        </w:rPr>
        <w:t>在服务期间，中标人须</w:t>
      </w:r>
      <w:r>
        <w:rPr>
          <w:rFonts w:hint="eastAsia" w:ascii="仿宋" w:hAnsi="仿宋" w:eastAsia="仿宋"/>
          <w:sz w:val="28"/>
          <w:szCs w:val="28"/>
          <w:lang w:eastAsia="zh-CN"/>
        </w:rPr>
        <w:t>组成专门的项目服务团队，指定项目经理。</w:t>
      </w:r>
      <w:r>
        <w:rPr>
          <w:rFonts w:hint="eastAsia" w:ascii="仿宋" w:hAnsi="仿宋" w:eastAsia="仿宋"/>
          <w:sz w:val="28"/>
          <w:szCs w:val="28"/>
        </w:rPr>
        <w:t>项目经理由一名具有专业知识的资深管理人员出任，负责整个项目组的项目运作及工作安排、调度和协调。项目经理作为与采购人的接口负责本项目的项目管理，统筹相关工作，项目监督与情况汇报，控制工作质量，执行变更和应急情况管理，并根据实际情况调整服务方人员安排，以保证此项目的正常高效运作。</w:t>
      </w:r>
      <w:r>
        <w:rPr>
          <w:rFonts w:hint="eastAsia" w:ascii="仿宋" w:hAnsi="仿宋" w:eastAsia="仿宋"/>
          <w:sz w:val="28"/>
          <w:szCs w:val="28"/>
          <w:lang w:eastAsia="zh-CN"/>
        </w:rPr>
        <w:t>原厂</w:t>
      </w:r>
      <w:r>
        <w:rPr>
          <w:rFonts w:hint="eastAsia" w:ascii="仿宋" w:hAnsi="仿宋" w:eastAsia="仿宋"/>
          <w:sz w:val="28"/>
          <w:szCs w:val="28"/>
        </w:rPr>
        <w:t>技术服务工程师需具有</w:t>
      </w:r>
      <w:r>
        <w:rPr>
          <w:rFonts w:hint="eastAsia" w:ascii="仿宋" w:hAnsi="仿宋" w:eastAsia="仿宋"/>
          <w:sz w:val="28"/>
          <w:szCs w:val="28"/>
          <w:lang w:eastAsia="zh-CN"/>
        </w:rPr>
        <w:t>丰富</w:t>
      </w:r>
      <w:r>
        <w:rPr>
          <w:rFonts w:hint="eastAsia" w:ascii="仿宋" w:hAnsi="仿宋" w:eastAsia="仿宋"/>
          <w:sz w:val="28"/>
          <w:szCs w:val="28"/>
        </w:rPr>
        <w:t>实施的技术支持和售后服务的实践经验，具有很强的专业技术水平。服务工作结束后，须提交</w:t>
      </w:r>
      <w:r>
        <w:rPr>
          <w:rFonts w:hint="eastAsia" w:ascii="仿宋" w:hAnsi="仿宋" w:eastAsia="仿宋"/>
          <w:sz w:val="28"/>
          <w:szCs w:val="28"/>
          <w:lang w:eastAsia="zh-CN"/>
        </w:rPr>
        <w:t>项目</w:t>
      </w:r>
      <w:r>
        <w:rPr>
          <w:rFonts w:hint="eastAsia" w:ascii="仿宋" w:hAnsi="仿宋" w:eastAsia="仿宋"/>
          <w:sz w:val="28"/>
          <w:szCs w:val="28"/>
        </w:rPr>
        <w:t>总结报告，由采购人进行评估验收。</w:t>
      </w:r>
    </w:p>
    <w:p>
      <w:pPr>
        <w:keepLines w:val="0"/>
        <w:pageBreakBefore w:val="0"/>
        <w:kinsoku/>
        <w:wordWrap/>
        <w:overflowPunct/>
        <w:bidi w:val="0"/>
        <w:spacing w:line="360" w:lineRule="auto"/>
        <w:ind w:firstLine="560" w:firstLineChars="200"/>
        <w:rPr>
          <w:rFonts w:hint="eastAsia" w:ascii="仿宋" w:hAnsi="仿宋" w:eastAsia="仿宋"/>
          <w:sz w:val="28"/>
          <w:szCs w:val="28"/>
        </w:rPr>
      </w:pPr>
      <w:r>
        <w:rPr>
          <w:rFonts w:hint="eastAsia" w:ascii="仿宋" w:hAnsi="仿宋" w:eastAsia="仿宋"/>
          <w:sz w:val="28"/>
          <w:szCs w:val="28"/>
          <w:lang w:val="en-US" w:eastAsia="zh-CN"/>
        </w:rPr>
        <w:t>2.</w:t>
      </w:r>
      <w:r>
        <w:rPr>
          <w:rFonts w:hint="eastAsia" w:ascii="仿宋" w:hAnsi="仿宋" w:eastAsia="仿宋"/>
          <w:sz w:val="28"/>
          <w:szCs w:val="28"/>
        </w:rPr>
        <w:t>中标人应配合采购人进行人员管理，</w:t>
      </w:r>
      <w:r>
        <w:rPr>
          <w:rFonts w:hint="eastAsia" w:ascii="仿宋" w:hAnsi="仿宋" w:eastAsia="仿宋"/>
          <w:sz w:val="28"/>
          <w:szCs w:val="28"/>
          <w:lang w:eastAsia="zh-CN"/>
        </w:rPr>
        <w:t>服务</w:t>
      </w:r>
      <w:r>
        <w:rPr>
          <w:rFonts w:hint="eastAsia" w:ascii="仿宋" w:hAnsi="仿宋" w:eastAsia="仿宋"/>
          <w:sz w:val="28"/>
          <w:szCs w:val="28"/>
        </w:rPr>
        <w:t>人员要服从</w:t>
      </w:r>
      <w:r>
        <w:rPr>
          <w:rFonts w:hint="eastAsia" w:ascii="仿宋" w:hAnsi="仿宋" w:eastAsia="仿宋"/>
          <w:sz w:val="28"/>
          <w:szCs w:val="28"/>
          <w:lang w:eastAsia="zh-CN"/>
        </w:rPr>
        <w:t>采购</w:t>
      </w:r>
      <w:r>
        <w:rPr>
          <w:rFonts w:hint="eastAsia" w:ascii="仿宋" w:hAnsi="仿宋" w:eastAsia="仿宋"/>
          <w:sz w:val="28"/>
          <w:szCs w:val="28"/>
        </w:rPr>
        <w:t>人的管理。</w:t>
      </w:r>
    </w:p>
    <w:p>
      <w:pPr>
        <w:keepLines w:val="0"/>
        <w:pageBreakBefore w:val="0"/>
        <w:kinsoku/>
        <w:wordWrap/>
        <w:overflowPunct/>
        <w:bidi w:val="0"/>
        <w:spacing w:line="360" w:lineRule="auto"/>
        <w:ind w:firstLine="560" w:firstLineChars="200"/>
        <w:rPr>
          <w:rFonts w:hint="eastAsia" w:ascii="仿宋_GB2312" w:hAnsi="仿宋_GB2312" w:eastAsia="仿宋_GB2312" w:cs="仿宋_GB2312"/>
          <w:color w:val="auto"/>
          <w:sz w:val="32"/>
          <w:szCs w:val="32"/>
          <w:highlight w:val="none"/>
          <w:lang w:val="en-US" w:eastAsia="zh-CN"/>
        </w:rPr>
      </w:pPr>
      <w:r>
        <w:rPr>
          <w:rFonts w:hint="eastAsia" w:ascii="仿宋" w:hAnsi="仿宋" w:eastAsia="仿宋"/>
          <w:sz w:val="28"/>
          <w:szCs w:val="28"/>
          <w:lang w:val="en-US" w:eastAsia="zh-CN"/>
        </w:rPr>
        <w:t>3.</w:t>
      </w:r>
      <w:r>
        <w:rPr>
          <w:rFonts w:hint="eastAsia" w:ascii="仿宋" w:hAnsi="仿宋" w:eastAsia="仿宋"/>
          <w:sz w:val="28"/>
          <w:szCs w:val="28"/>
        </w:rPr>
        <w:t>服务地点由</w:t>
      </w:r>
      <w:r>
        <w:rPr>
          <w:rFonts w:hint="eastAsia" w:ascii="仿宋" w:hAnsi="仿宋" w:eastAsia="仿宋"/>
          <w:sz w:val="28"/>
          <w:szCs w:val="28"/>
          <w:lang w:eastAsia="zh-CN"/>
        </w:rPr>
        <w:t>采购</w:t>
      </w:r>
      <w:r>
        <w:rPr>
          <w:rFonts w:hint="eastAsia" w:ascii="仿宋" w:hAnsi="仿宋" w:eastAsia="仿宋"/>
          <w:sz w:val="28"/>
          <w:szCs w:val="28"/>
        </w:rPr>
        <w:t>人指定，</w:t>
      </w:r>
      <w:r>
        <w:rPr>
          <w:rFonts w:hint="eastAsia" w:ascii="仿宋" w:hAnsi="仿宋" w:eastAsia="仿宋"/>
          <w:sz w:val="28"/>
          <w:szCs w:val="28"/>
          <w:lang w:eastAsia="zh-CN"/>
        </w:rPr>
        <w:t>中标人和实施人</w:t>
      </w:r>
      <w:r>
        <w:rPr>
          <w:rFonts w:hint="eastAsia" w:ascii="仿宋" w:hAnsi="仿宋" w:eastAsia="仿宋"/>
          <w:sz w:val="28"/>
          <w:szCs w:val="28"/>
        </w:rPr>
        <w:t xml:space="preserve">服务往返交通方式及费用、食宿费、办公电脑由中标人自行负责。 </w:t>
      </w:r>
    </w:p>
    <w:p>
      <w:pPr>
        <w:pStyle w:val="4"/>
        <w:keepNext w:val="0"/>
        <w:keepLines w:val="0"/>
        <w:pageBreakBefore w:val="0"/>
        <w:kinsoku/>
        <w:wordWrap/>
        <w:overflowPunct/>
        <w:bidi w:val="0"/>
        <w:spacing w:before="0" w:after="0" w:line="360" w:lineRule="auto"/>
        <w:ind w:firstLine="562" w:firstLineChars="200"/>
        <w:outlineLvl w:val="1"/>
        <w:rPr>
          <w:rFonts w:ascii="仿宋_GB2312" w:hAnsi="仿宋_GB2312" w:eastAsia="仿宋_GB2312" w:cs="仿宋_GB2312"/>
          <w:b/>
          <w:bCs/>
          <w:sz w:val="28"/>
          <w:szCs w:val="28"/>
        </w:rPr>
      </w:pPr>
      <w:bookmarkStart w:id="31" w:name="_Toc256000027"/>
      <w:r>
        <w:rPr>
          <w:rFonts w:ascii="仿宋_GB2312" w:hAnsi="仿宋_GB2312" w:eastAsia="仿宋_GB2312" w:cs="仿宋_GB2312"/>
          <w:sz w:val="28"/>
          <w:szCs w:val="28"/>
        </w:rPr>
        <w:t>4.1.1基本要求</w:t>
      </w:r>
      <w:bookmarkEnd w:id="31"/>
    </w:p>
    <w:p>
      <w:pPr>
        <w:pStyle w:val="4"/>
        <w:keepNext w:val="0"/>
        <w:keepLines w:val="0"/>
        <w:pageBreakBefore w:val="0"/>
        <w:kinsoku/>
        <w:wordWrap/>
        <w:overflowPunct/>
        <w:bidi w:val="0"/>
        <w:spacing w:before="0" w:after="0" w:line="360" w:lineRule="auto"/>
        <w:ind w:firstLine="562" w:firstLineChars="200"/>
        <w:rPr>
          <w:rFonts w:hint="eastAsia" w:ascii="仿宋_GB2312" w:hAnsi="仿宋_GB2312" w:eastAsia="仿宋_GB2312" w:cs="仿宋_GB2312"/>
          <w:color w:val="FF0000"/>
          <w:sz w:val="28"/>
          <w:szCs w:val="28"/>
          <w:lang w:val="en-US" w:eastAsia="zh-CN"/>
        </w:rPr>
      </w:pPr>
      <w:bookmarkStart w:id="32" w:name="_Toc256000028"/>
      <w:r>
        <w:rPr>
          <w:rFonts w:hint="eastAsia" w:ascii="仿宋_GB2312" w:hAnsi="仿宋_GB2312" w:eastAsia="仿宋_GB2312" w:cs="仿宋_GB2312"/>
          <w:sz w:val="28"/>
          <w:szCs w:val="28"/>
          <w:lang w:val="en-US" w:eastAsia="zh-CN"/>
        </w:rPr>
        <w:t>1.</w:t>
      </w:r>
      <w:r>
        <w:rPr>
          <w:rFonts w:ascii="仿宋_GB2312" w:hAnsi="仿宋_GB2312" w:eastAsia="仿宋_GB2312" w:cs="仿宋_GB2312"/>
          <w:sz w:val="28"/>
          <w:szCs w:val="28"/>
        </w:rPr>
        <w:t>项目经理</w:t>
      </w:r>
    </w:p>
    <w:p>
      <w:pPr>
        <w:keepLines w:val="0"/>
        <w:pageBreakBefore w:val="0"/>
        <w:kinsoku/>
        <w:wordWrap/>
        <w:overflowPunct/>
        <w:bidi w:val="0"/>
        <w:spacing w:line="360" w:lineRule="auto"/>
        <w:ind w:firstLine="560" w:firstLineChars="200"/>
        <w:rPr>
          <w:rFonts w:hint="eastAsia" w:ascii="仿宋" w:hAnsi="仿宋" w:eastAsia="仿宋" w:cs="Times New Roman"/>
          <w:sz w:val="28"/>
          <w:szCs w:val="28"/>
          <w:lang w:eastAsia="zh-CN"/>
        </w:rPr>
      </w:pPr>
      <w:r>
        <w:rPr>
          <w:rFonts w:hint="eastAsia" w:ascii="仿宋" w:hAnsi="仿宋" w:eastAsia="仿宋" w:cs="Times New Roman"/>
          <w:sz w:val="28"/>
          <w:szCs w:val="28"/>
        </w:rPr>
        <w:t>项目经理具有由人社部门</w:t>
      </w:r>
      <w:r>
        <w:rPr>
          <w:rFonts w:hint="eastAsia" w:ascii="仿宋" w:hAnsi="仿宋" w:eastAsia="仿宋" w:cs="Times New Roman"/>
          <w:sz w:val="28"/>
          <w:szCs w:val="28"/>
          <w:lang w:val="en-US" w:eastAsia="zh-CN"/>
        </w:rPr>
        <w:t>/工信部门</w:t>
      </w:r>
      <w:r>
        <w:rPr>
          <w:rFonts w:hint="eastAsia" w:ascii="仿宋" w:hAnsi="仿宋" w:eastAsia="仿宋" w:cs="Times New Roman"/>
          <w:sz w:val="28"/>
          <w:szCs w:val="28"/>
        </w:rPr>
        <w:t>颁发的信息系统项目管理师证书</w:t>
      </w:r>
      <w:r>
        <w:rPr>
          <w:rFonts w:hint="eastAsia" w:ascii="仿宋" w:hAnsi="仿宋" w:eastAsia="仿宋" w:cs="Times New Roman"/>
          <w:sz w:val="28"/>
          <w:szCs w:val="28"/>
          <w:lang w:eastAsia="zh-CN"/>
        </w:rPr>
        <w:t>，</w:t>
      </w:r>
      <w:r>
        <w:rPr>
          <w:rFonts w:hint="eastAsia" w:ascii="仿宋" w:hAnsi="仿宋" w:eastAsia="仿宋" w:cs="Times New Roman"/>
          <w:sz w:val="28"/>
          <w:szCs w:val="28"/>
        </w:rPr>
        <w:t>具备工业和信息化部教育与考试中心认证高级网络信息安全工程师证书</w:t>
      </w:r>
      <w:r>
        <w:rPr>
          <w:rFonts w:hint="eastAsia" w:ascii="仿宋" w:hAnsi="仿宋" w:eastAsia="仿宋" w:cs="Times New Roman"/>
          <w:sz w:val="28"/>
          <w:szCs w:val="28"/>
          <w:lang w:eastAsia="zh-CN"/>
        </w:rPr>
        <w:t>。</w:t>
      </w:r>
    </w:p>
    <w:p>
      <w:pPr>
        <w:keepLines w:val="0"/>
        <w:pageBreakBefore w:val="0"/>
        <w:kinsoku/>
        <w:wordWrap/>
        <w:overflowPunct/>
        <w:bidi w:val="0"/>
        <w:spacing w:line="360" w:lineRule="auto"/>
        <w:ind w:firstLine="560" w:firstLineChars="200"/>
        <w:rPr>
          <w:rFonts w:hint="eastAsia"/>
          <w:lang w:eastAsia="zh-CN"/>
        </w:rPr>
      </w:pPr>
      <w:r>
        <w:rPr>
          <w:rFonts w:hint="eastAsia" w:ascii="仿宋" w:hAnsi="仿宋" w:eastAsia="仿宋" w:cs="Times New Roman"/>
          <w:sz w:val="28"/>
          <w:szCs w:val="28"/>
        </w:rPr>
        <w:t>项目经理作为与</w:t>
      </w:r>
      <w:r>
        <w:rPr>
          <w:rFonts w:hint="eastAsia" w:ascii="仿宋" w:hAnsi="仿宋" w:eastAsia="仿宋" w:cs="Times New Roman"/>
          <w:sz w:val="28"/>
          <w:szCs w:val="28"/>
          <w:lang w:eastAsia="zh-CN"/>
        </w:rPr>
        <w:t>采购人</w:t>
      </w:r>
      <w:r>
        <w:rPr>
          <w:rFonts w:hint="eastAsia" w:ascii="仿宋" w:hAnsi="仿宋" w:eastAsia="仿宋" w:cs="Times New Roman"/>
          <w:sz w:val="28"/>
          <w:szCs w:val="28"/>
        </w:rPr>
        <w:t>的接口负责本项目的项目管理，统筹相关工作，项目监督与情况汇报，控制工作质量，执行变更和应急情况管理，并根据实际情况调整服务方人员安排，以保证此项目的正常高效运作。</w:t>
      </w:r>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r>
        <w:rPr>
          <w:rFonts w:hint="eastAsia" w:ascii="仿宋_GB2312" w:hAnsi="仿宋_GB2312" w:eastAsia="仿宋_GB2312" w:cs="仿宋_GB2312"/>
          <w:i w:val="0"/>
          <w:iCs w:val="0"/>
          <w:lang w:val="en-US" w:eastAsia="zh-CN"/>
        </w:rPr>
        <w:t>2.</w:t>
      </w:r>
      <w:r>
        <w:rPr>
          <w:rFonts w:ascii="仿宋_GB2312" w:hAnsi="仿宋_GB2312" w:eastAsia="仿宋_GB2312" w:cs="仿宋_GB2312"/>
          <w:i w:val="0"/>
          <w:iCs w:val="0"/>
        </w:rPr>
        <w:t>技术团队</w:t>
      </w:r>
    </w:p>
    <w:bookmarkEnd w:id="32"/>
    <w:p>
      <w:pPr>
        <w:keepLines w:val="0"/>
        <w:pageBreakBefore w:val="0"/>
        <w:kinsoku/>
        <w:wordWrap/>
        <w:overflowPunct/>
        <w:bidi w:val="0"/>
        <w:spacing w:line="360" w:lineRule="auto"/>
        <w:ind w:firstLine="560" w:firstLineChars="200"/>
        <w:rPr>
          <w:rFonts w:hint="eastAsia" w:ascii="仿宋" w:hAnsi="仿宋" w:eastAsia="仿宋" w:cs="Times New Roman"/>
          <w:sz w:val="28"/>
          <w:szCs w:val="28"/>
        </w:rPr>
      </w:pPr>
      <w:bookmarkStart w:id="33" w:name="_Toc256000029"/>
      <w:r>
        <w:rPr>
          <w:rFonts w:hint="eastAsia" w:ascii="仿宋" w:hAnsi="仿宋" w:eastAsia="仿宋" w:cs="Times New Roman"/>
          <w:sz w:val="28"/>
          <w:szCs w:val="28"/>
        </w:rPr>
        <w:t>1.针对本项目配备的技术负责人(1人) ：具备计算机技术与软件专业技术资格中的信息系统项目管理师证书、信息安全工程师。</w:t>
      </w:r>
    </w:p>
    <w:p>
      <w:pPr>
        <w:keepLines w:val="0"/>
        <w:pageBreakBefore w:val="0"/>
        <w:kinsoku/>
        <w:wordWrap/>
        <w:overflowPunct/>
        <w:bidi w:val="0"/>
        <w:spacing w:line="360" w:lineRule="auto"/>
        <w:ind w:firstLine="560" w:firstLineChars="200"/>
        <w:rPr>
          <w:rFonts w:hint="eastAsia" w:ascii="仿宋" w:hAnsi="仿宋" w:eastAsia="仿宋" w:cs="Times New Roman"/>
          <w:sz w:val="28"/>
          <w:szCs w:val="28"/>
        </w:rPr>
      </w:pPr>
      <w:r>
        <w:rPr>
          <w:rFonts w:hint="eastAsia" w:ascii="仿宋" w:hAnsi="仿宋" w:eastAsia="仿宋" w:cs="Times New Roman"/>
          <w:sz w:val="28"/>
          <w:szCs w:val="28"/>
          <w:lang w:val="en-US" w:eastAsia="zh-CN"/>
        </w:rPr>
        <w:t>2.</w:t>
      </w:r>
      <w:r>
        <w:rPr>
          <w:rFonts w:hint="eastAsia" w:ascii="仿宋" w:hAnsi="仿宋" w:eastAsia="仿宋" w:cs="Times New Roman"/>
          <w:sz w:val="28"/>
          <w:szCs w:val="28"/>
        </w:rPr>
        <w:t>针对本项目配备的实施工程师（2人</w:t>
      </w:r>
      <w:r>
        <w:rPr>
          <w:rFonts w:hint="eastAsia" w:ascii="仿宋" w:hAnsi="仿宋" w:eastAsia="仿宋" w:cs="Times New Roman"/>
          <w:sz w:val="28"/>
          <w:szCs w:val="28"/>
          <w:lang w:eastAsia="zh-CN"/>
        </w:rPr>
        <w:t>）</w:t>
      </w:r>
      <w:r>
        <w:rPr>
          <w:rFonts w:hint="eastAsia" w:ascii="仿宋" w:hAnsi="仿宋" w:eastAsia="仿宋" w:cs="Times New Roman"/>
          <w:sz w:val="28"/>
          <w:szCs w:val="28"/>
        </w:rPr>
        <w:t>，项目经理、技术负责人除外）：具有计算机技术与软件专业技术资格中的信息安全工程师。</w:t>
      </w:r>
    </w:p>
    <w:p>
      <w:pPr>
        <w:pStyle w:val="2"/>
        <w:keepNext w:val="0"/>
        <w:keepLines w:val="0"/>
        <w:pageBreakBefore w:val="0"/>
        <w:kinsoku/>
        <w:wordWrap/>
        <w:overflowPunct/>
        <w:bidi w:val="0"/>
        <w:spacing w:before="0" w:after="0" w:line="360" w:lineRule="auto"/>
        <w:ind w:firstLine="642" w:firstLineChars="200"/>
        <w:jc w:val="left"/>
        <w:rPr>
          <w:rFonts w:ascii="仿宋_GB2312" w:hAnsi="仿宋_GB2312" w:eastAsia="仿宋_GB2312" w:cs="仿宋_GB2312"/>
          <w:b/>
          <w:bCs/>
          <w:sz w:val="32"/>
          <w:szCs w:val="32"/>
        </w:rPr>
      </w:pPr>
      <w:r>
        <w:rPr>
          <w:rFonts w:ascii="仿宋_GB2312" w:hAnsi="仿宋_GB2312" w:eastAsia="仿宋_GB2312" w:cs="仿宋_GB2312"/>
          <w:kern w:val="36"/>
        </w:rPr>
        <w:t>5管理实施要求</w:t>
      </w:r>
      <w:bookmarkEnd w:id="33"/>
    </w:p>
    <w:p>
      <w:pPr>
        <w:keepLines w:val="0"/>
        <w:pageBreakBefore w:val="0"/>
        <w:kinsoku/>
        <w:wordWrap/>
        <w:overflowPunct/>
        <w:bidi w:val="0"/>
        <w:spacing w:line="360" w:lineRule="auto"/>
        <w:ind w:firstLine="560" w:firstLineChars="200"/>
        <w:rPr>
          <w:rFonts w:hint="eastAsia" w:ascii="仿宋" w:hAnsi="仿宋" w:eastAsia="仿宋"/>
          <w:sz w:val="28"/>
          <w:szCs w:val="28"/>
        </w:rPr>
      </w:pPr>
      <w:r>
        <w:rPr>
          <w:rFonts w:hint="eastAsia" w:ascii="仿宋" w:hAnsi="仿宋" w:eastAsia="仿宋"/>
          <w:sz w:val="28"/>
          <w:szCs w:val="28"/>
          <w:lang w:val="en-US" w:eastAsia="zh-CN"/>
        </w:rPr>
        <w:t>1.</w:t>
      </w:r>
      <w:r>
        <w:rPr>
          <w:rFonts w:hint="eastAsia" w:ascii="仿宋" w:hAnsi="仿宋" w:eastAsia="仿宋"/>
          <w:sz w:val="28"/>
          <w:szCs w:val="28"/>
        </w:rPr>
        <w:t>中标人须遵循采购人的各项规章制度，工作时间不得从事任何与工作无关的事情。未经采购人事先书面同意，中标人不得将由采购人为本项目提供的条文、规格、计划、样品或资料提供给与本项目无关的任何第三方，不得将其用于履行本项目之外的其它用途。即使向与履行本项目有关的人员提供，也应注意保密并限于履行项目所必需的范围。</w:t>
      </w:r>
    </w:p>
    <w:p>
      <w:pPr>
        <w:keepLines w:val="0"/>
        <w:pageBreakBefore w:val="0"/>
        <w:kinsoku/>
        <w:wordWrap/>
        <w:overflowPunct/>
        <w:bidi w:val="0"/>
        <w:spacing w:line="360" w:lineRule="auto"/>
        <w:ind w:firstLine="560" w:firstLineChars="200"/>
        <w:rPr>
          <w:rFonts w:hint="eastAsia" w:ascii="仿宋" w:hAnsi="仿宋" w:eastAsia="仿宋"/>
          <w:sz w:val="28"/>
          <w:szCs w:val="28"/>
        </w:rPr>
      </w:pPr>
      <w:r>
        <w:rPr>
          <w:rFonts w:hint="eastAsia" w:ascii="仿宋" w:hAnsi="仿宋" w:eastAsia="仿宋"/>
          <w:sz w:val="28"/>
          <w:szCs w:val="28"/>
          <w:lang w:val="en-US" w:eastAsia="zh-CN"/>
        </w:rPr>
        <w:t>2</w:t>
      </w:r>
      <w:r>
        <w:rPr>
          <w:rFonts w:hint="eastAsia" w:ascii="仿宋" w:hAnsi="仿宋" w:eastAsia="仿宋"/>
          <w:sz w:val="28"/>
          <w:szCs w:val="28"/>
        </w:rPr>
        <w:t>.除了项目本身之外，上款所列举的任何物件均是采购人的财产。如果采购人有要求，中标人在完成项目后应将这些物件及全部复制件</w:t>
      </w:r>
      <w:r>
        <w:rPr>
          <w:rFonts w:hint="eastAsia" w:ascii="仿宋" w:hAnsi="仿宋" w:eastAsia="仿宋"/>
          <w:sz w:val="28"/>
          <w:szCs w:val="28"/>
          <w:lang w:eastAsia="zh-CN"/>
        </w:rPr>
        <w:t>交</w:t>
      </w:r>
      <w:r>
        <w:rPr>
          <w:rFonts w:hint="eastAsia" w:ascii="仿宋" w:hAnsi="仿宋" w:eastAsia="仿宋"/>
          <w:sz w:val="28"/>
          <w:szCs w:val="28"/>
        </w:rPr>
        <w:t>还给采购人。</w:t>
      </w:r>
    </w:p>
    <w:p>
      <w:pPr>
        <w:keepLines w:val="0"/>
        <w:pageBreakBefore w:val="0"/>
        <w:kinsoku/>
        <w:wordWrap/>
        <w:overflowPunct/>
        <w:bidi w:val="0"/>
        <w:spacing w:line="360" w:lineRule="auto"/>
        <w:ind w:firstLine="560" w:firstLineChars="200"/>
        <w:rPr>
          <w:rFonts w:hint="eastAsia" w:ascii="仿宋" w:hAnsi="仿宋" w:eastAsia="仿宋"/>
          <w:sz w:val="28"/>
          <w:szCs w:val="28"/>
        </w:rPr>
      </w:pPr>
      <w:r>
        <w:rPr>
          <w:rFonts w:hint="eastAsia" w:ascii="仿宋" w:hAnsi="仿宋" w:eastAsia="仿宋"/>
          <w:sz w:val="28"/>
          <w:szCs w:val="28"/>
          <w:lang w:val="en-US" w:eastAsia="zh-CN"/>
        </w:rPr>
        <w:t>3</w:t>
      </w:r>
      <w:r>
        <w:rPr>
          <w:rFonts w:hint="eastAsia" w:ascii="仿宋" w:hAnsi="仿宋" w:eastAsia="仿宋"/>
          <w:sz w:val="28"/>
          <w:szCs w:val="28"/>
        </w:rPr>
        <w:t>.技术支持过程中至中标人正式向采购人交付文档资料时止，中标人应采取措施对本项目过程中的数据、源代码、技术文档等资料保密，否则，由于中标人过错导致的上述资料泄密的，中标人需承担相应法律责任。</w:t>
      </w:r>
    </w:p>
    <w:p>
      <w:pPr>
        <w:keepLines w:val="0"/>
        <w:pageBreakBefore w:val="0"/>
        <w:kinsoku/>
        <w:wordWrap/>
        <w:overflowPunct/>
        <w:bidi w:val="0"/>
        <w:spacing w:line="360" w:lineRule="auto"/>
        <w:ind w:firstLine="560" w:firstLineChars="200"/>
        <w:rPr>
          <w:rFonts w:hint="eastAsia" w:ascii="仿宋" w:hAnsi="仿宋" w:eastAsia="仿宋"/>
          <w:sz w:val="28"/>
          <w:szCs w:val="28"/>
        </w:rPr>
      </w:pPr>
      <w:r>
        <w:rPr>
          <w:rFonts w:hint="eastAsia" w:ascii="仿宋" w:hAnsi="仿宋" w:eastAsia="仿宋"/>
          <w:sz w:val="28"/>
          <w:szCs w:val="28"/>
          <w:lang w:val="en-US" w:eastAsia="zh-CN"/>
        </w:rPr>
        <w:t>4</w:t>
      </w:r>
      <w:r>
        <w:rPr>
          <w:rFonts w:hint="eastAsia" w:ascii="仿宋" w:hAnsi="仿宋" w:eastAsia="仿宋"/>
          <w:sz w:val="28"/>
          <w:szCs w:val="28"/>
        </w:rPr>
        <w:t>.项目中所涉及的双方的内部资料、数据、业务流程、工作规范和开发过程中产生的文档记录以及其它商业信息，双方均有责任承担保密义务。未经对方许可，任何一方不得以任何形式向其他方泄露。</w:t>
      </w:r>
    </w:p>
    <w:p>
      <w:pPr>
        <w:keepLines w:val="0"/>
        <w:pageBreakBefore w:val="0"/>
        <w:kinsoku/>
        <w:wordWrap/>
        <w:overflowPunct/>
        <w:bidi w:val="0"/>
        <w:spacing w:line="360" w:lineRule="auto"/>
        <w:ind w:firstLine="560" w:firstLineChars="200"/>
        <w:rPr>
          <w:rFonts w:hint="eastAsia" w:ascii="仿宋" w:hAnsi="仿宋" w:eastAsia="仿宋"/>
          <w:sz w:val="28"/>
          <w:szCs w:val="28"/>
        </w:rPr>
      </w:pPr>
      <w:r>
        <w:rPr>
          <w:rFonts w:hint="eastAsia" w:ascii="仿宋" w:hAnsi="仿宋" w:eastAsia="仿宋"/>
          <w:sz w:val="28"/>
          <w:szCs w:val="28"/>
          <w:lang w:val="en-US" w:eastAsia="zh-CN"/>
        </w:rPr>
        <w:t>5</w:t>
      </w:r>
      <w:r>
        <w:rPr>
          <w:rFonts w:hint="eastAsia" w:ascii="仿宋" w:hAnsi="仿宋" w:eastAsia="仿宋"/>
          <w:sz w:val="28"/>
          <w:szCs w:val="28"/>
        </w:rPr>
        <w:t>.中标人保证自身及其工作人员对在服务过程中所了解、知悉的采购人或相关单位的政府信息不得对外泄露，否则应付全部法律责任。</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b w:val="0"/>
          <w:bCs w:val="0"/>
          <w:shd w:val="clear" w:color="auto" w:fill="FFFFFF"/>
        </w:rPr>
      </w:pPr>
      <w:r>
        <w:rPr>
          <w:rFonts w:hint="eastAsia" w:ascii="仿宋" w:hAnsi="仿宋" w:eastAsia="仿宋"/>
          <w:sz w:val="28"/>
          <w:szCs w:val="28"/>
          <w:lang w:val="en-US" w:eastAsia="zh-CN"/>
        </w:rPr>
        <w:t>6</w:t>
      </w:r>
      <w:r>
        <w:rPr>
          <w:rFonts w:hint="eastAsia" w:ascii="仿宋" w:hAnsi="仿宋" w:eastAsia="仿宋"/>
          <w:sz w:val="28"/>
          <w:szCs w:val="28"/>
        </w:rPr>
        <w:t>.所有使用设备和工具应经过安全检测、避免出现安全漏洞和隐患。</w:t>
      </w:r>
    </w:p>
    <w:p>
      <w:pPr>
        <w:pStyle w:val="2"/>
        <w:keepNext w:val="0"/>
        <w:keepLines w:val="0"/>
        <w:pageBreakBefore w:val="0"/>
        <w:kinsoku/>
        <w:wordWrap/>
        <w:overflowPunct/>
        <w:bidi w:val="0"/>
        <w:spacing w:before="0" w:after="0" w:line="360" w:lineRule="auto"/>
        <w:ind w:left="0" w:leftChars="0" w:firstLine="481" w:firstLineChars="150"/>
        <w:jc w:val="both"/>
        <w:rPr>
          <w:rFonts w:ascii="仿宋_GB2312" w:hAnsi="仿宋_GB2312" w:eastAsia="仿宋_GB2312" w:cs="仿宋_GB2312"/>
          <w:b/>
          <w:bCs/>
          <w:sz w:val="32"/>
          <w:szCs w:val="32"/>
        </w:rPr>
      </w:pPr>
      <w:bookmarkStart w:id="34" w:name="_Toc256000030"/>
      <w:r>
        <w:rPr>
          <w:rFonts w:ascii="仿宋_GB2312" w:hAnsi="仿宋_GB2312" w:eastAsia="仿宋_GB2312" w:cs="仿宋_GB2312"/>
          <w:kern w:val="36"/>
        </w:rPr>
        <w:t>6风险管控要求</w:t>
      </w:r>
      <w:bookmarkEnd w:id="34"/>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中标人应做好项目实施风险的管控工作，确保如期高质量完成项目工作。</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1.中标人提供的服务不符合采购文件、本合同要求的，采购人有权拒收并要求中标人进行整改，并且采购人有权要求中标人支付本合同总价5%的违约金；中标人未在5日内完成整改或者整改后仍不符合要求的，采购人有权解除合同并要求中标人支付合同总价30%的违约金；中标人造成采购人损失的，仍应承担全部的赔偿责任。</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2.中标人未能按本合同约定的时间提供服务的，从逾期之日起每日按本合同总价5‰的数额向采购人支付违约金；逾期15天及以上的，采购人有权终止合同，双方按已提供服务的期限及内容结算服务费后，中标人向采购人支付本合同总额30%的违约金，由此造成的采购人经济损失由中标人承担，包括但不限于采购人委托第三方处理产生的费用等。</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3.中标人未按照合同条款约定的要求提供服务，引发金税三期核心征管系统、外部交换系统、税库银系统、社保费标准版、增值税发票管理系统（含税控和底账）、电子税务局等全省业务系统以及税务数字证书系统（省税务局端）、密码服务组件系统、双向安全交换系统等基础系统出现故障（不可抗力因素除外），导致全省范围内业务中断，持续时间超过4小时，中标人须按照合同总价款的10%向采购人支付违约金，给采购人造成损失的，中标人需承担赔偿责任。若后续事故未能在24小时内解决，或者类似事故一个月内发生2次以上，采购人有权解除本合同，并且不予支付合同尾款。</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lang w:eastAsia="zh-CN"/>
        </w:rPr>
        <w:t>.采购人逾期付款，每日按应付未付款的万分之一向中标人偿付违约金，违约金总额累计不超过合同总金额的5%。</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lang w:eastAsia="zh-CN"/>
        </w:rPr>
        <w:t>.中标人不得另行开发本合同业务需求范围内、供纳税人(或缴费人)使用的软件,如有违反，采购人有权将中标人纳入税务系统信息化服务商失信名单</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lang w:eastAsia="zh-CN"/>
        </w:rPr>
        <w:t>.中标人在本项目实施过程中发生违反网络安全规定情况，造成数据失窃或丢失、敏感信息泄露、主要业务系统瘫痪等不良后果的，自采购人或采购人主管机关做出认定之日起三年内，税务系统各单位可以拒绝中标人参与税务系统政府采购活动。</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lang w:eastAsia="zh-CN"/>
        </w:rPr>
        <w:t>.中标人不得违法违规聘用离职税务人员。中标人违法违规聘用离职税务人员的，采购人有权视情况采取以下一项或多项措施：</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①采购人要求中标人限期改正；</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②中标人按合同总价10%的数额向采购人支付违约金；</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③中标人3年内不得参加所聘人员原单位及下属单位的信息化项目政府采购活动；</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④采购人有权解除部分或全部合同；</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lang w:eastAsia="zh-CN"/>
        </w:rPr>
        <w:t>.中标人需保证提供合格的服务，如因中标人原因出现纳税人投诉或相关部门反馈监督意见等情形的，每出现一次中标人需支付本合同总额1%违约金，并赔偿采购人遭受的损失。</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lang w:eastAsia="zh-CN"/>
        </w:rPr>
        <w:t>.如中标人存在违背保密协议或廉政协议约定义务的行为，采购人有权解除合同，中标人须一次性支付本合同总额30%的违约金，由此造成的采购人经济损失由中标人承担。</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lang w:eastAsia="zh-CN"/>
        </w:rPr>
        <w:t>.中标人因违反本合同约定所需承担的违约金、赔偿金等，采购人有权直接于应付款中予以扣除，如不足以抵扣的中标人须赔偿补足。</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11</w:t>
      </w:r>
      <w:r>
        <w:rPr>
          <w:rFonts w:hint="eastAsia" w:ascii="仿宋_GB2312" w:hAnsi="仿宋_GB2312" w:eastAsia="仿宋_GB2312" w:cs="仿宋_GB2312"/>
          <w:sz w:val="28"/>
          <w:szCs w:val="28"/>
          <w:lang w:eastAsia="zh-CN"/>
        </w:rPr>
        <w:t>.本合同履行过程中一方违约的，违约方应赔偿守约方的损失，包括但不限于律师费、诉讼/仲裁费、公证费、差旅费、保全费、担保保函费等费用。</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12</w:t>
      </w:r>
      <w:r>
        <w:rPr>
          <w:rFonts w:hint="eastAsia" w:ascii="仿宋_GB2312" w:hAnsi="仿宋_GB2312" w:eastAsia="仿宋_GB2312" w:cs="仿宋_GB2312"/>
          <w:sz w:val="28"/>
          <w:szCs w:val="28"/>
          <w:lang w:eastAsia="zh-CN"/>
        </w:rPr>
        <w:t>.中标人在合同履行期间存在“围猎”采购人税务人员行为的（指以获取不正当利益为目的，采取馈赠礼品礼金、邀请娱乐旅游消费、提供便利条件等非正常交往手段“围猎”相关税务人员及其亲属），自采购人及采购人主管机关认定或通报之日起三年内，采购人可以拒绝中标人参与其政府采购活动。</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13</w:t>
      </w:r>
      <w:r>
        <w:rPr>
          <w:rFonts w:hint="eastAsia" w:ascii="仿宋_GB2312" w:hAnsi="仿宋_GB2312" w:eastAsia="仿宋_GB2312" w:cs="仿宋_GB2312"/>
          <w:sz w:val="28"/>
          <w:szCs w:val="28"/>
          <w:lang w:eastAsia="zh-CN"/>
        </w:rPr>
        <w:t>.国家税务总局发票电子化改革（金税四期）领导小组办公室可以对《税务系统信息化服务商失信行为记录名单制度(试行)》制度列举的失信行为进行认定，经其认定存在失信行为的服务商，3年内限制参加税收信息化项目政府采购活动。</w:t>
      </w:r>
    </w:p>
    <w:p>
      <w:pPr>
        <w:keepLines w:val="0"/>
        <w:pageBreakBefore w:val="0"/>
        <w:kinsoku/>
        <w:wordWrap/>
        <w:overflowPunct/>
        <w:bidi w:val="0"/>
        <w:spacing w:before="0" w:after="0" w:line="360" w:lineRule="auto"/>
        <w:ind w:firstLine="560" w:firstLineChars="200"/>
        <w:rPr>
          <w:rFonts w:hint="eastAsia" w:ascii="FangSong_GB2312" w:hAnsi="FangSong_GB2312" w:eastAsia="FangSong_GB2312" w:cs="FangSong_GB2312"/>
          <w:sz w:val="28"/>
          <w:szCs w:val="28"/>
          <w:lang w:eastAsia="zh-CN"/>
        </w:rPr>
      </w:pPr>
      <w:r>
        <w:rPr>
          <w:rFonts w:hint="eastAsia" w:ascii="仿宋_GB2312" w:hAnsi="仿宋_GB2312" w:eastAsia="仿宋_GB2312" w:cs="仿宋_GB2312"/>
          <w:sz w:val="28"/>
          <w:szCs w:val="28"/>
          <w:lang w:val="en-US" w:eastAsia="zh-CN"/>
        </w:rPr>
        <w:t>14</w:t>
      </w:r>
      <w:r>
        <w:rPr>
          <w:rFonts w:hint="eastAsia" w:ascii="仿宋_GB2312" w:hAnsi="仿宋_GB2312" w:eastAsia="仿宋_GB2312" w:cs="仿宋_GB2312"/>
          <w:sz w:val="28"/>
          <w:szCs w:val="28"/>
          <w:lang w:eastAsia="zh-CN"/>
        </w:rPr>
        <w:t>.其它违约责任按《中华人民共和国民法典》处理。</w:t>
      </w:r>
    </w:p>
    <w:p>
      <w:pPr>
        <w:pStyle w:val="2"/>
        <w:keepNext w:val="0"/>
        <w:keepLines w:val="0"/>
        <w:pageBreakBefore w:val="0"/>
        <w:kinsoku/>
        <w:wordWrap/>
        <w:overflowPunct/>
        <w:bidi w:val="0"/>
        <w:spacing w:before="0" w:after="0" w:line="360" w:lineRule="auto"/>
        <w:ind w:left="0" w:leftChars="0" w:firstLine="481" w:firstLineChars="150"/>
        <w:jc w:val="both"/>
        <w:rPr>
          <w:rFonts w:ascii="仿宋_GB2312" w:hAnsi="仿宋_GB2312" w:eastAsia="仿宋_GB2312" w:cs="仿宋_GB2312"/>
          <w:b/>
          <w:bCs/>
          <w:sz w:val="32"/>
          <w:szCs w:val="32"/>
        </w:rPr>
      </w:pPr>
      <w:bookmarkStart w:id="35" w:name="_Toc256000031"/>
      <w:r>
        <w:rPr>
          <w:rFonts w:ascii="仿宋_GB2312" w:hAnsi="仿宋_GB2312" w:eastAsia="仿宋_GB2312" w:cs="仿宋_GB2312"/>
          <w:kern w:val="36"/>
        </w:rPr>
        <w:t>7履约验收要求</w:t>
      </w:r>
      <w:bookmarkEnd w:id="35"/>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bookmarkStart w:id="36" w:name="_Toc256000032"/>
      <w:r>
        <w:rPr>
          <w:rFonts w:ascii="仿宋_GB2312" w:hAnsi="仿宋_GB2312" w:eastAsia="仿宋_GB2312" w:cs="仿宋_GB2312"/>
          <w:i w:val="0"/>
          <w:iCs w:val="0"/>
        </w:rPr>
        <w:t>7.1总体要求</w:t>
      </w:r>
      <w:bookmarkEnd w:id="36"/>
    </w:p>
    <w:tbl>
      <w:tblPr>
        <w:tblStyle w:val="13"/>
        <w:tblW w:w="5000" w:type="pct"/>
        <w:tblInd w:w="30" w:type="dxa"/>
        <w:tblLayout w:type="autofit"/>
        <w:tblCellMar>
          <w:top w:w="15" w:type="dxa"/>
          <w:left w:w="15" w:type="dxa"/>
          <w:bottom w:w="15" w:type="dxa"/>
          <w:right w:w="15" w:type="dxa"/>
        </w:tblCellMar>
      </w:tblPr>
      <w:tblGrid>
        <w:gridCol w:w="4702"/>
        <w:gridCol w:w="4702"/>
      </w:tblGrid>
      <w:tr>
        <w:tblPrEx>
          <w:tblCellMar>
            <w:top w:w="15" w:type="dxa"/>
            <w:left w:w="15" w:type="dxa"/>
            <w:bottom w:w="15" w:type="dxa"/>
            <w:right w:w="15" w:type="dxa"/>
          </w:tblCellMar>
        </w:tblPrEx>
        <w:tc>
          <w:tcPr>
            <w:tcW w:w="25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验收名称</w:t>
            </w:r>
          </w:p>
        </w:tc>
        <w:tc>
          <w:tcPr>
            <w:tcW w:w="25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ascii="仿宋_GB2312" w:hAnsi="仿宋_GB2312" w:eastAsia="仿宋_GB2312" w:cs="仿宋_GB2312"/>
                <w:b/>
                <w:bCs/>
                <w:i w:val="0"/>
                <w:iCs w:val="0"/>
                <w:smallCaps w:val="0"/>
                <w:color w:val="000000"/>
                <w:sz w:val="21"/>
                <w:szCs w:val="21"/>
              </w:rPr>
            </w:pPr>
            <w:r>
              <w:rPr>
                <w:rFonts w:ascii="仿宋_GB2312" w:hAnsi="仿宋_GB2312" w:eastAsia="仿宋_GB2312" w:cs="仿宋_GB2312"/>
                <w:b/>
                <w:bCs/>
                <w:i w:val="0"/>
                <w:iCs w:val="0"/>
                <w:smallCaps w:val="0"/>
                <w:color w:val="000000"/>
                <w:sz w:val="21"/>
                <w:szCs w:val="21"/>
              </w:rPr>
              <w:t>验收要求</w:t>
            </w:r>
          </w:p>
        </w:tc>
      </w:tr>
      <w:tr>
        <w:tblPrEx>
          <w:tblCellMar>
            <w:top w:w="15" w:type="dxa"/>
            <w:left w:w="15" w:type="dxa"/>
            <w:bottom w:w="15" w:type="dxa"/>
            <w:right w:w="15" w:type="dxa"/>
          </w:tblCellMar>
        </w:tblPrEx>
        <w:tc>
          <w:tcPr>
            <w:tcW w:w="250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第1次验收</w:t>
            </w:r>
          </w:p>
        </w:tc>
        <w:tc>
          <w:tcPr>
            <w:tcW w:w="2500" w:type="pc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keepLines w:val="0"/>
              <w:pageBreakBefore w:val="0"/>
              <w:kinsoku/>
              <w:wordWrap/>
              <w:overflowPunct/>
              <w:bidi w:val="0"/>
              <w:spacing w:line="360" w:lineRule="auto"/>
              <w:jc w:val="left"/>
              <w:rPr>
                <w:rFonts w:ascii="仿宋_GB2312" w:hAnsi="仿宋_GB2312" w:eastAsia="仿宋_GB2312" w:cs="仿宋_GB2312"/>
                <w:b w:val="0"/>
                <w:bCs w:val="0"/>
                <w:i w:val="0"/>
                <w:iCs w:val="0"/>
                <w:smallCaps w:val="0"/>
                <w:color w:val="000000"/>
                <w:sz w:val="21"/>
                <w:szCs w:val="21"/>
              </w:rPr>
            </w:pPr>
            <w:r>
              <w:rPr>
                <w:rFonts w:ascii="仿宋_GB2312" w:hAnsi="仿宋_GB2312" w:eastAsia="仿宋_GB2312" w:cs="仿宋_GB2312"/>
                <w:b w:val="0"/>
                <w:bCs w:val="0"/>
                <w:i w:val="0"/>
                <w:iCs w:val="0"/>
                <w:smallCaps w:val="0"/>
                <w:color w:val="000000"/>
                <w:sz w:val="21"/>
                <w:szCs w:val="21"/>
              </w:rPr>
              <w:t>通过。</w:t>
            </w:r>
          </w:p>
        </w:tc>
      </w:tr>
    </w:tbl>
    <w:p>
      <w:pPr>
        <w:pStyle w:val="3"/>
        <w:keepNext w:val="0"/>
        <w:keepLines w:val="0"/>
        <w:pageBreakBefore w:val="0"/>
        <w:kinsoku/>
        <w:wordWrap/>
        <w:overflowPunct/>
        <w:bidi w:val="0"/>
        <w:spacing w:before="0" w:after="0" w:line="360" w:lineRule="auto"/>
        <w:ind w:firstLine="562" w:firstLineChars="200"/>
        <w:outlineLvl w:val="0"/>
        <w:rPr>
          <w:rFonts w:hint="eastAsia" w:ascii="仿宋_GB2312" w:hAnsi="仿宋_GB2312" w:eastAsia="仿宋_GB2312" w:cs="仿宋_GB2312"/>
          <w:i w:val="0"/>
          <w:iCs w:val="0"/>
          <w:color w:val="FF0000"/>
          <w:lang w:eastAsia="zh-CN"/>
        </w:rPr>
      </w:pPr>
      <w:bookmarkStart w:id="37" w:name="_Toc256000033"/>
      <w:r>
        <w:rPr>
          <w:rFonts w:ascii="仿宋_GB2312" w:hAnsi="仿宋_GB2312" w:eastAsia="仿宋_GB2312" w:cs="仿宋_GB2312"/>
          <w:i w:val="0"/>
          <w:iCs w:val="0"/>
        </w:rPr>
        <w:t>7.2具体要求</w:t>
      </w:r>
      <w:bookmarkEnd w:id="37"/>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color w:val="auto"/>
          <w:sz w:val="28"/>
          <w:szCs w:val="28"/>
          <w:lang w:val="en-US" w:eastAsia="zh-CN"/>
        </w:rPr>
        <w:t>在系统安装调试验收合格后，中标人与采购人配合完成测试并签署验收报告。中标人在系统安装调试完成后应先自测，在通过自测后，中标人与采购人共同组成验收小组，由中标人提供测试方案，经采购人确认后按相关要求进行验收。测试结果如与验收小组确定的性能不符或测试结果不能确认，在五个工作日内调整配置直至重新测试合格，如果测试不通过，采购人有权停止验收和拒收该系统，且由中标人承担相应责任。安全稳定试运行1个月后，</w:t>
      </w:r>
      <w:r>
        <w:rPr>
          <w:rFonts w:hint="eastAsia" w:ascii="仿宋_GB2312" w:hAnsi="仿宋_GB2312" w:eastAsia="仿宋_GB2312" w:cs="仿宋_GB2312"/>
          <w:sz w:val="28"/>
          <w:szCs w:val="28"/>
          <w:lang w:val="en-US" w:eastAsia="zh-CN"/>
        </w:rPr>
        <w:t>中标人需提供以下资料进行项目验收：</w:t>
      </w:r>
    </w:p>
    <w:p>
      <w:pPr>
        <w:keepLines w:val="0"/>
        <w:pageBreakBefore w:val="0"/>
        <w:kinsoku/>
        <w:wordWrap/>
        <w:overflowPunct/>
        <w:bidi w:val="0"/>
        <w:spacing w:before="0" w:after="0" w:line="360" w:lineRule="auto"/>
        <w:ind w:firstLine="561"/>
        <w:rPr>
          <w:rFonts w:ascii="仿宋_GB2312" w:hAnsi="仿宋_GB2312" w:eastAsia="仿宋_GB2312" w:cs="仿宋_GB2312"/>
          <w:sz w:val="28"/>
          <w:szCs w:val="28"/>
        </w:rPr>
      </w:pPr>
      <w:r>
        <w:rPr>
          <w:rFonts w:hint="eastAsia" w:ascii="仿宋_GB2312" w:hAnsi="仿宋_GB2312" w:eastAsia="仿宋_GB2312" w:cs="仿宋_GB2312"/>
          <w:sz w:val="28"/>
          <w:szCs w:val="28"/>
        </w:rPr>
        <w:t>《安装部署情况》</w:t>
      </w:r>
    </w:p>
    <w:p>
      <w:pPr>
        <w:keepLines w:val="0"/>
        <w:pageBreakBefore w:val="0"/>
        <w:kinsoku/>
        <w:wordWrap/>
        <w:overflowPunct/>
        <w:bidi w:val="0"/>
        <w:spacing w:before="0" w:after="0" w:line="360" w:lineRule="auto"/>
        <w:ind w:firstLine="561"/>
        <w:rPr>
          <w:rFonts w:ascii="仿宋_GB2312" w:hAnsi="仿宋_GB2312" w:eastAsia="仿宋_GB2312" w:cs="仿宋_GB2312"/>
          <w:sz w:val="28"/>
          <w:szCs w:val="28"/>
        </w:rPr>
      </w:pPr>
      <w:r>
        <w:rPr>
          <w:rFonts w:hint="eastAsia" w:ascii="仿宋_GB2312" w:hAnsi="仿宋_GB2312" w:eastAsia="仿宋_GB2312" w:cs="仿宋_GB2312"/>
          <w:sz w:val="28"/>
          <w:szCs w:val="28"/>
        </w:rPr>
        <w:t>《测试及试运行报告》</w:t>
      </w:r>
    </w:p>
    <w:p>
      <w:pPr>
        <w:keepLines w:val="0"/>
        <w:pageBreakBefore w:val="0"/>
        <w:kinsoku/>
        <w:wordWrap/>
        <w:overflowPunct/>
        <w:bidi w:val="0"/>
        <w:spacing w:before="0" w:after="0" w:line="360" w:lineRule="auto"/>
        <w:ind w:firstLine="561"/>
        <w:rPr>
          <w:rFonts w:ascii="仿宋_GB2312" w:hAnsi="仿宋_GB2312" w:eastAsia="仿宋_GB2312" w:cs="仿宋_GB2312"/>
          <w:sz w:val="28"/>
          <w:szCs w:val="28"/>
        </w:rPr>
      </w:pPr>
      <w:r>
        <w:rPr>
          <w:rFonts w:hint="eastAsia" w:ascii="仿宋_GB2312" w:hAnsi="仿宋_GB2312" w:eastAsia="仿宋_GB2312" w:cs="仿宋_GB2312"/>
          <w:sz w:val="28"/>
          <w:szCs w:val="28"/>
        </w:rPr>
        <w:t>《用户手册》或《</w:t>
      </w:r>
      <w:r>
        <w:rPr>
          <w:rFonts w:hint="eastAsia" w:ascii="仿宋_GB2312" w:hAnsi="仿宋_GB2312" w:eastAsia="仿宋_GB2312" w:cs="仿宋_GB2312"/>
          <w:sz w:val="28"/>
          <w:szCs w:val="28"/>
          <w:lang w:eastAsia="zh-CN"/>
        </w:rPr>
        <w:t>软件</w:t>
      </w:r>
      <w:r>
        <w:rPr>
          <w:rFonts w:hint="eastAsia" w:ascii="仿宋_GB2312" w:hAnsi="仿宋_GB2312" w:eastAsia="仿宋_GB2312" w:cs="仿宋_GB2312"/>
          <w:sz w:val="28"/>
          <w:szCs w:val="28"/>
        </w:rPr>
        <w:t>使用维护说明书》</w:t>
      </w:r>
    </w:p>
    <w:p>
      <w:pPr>
        <w:keepLines w:val="0"/>
        <w:pageBreakBefore w:val="0"/>
        <w:kinsoku/>
        <w:wordWrap/>
        <w:overflowPunct/>
        <w:bidi w:val="0"/>
        <w:spacing w:before="0" w:after="0" w:line="360" w:lineRule="auto"/>
        <w:ind w:firstLine="561"/>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《验收技术评审表》</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双方人员签署《项目实施验收报告》之时视为实施阶段结束，进入项目维保期。</w:t>
      </w:r>
    </w:p>
    <w:p>
      <w:pPr>
        <w:pStyle w:val="2"/>
        <w:keepNext w:val="0"/>
        <w:keepLines w:val="0"/>
        <w:pageBreakBefore w:val="0"/>
        <w:kinsoku/>
        <w:wordWrap/>
        <w:overflowPunct/>
        <w:bidi w:val="0"/>
        <w:spacing w:before="0" w:after="0" w:line="360" w:lineRule="auto"/>
        <w:ind w:left="0" w:leftChars="0" w:firstLine="481" w:firstLineChars="150"/>
        <w:jc w:val="left"/>
        <w:rPr>
          <w:rFonts w:ascii="仿宋_GB2312" w:hAnsi="仿宋_GB2312" w:eastAsia="仿宋_GB2312" w:cs="仿宋_GB2312"/>
          <w:b/>
          <w:bCs/>
          <w:sz w:val="32"/>
          <w:szCs w:val="32"/>
        </w:rPr>
      </w:pPr>
      <w:bookmarkStart w:id="38" w:name="_Toc256000034"/>
      <w:r>
        <w:rPr>
          <w:rFonts w:ascii="仿宋_GB2312" w:hAnsi="仿宋_GB2312" w:eastAsia="仿宋_GB2312" w:cs="仿宋_GB2312"/>
          <w:kern w:val="36"/>
        </w:rPr>
        <w:t>8其他要求</w:t>
      </w:r>
      <w:bookmarkEnd w:id="38"/>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bookmarkStart w:id="39" w:name="_Toc256000035"/>
      <w:r>
        <w:rPr>
          <w:rFonts w:ascii="仿宋_GB2312" w:hAnsi="仿宋_GB2312" w:eastAsia="仿宋_GB2312" w:cs="仿宋_GB2312"/>
          <w:i w:val="0"/>
          <w:iCs w:val="0"/>
        </w:rPr>
        <w:t>8.1必备要求</w:t>
      </w:r>
      <w:bookmarkEnd w:id="39"/>
    </w:p>
    <w:p>
      <w:pPr>
        <w:pStyle w:val="3"/>
        <w:keepNext w:val="0"/>
        <w:keepLines w:val="0"/>
        <w:pageBreakBefore w:val="0"/>
        <w:kinsoku/>
        <w:wordWrap/>
        <w:overflowPunct/>
        <w:bidi w:val="0"/>
        <w:spacing w:before="0" w:after="0" w:line="360" w:lineRule="auto"/>
        <w:ind w:firstLine="562" w:firstLineChars="200"/>
        <w:rPr>
          <w:rFonts w:ascii="仿宋_GB2312" w:hAnsi="仿宋_GB2312" w:eastAsia="仿宋_GB2312" w:cs="仿宋_GB2312"/>
          <w:b/>
          <w:bCs/>
          <w:sz w:val="28"/>
          <w:szCs w:val="28"/>
        </w:rPr>
      </w:pPr>
      <w:bookmarkStart w:id="40" w:name="_Toc256000036"/>
      <w:r>
        <w:rPr>
          <w:rFonts w:ascii="仿宋_GB2312" w:hAnsi="仿宋_GB2312" w:eastAsia="仿宋_GB2312" w:cs="仿宋_GB2312"/>
          <w:i w:val="0"/>
          <w:iCs w:val="0"/>
        </w:rPr>
        <w:t>8.1.1通用必备要求</w:t>
      </w:r>
      <w:bookmarkEnd w:id="40"/>
    </w:p>
    <w:p>
      <w:pPr>
        <w:keepLines w:val="0"/>
        <w:pageBreakBefore w:val="0"/>
        <w:kinsoku/>
        <w:wordWrap/>
        <w:overflowPunct/>
        <w:bidi w:val="0"/>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 xml:space="preserve">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 </w:t>
      </w:r>
    </w:p>
    <w:p>
      <w:pPr>
        <w:keepLines w:val="0"/>
        <w:pageBreakBefore w:val="0"/>
        <w:kinsoku/>
        <w:wordWrap/>
        <w:overflowPunct/>
        <w:bidi w:val="0"/>
        <w:spacing w:before="0" w:after="0" w:line="360" w:lineRule="auto"/>
        <w:ind w:firstLine="561"/>
        <w:rPr>
          <w:rFonts w:ascii="仿宋_GB2312" w:hAnsi="仿宋_GB2312" w:eastAsia="仿宋_GB2312" w:cs="仿宋_GB2312"/>
          <w:sz w:val="28"/>
          <w:szCs w:val="28"/>
        </w:rPr>
      </w:pPr>
      <w:r>
        <w:rPr>
          <w:rFonts w:ascii="仿宋_GB2312" w:hAnsi="仿宋_GB2312" w:eastAsia="仿宋_GB2312" w:cs="仿宋_GB2312"/>
          <w:sz w:val="28"/>
          <w:szCs w:val="28"/>
        </w:rPr>
        <w:t>以上相关要求，由供应商在响应时应答，在履约验收中，采购人将按照采购文件、中标/成交供应商响应文件、采购合同等对中标/成交供应商提供的货物和服务进行验收，必要时依法依规开展相应检测、认证。</w:t>
      </w:r>
    </w:p>
    <w:p>
      <w:pPr>
        <w:keepLines w:val="0"/>
        <w:pageBreakBefore w:val="0"/>
        <w:kinsoku/>
        <w:wordWrap/>
        <w:overflowPunct/>
        <w:bidi w:val="0"/>
        <w:spacing w:before="0" w:after="0" w:line="360" w:lineRule="auto"/>
        <w:rPr>
          <w:rFonts w:ascii="FangSong_GB2312" w:hAnsi="FangSong_GB2312" w:eastAsia="FangSong_GB2312" w:cs="FangSong_GB2312"/>
          <w:sz w:val="28"/>
          <w:szCs w:val="28"/>
        </w:rPr>
      </w:pPr>
      <w:r>
        <w:rPr>
          <w:rFonts w:ascii="FangSong_GB2312" w:hAnsi="FangSong_GB2312" w:eastAsia="FangSong_GB2312" w:cs="FangSong_GB2312"/>
          <w:sz w:val="28"/>
          <w:szCs w:val="28"/>
        </w:rPr>
        <w:t>可补充。</w:t>
      </w:r>
    </w:p>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bookmarkStart w:id="41" w:name="_Toc256000037"/>
      <w:r>
        <w:rPr>
          <w:rFonts w:ascii="仿宋_GB2312" w:hAnsi="仿宋_GB2312" w:eastAsia="仿宋_GB2312" w:cs="仿宋_GB2312"/>
          <w:i w:val="0"/>
          <w:iCs w:val="0"/>
        </w:rPr>
        <w:t>8.2付款安排建议</w:t>
      </w:r>
      <w:bookmarkEnd w:id="41"/>
    </w:p>
    <w:tbl>
      <w:tblPr>
        <w:tblStyle w:val="13"/>
        <w:tblW w:w="5000" w:type="pct"/>
        <w:tblInd w:w="30" w:type="dxa"/>
        <w:tblLayout w:type="autofit"/>
        <w:tblCellMar>
          <w:top w:w="15" w:type="dxa"/>
          <w:left w:w="15" w:type="dxa"/>
          <w:bottom w:w="15" w:type="dxa"/>
          <w:right w:w="15" w:type="dxa"/>
        </w:tblCellMar>
      </w:tblPr>
      <w:tblGrid>
        <w:gridCol w:w="1881"/>
        <w:gridCol w:w="5642"/>
        <w:gridCol w:w="1881"/>
      </w:tblGrid>
      <w:tr>
        <w:tblPrEx>
          <w:tblCellMar>
            <w:top w:w="15" w:type="dxa"/>
            <w:left w:w="15" w:type="dxa"/>
            <w:bottom w:w="15" w:type="dxa"/>
            <w:right w:w="15" w:type="dxa"/>
          </w:tblCellMar>
        </w:tblPrEx>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hint="eastAsia" w:ascii="宋体" w:hAnsi="宋体" w:eastAsia="宋体" w:cs="宋体"/>
                <w:b/>
                <w:bCs/>
                <w:i w:val="0"/>
                <w:iCs w:val="0"/>
                <w:smallCaps w:val="0"/>
                <w:color w:val="000000"/>
                <w:sz w:val="21"/>
                <w:szCs w:val="21"/>
              </w:rPr>
            </w:pPr>
            <w:r>
              <w:rPr>
                <w:rFonts w:hint="eastAsia" w:ascii="宋体" w:hAnsi="宋体" w:eastAsia="宋体" w:cs="宋体"/>
                <w:b/>
                <w:bCs/>
                <w:i w:val="0"/>
                <w:iCs w:val="0"/>
                <w:smallCaps w:val="0"/>
                <w:color w:val="000000"/>
                <w:sz w:val="21"/>
                <w:szCs w:val="21"/>
              </w:rPr>
              <w:t>付款名称</w:t>
            </w:r>
          </w:p>
        </w:tc>
        <w:tc>
          <w:tcPr>
            <w:tcW w:w="3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hint="eastAsia" w:ascii="宋体" w:hAnsi="宋体" w:eastAsia="宋体" w:cs="宋体"/>
                <w:b/>
                <w:bCs/>
                <w:i w:val="0"/>
                <w:iCs w:val="0"/>
                <w:smallCaps w:val="0"/>
                <w:color w:val="000000"/>
                <w:sz w:val="21"/>
                <w:szCs w:val="21"/>
              </w:rPr>
            </w:pPr>
            <w:r>
              <w:rPr>
                <w:rFonts w:hint="eastAsia" w:ascii="宋体" w:hAnsi="宋体" w:eastAsia="宋体" w:cs="宋体"/>
                <w:b/>
                <w:bCs/>
                <w:i w:val="0"/>
                <w:iCs w:val="0"/>
                <w:smallCaps w:val="0"/>
                <w:color w:val="000000"/>
                <w:sz w:val="21"/>
                <w:szCs w:val="21"/>
              </w:rPr>
              <w:t>付款要求</w:t>
            </w:r>
          </w:p>
        </w:tc>
        <w:tc>
          <w:tcPr>
            <w:tcW w:w="1000" w:type="pct"/>
            <w:tcBorders>
              <w:top w:val="single" w:color="000000" w:sz="6" w:space="0"/>
              <w:left w:val="single" w:color="000000" w:sz="6" w:space="0"/>
              <w:bottom w:val="single" w:color="000000" w:sz="6" w:space="0"/>
              <w:right w:val="single" w:color="000000" w:sz="6" w:space="0"/>
            </w:tcBorders>
            <w:shd w:val="clear" w:color="auto" w:fill="D3D3D3"/>
            <w:noWrap w:val="0"/>
            <w:tcMar>
              <w:top w:w="22" w:type="dxa"/>
              <w:left w:w="22" w:type="dxa"/>
              <w:bottom w:w="22" w:type="dxa"/>
              <w:right w:w="22" w:type="dxa"/>
            </w:tcMar>
            <w:vAlign w:val="center"/>
          </w:tcPr>
          <w:p>
            <w:pPr>
              <w:keepLines w:val="0"/>
              <w:pageBreakBefore w:val="0"/>
              <w:kinsoku/>
              <w:wordWrap/>
              <w:overflowPunct/>
              <w:bidi w:val="0"/>
              <w:spacing w:line="360" w:lineRule="auto"/>
              <w:jc w:val="center"/>
              <w:rPr>
                <w:rFonts w:hint="eastAsia" w:ascii="宋体" w:hAnsi="宋体" w:eastAsia="宋体" w:cs="宋体"/>
                <w:b/>
                <w:bCs/>
                <w:i w:val="0"/>
                <w:iCs w:val="0"/>
                <w:smallCaps w:val="0"/>
                <w:color w:val="000000"/>
                <w:sz w:val="21"/>
                <w:szCs w:val="21"/>
              </w:rPr>
            </w:pPr>
            <w:r>
              <w:rPr>
                <w:rFonts w:hint="eastAsia" w:ascii="宋体" w:hAnsi="宋体" w:eastAsia="宋体" w:cs="宋体"/>
                <w:b/>
                <w:bCs/>
                <w:i w:val="0"/>
                <w:iCs w:val="0"/>
                <w:smallCaps w:val="0"/>
                <w:color w:val="000000"/>
                <w:sz w:val="21"/>
                <w:szCs w:val="21"/>
              </w:rPr>
              <w:t>付款比例(%)</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spacing w:line="360" w:lineRule="auto"/>
              <w:jc w:val="left"/>
              <w:outlineLvl w:val="1"/>
              <w:rPr>
                <w:rFonts w:hint="eastAsia" w:ascii="宋体" w:hAnsi="宋体" w:eastAsia="宋体" w:cs="宋体"/>
                <w:b w:val="0"/>
                <w:bCs w:val="0"/>
                <w:i w:val="0"/>
                <w:iCs w:val="0"/>
                <w:smallCaps w:val="0"/>
                <w:color w:val="000000"/>
                <w:sz w:val="21"/>
                <w:szCs w:val="21"/>
              </w:rPr>
            </w:pPr>
            <w:r>
              <w:rPr>
                <w:rFonts w:hint="eastAsia" w:ascii="宋体" w:hAnsi="宋体" w:cs="宋体"/>
                <w:szCs w:val="21"/>
              </w:rPr>
              <w:t>第1次付款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spacing w:line="360" w:lineRule="auto"/>
              <w:jc w:val="left"/>
              <w:outlineLvl w:val="1"/>
              <w:rPr>
                <w:rFonts w:hint="eastAsia" w:ascii="宋体" w:hAnsi="宋体" w:eastAsia="宋体" w:cs="宋体"/>
                <w:b w:val="0"/>
                <w:bCs w:val="0"/>
                <w:i w:val="0"/>
                <w:iCs w:val="0"/>
                <w:smallCaps w:val="0"/>
                <w:color w:val="000000"/>
                <w:sz w:val="21"/>
                <w:szCs w:val="21"/>
              </w:rPr>
            </w:pPr>
            <w:r>
              <w:rPr>
                <w:rFonts w:hint="eastAsia" w:ascii="宋体" w:hAnsi="宋体" w:cs="宋体"/>
                <w:szCs w:val="21"/>
              </w:rPr>
              <w:t>采购人在本项目合同签订并收到等额发票后10个工作日内向中标人支付</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spacing w:line="360" w:lineRule="auto"/>
              <w:jc w:val="left"/>
              <w:outlineLvl w:val="1"/>
              <w:rPr>
                <w:rFonts w:hint="eastAsia" w:ascii="宋体" w:hAnsi="宋体" w:eastAsia="宋体" w:cs="宋体"/>
                <w:b w:val="0"/>
                <w:bCs w:val="0"/>
                <w:i w:val="0"/>
                <w:iCs w:val="0"/>
                <w:smallCaps w:val="0"/>
                <w:color w:val="000000"/>
                <w:sz w:val="21"/>
                <w:szCs w:val="21"/>
              </w:rPr>
            </w:pPr>
            <w:r>
              <w:rPr>
                <w:rFonts w:hint="eastAsia" w:ascii="宋体" w:hAnsi="宋体" w:cs="宋体"/>
                <w:szCs w:val="21"/>
              </w:rPr>
              <w:t>50</w:t>
            </w:r>
          </w:p>
        </w:tc>
      </w:tr>
      <w:tr>
        <w:tblPrEx>
          <w:tblCellMar>
            <w:top w:w="15" w:type="dxa"/>
            <w:left w:w="15" w:type="dxa"/>
            <w:bottom w:w="15" w:type="dxa"/>
            <w:right w:w="15" w:type="dxa"/>
          </w:tblCellMar>
        </w:tblPrEx>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spacing w:line="360" w:lineRule="auto"/>
              <w:jc w:val="left"/>
              <w:outlineLvl w:val="1"/>
              <w:rPr>
                <w:rFonts w:hint="eastAsia" w:ascii="宋体" w:hAnsi="宋体" w:eastAsia="宋体" w:cs="宋体"/>
                <w:b w:val="0"/>
                <w:bCs w:val="0"/>
                <w:i w:val="0"/>
                <w:iCs w:val="0"/>
                <w:smallCaps w:val="0"/>
                <w:color w:val="000000"/>
                <w:sz w:val="21"/>
                <w:szCs w:val="21"/>
              </w:rPr>
            </w:pPr>
            <w:r>
              <w:rPr>
                <w:rFonts w:hint="eastAsia" w:ascii="宋体" w:hAnsi="宋体" w:cs="宋体"/>
                <w:szCs w:val="21"/>
              </w:rPr>
              <w:t>第2次付款</w:t>
            </w:r>
          </w:p>
        </w:tc>
        <w:tc>
          <w:tcPr>
            <w:tcW w:w="22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spacing w:line="360" w:lineRule="auto"/>
              <w:jc w:val="left"/>
              <w:outlineLvl w:val="1"/>
              <w:rPr>
                <w:rFonts w:hint="eastAsia" w:ascii="宋体" w:hAnsi="宋体" w:eastAsia="宋体" w:cs="宋体"/>
                <w:b w:val="0"/>
                <w:bCs w:val="0"/>
                <w:i w:val="0"/>
                <w:iCs w:val="0"/>
                <w:smallCaps w:val="0"/>
                <w:color w:val="000000"/>
                <w:sz w:val="21"/>
                <w:szCs w:val="21"/>
              </w:rPr>
            </w:pPr>
            <w:r>
              <w:rPr>
                <w:rFonts w:hint="eastAsia" w:ascii="宋体" w:hAnsi="宋体" w:cs="宋体"/>
                <w:szCs w:val="21"/>
              </w:rPr>
              <w:t>中标人完成合同任务且经采购人验收通过后，采购人在收到中标人提供的等额发票后10 个工作日内支付</w:t>
            </w:r>
          </w:p>
        </w:tc>
        <w:tc>
          <w:tcPr>
            <w:tcW w:w="79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pPr>
              <w:spacing w:line="360" w:lineRule="auto"/>
              <w:jc w:val="left"/>
              <w:outlineLvl w:val="1"/>
              <w:rPr>
                <w:rFonts w:hint="eastAsia" w:ascii="宋体" w:hAnsi="宋体" w:eastAsia="宋体" w:cs="宋体"/>
                <w:b w:val="0"/>
                <w:bCs w:val="0"/>
                <w:i w:val="0"/>
                <w:iCs w:val="0"/>
                <w:smallCaps w:val="0"/>
                <w:color w:val="000000"/>
                <w:sz w:val="21"/>
                <w:szCs w:val="21"/>
              </w:rPr>
            </w:pPr>
            <w:r>
              <w:rPr>
                <w:rFonts w:hint="eastAsia" w:ascii="宋体" w:hAnsi="宋体" w:cs="宋体"/>
                <w:szCs w:val="21"/>
              </w:rPr>
              <w:t>50</w:t>
            </w:r>
          </w:p>
        </w:tc>
      </w:tr>
    </w:tbl>
    <w:p>
      <w:pPr>
        <w:pStyle w:val="3"/>
        <w:keepNext w:val="0"/>
        <w:keepLines w:val="0"/>
        <w:pageBreakBefore w:val="0"/>
        <w:kinsoku/>
        <w:wordWrap/>
        <w:overflowPunct/>
        <w:bidi w:val="0"/>
        <w:spacing w:before="0" w:after="0" w:line="360" w:lineRule="auto"/>
        <w:ind w:firstLine="562" w:firstLineChars="200"/>
        <w:outlineLvl w:val="0"/>
        <w:rPr>
          <w:rFonts w:ascii="仿宋_GB2312" w:hAnsi="仿宋_GB2312" w:eastAsia="仿宋_GB2312" w:cs="仿宋_GB2312"/>
          <w:b/>
          <w:bCs/>
          <w:sz w:val="28"/>
          <w:szCs w:val="28"/>
        </w:rPr>
      </w:pPr>
      <w:bookmarkStart w:id="42" w:name="_Toc256000038"/>
      <w:r>
        <w:rPr>
          <w:rFonts w:ascii="仿宋_GB2312" w:hAnsi="仿宋_GB2312" w:eastAsia="仿宋_GB2312" w:cs="仿宋_GB2312"/>
          <w:i w:val="0"/>
          <w:iCs w:val="0"/>
        </w:rPr>
        <w:t>8.3其他要求</w:t>
      </w:r>
      <w:bookmarkEnd w:id="42"/>
    </w:p>
    <w:p>
      <w:pPr>
        <w:pStyle w:val="4"/>
        <w:keepNext w:val="0"/>
        <w:keepLines w:val="0"/>
        <w:pageBreakBefore w:val="0"/>
        <w:kinsoku/>
        <w:wordWrap/>
        <w:overflowPunct/>
        <w:bidi w:val="0"/>
        <w:spacing w:before="0" w:after="0" w:line="360" w:lineRule="auto"/>
        <w:ind w:firstLine="562" w:firstLineChars="200"/>
        <w:outlineLvl w:val="1"/>
        <w:rPr>
          <w:rFonts w:ascii="仿宋_GB2312" w:hAnsi="仿宋_GB2312" w:eastAsia="仿宋_GB2312" w:cs="仿宋_GB2312"/>
          <w:sz w:val="28"/>
          <w:szCs w:val="28"/>
        </w:rPr>
      </w:pPr>
      <w:bookmarkStart w:id="43" w:name="_Toc256000039"/>
      <w:r>
        <w:rPr>
          <w:rFonts w:ascii="仿宋_GB2312" w:hAnsi="仿宋_GB2312" w:eastAsia="仿宋_GB2312" w:cs="仿宋_GB2312"/>
          <w:sz w:val="28"/>
          <w:szCs w:val="28"/>
        </w:rPr>
        <w:t>8.3.1保密要求</w:t>
      </w:r>
      <w:bookmarkEnd w:id="43"/>
    </w:p>
    <w:p>
      <w:pPr>
        <w:keepLines w:val="0"/>
        <w:pageBreakBefore w:val="0"/>
        <w:kinsoku/>
        <w:wordWrap/>
        <w:overflowPunct/>
        <w:bidi w:val="0"/>
        <w:spacing w:line="360" w:lineRule="auto"/>
        <w:ind w:firstLine="560" w:firstLineChars="200"/>
        <w:rPr>
          <w:rFonts w:hint="eastAsia" w:ascii="仿宋_GB2312" w:eastAsia="仿宋_GB2312"/>
          <w:sz w:val="28"/>
          <w:szCs w:val="28"/>
        </w:rPr>
      </w:pPr>
      <w:bookmarkStart w:id="44" w:name="_Toc256000040"/>
      <w:r>
        <w:rPr>
          <w:rFonts w:hint="eastAsia" w:ascii="仿宋_GB2312" w:hAnsi="仿宋_GB2312" w:eastAsia="仿宋_GB2312" w:cs="仿宋_GB2312"/>
          <w:sz w:val="28"/>
          <w:szCs w:val="28"/>
        </w:rPr>
        <w:t>中标人及其驻场人员</w:t>
      </w:r>
      <w:r>
        <w:rPr>
          <w:rFonts w:hint="eastAsia" w:ascii="仿宋_GB2312" w:hAnsi="仿宋_GB2312" w:eastAsia="仿宋_GB2312" w:cs="仿宋_GB2312"/>
          <w:sz w:val="28"/>
          <w:szCs w:val="28"/>
          <w:lang w:val="en-US" w:eastAsia="zh-CN"/>
        </w:rPr>
        <w:t>/实施人员</w:t>
      </w:r>
      <w:r>
        <w:rPr>
          <w:rFonts w:hint="eastAsia" w:ascii="仿宋_GB2312" w:hAnsi="仿宋_GB2312" w:eastAsia="仿宋_GB2312" w:cs="仿宋_GB2312"/>
          <w:sz w:val="28"/>
          <w:szCs w:val="28"/>
        </w:rPr>
        <w:t>需与采购人签订保密协议，驻场人员应遵循采购人的各项规章制度。所接触的广东税务专有信息仅限于本人在本项目中使用，不得向他人泄露，更不得用于演示或宣传。</w:t>
      </w:r>
    </w:p>
    <w:p>
      <w:pPr>
        <w:keepLines w:val="0"/>
        <w:pageBreakBefore w:val="0"/>
        <w:kinsoku/>
        <w:wordWrap/>
        <w:overflowPunct/>
        <w:bidi w:val="0"/>
        <w:spacing w:line="360" w:lineRule="auto"/>
        <w:ind w:firstLine="560" w:firstLineChars="200"/>
        <w:rPr>
          <w:rFonts w:hint="eastAsia" w:ascii="仿宋_GB2312" w:eastAsia="仿宋_GB2312"/>
          <w:sz w:val="28"/>
          <w:szCs w:val="28"/>
        </w:rPr>
      </w:pPr>
      <w:r>
        <w:rPr>
          <w:rFonts w:hint="eastAsia" w:ascii="仿宋_GB2312" w:eastAsia="仿宋_GB2312"/>
          <w:sz w:val="28"/>
          <w:szCs w:val="28"/>
        </w:rPr>
        <w:t>采购人与中标人的保密协议将于合同签署时生效，有效期为本协议签订之日起至本协议终止之日后满五年。</w:t>
      </w:r>
    </w:p>
    <w:p>
      <w:pPr>
        <w:keepLines w:val="0"/>
        <w:pageBreakBefore w:val="0"/>
        <w:kinsoku/>
        <w:wordWrap/>
        <w:overflowPunct/>
        <w:bidi w:val="0"/>
        <w:spacing w:line="360" w:lineRule="auto"/>
        <w:ind w:firstLine="560" w:firstLineChars="200"/>
        <w:rPr>
          <w:rFonts w:hint="eastAsia" w:ascii="仿宋_GB2312" w:eastAsia="仿宋_GB2312"/>
          <w:sz w:val="28"/>
          <w:szCs w:val="28"/>
        </w:rPr>
      </w:pPr>
      <w:r>
        <w:rPr>
          <w:rFonts w:hint="eastAsia" w:ascii="仿宋_GB2312" w:eastAsia="仿宋_GB2312"/>
          <w:sz w:val="28"/>
          <w:szCs w:val="28"/>
        </w:rPr>
        <w:t>中标人驻场人员须遵循采购人的各项规章制度，工作时间不得从事任何与工作无关的事情。未经采购人事先书面同意，中标人不得将由采购人为本合同提供的条文、规格、计划、样品或资料提供给与本合同无关的任何第三方，不得将其用于履行本合同之外的其它用途。即使向与履行本合同有关的人员提供，也应注意保密并限于履行合同所必需的范围。</w:t>
      </w:r>
    </w:p>
    <w:p>
      <w:pPr>
        <w:keepLines w:val="0"/>
        <w:pageBreakBefore w:val="0"/>
        <w:kinsoku/>
        <w:wordWrap/>
        <w:overflowPunct/>
        <w:bidi w:val="0"/>
        <w:spacing w:line="360" w:lineRule="auto"/>
        <w:ind w:firstLine="560" w:firstLineChars="200"/>
        <w:rPr>
          <w:rFonts w:hint="eastAsia" w:ascii="仿宋_GB2312" w:eastAsia="仿宋_GB2312"/>
          <w:sz w:val="28"/>
          <w:szCs w:val="28"/>
        </w:rPr>
      </w:pPr>
      <w:r>
        <w:rPr>
          <w:rFonts w:hint="eastAsia" w:ascii="仿宋_GB2312" w:eastAsia="仿宋_GB2312"/>
          <w:sz w:val="28"/>
          <w:szCs w:val="28"/>
        </w:rPr>
        <w:t>采购人不得将由中标人向采购人提供的产品技术方案、技术指标、计算机软件、数据库、研究开发记录、技术报告、检测报告、实验数据、试验结果、操作手册、技术文档等技术资料，以及采购人所知悉的中标人经营策略、客户名单、采购资料、定价政策、财务资料、进货渠道等商业信息提供给与本合同无关的任何单位或个人。</w:t>
      </w:r>
    </w:p>
    <w:p>
      <w:pPr>
        <w:keepLines w:val="0"/>
        <w:pageBreakBefore w:val="0"/>
        <w:kinsoku/>
        <w:wordWrap/>
        <w:overflowPunct/>
        <w:bidi w:val="0"/>
        <w:spacing w:line="360" w:lineRule="auto"/>
        <w:ind w:firstLine="560" w:firstLineChars="200"/>
        <w:rPr>
          <w:rFonts w:hint="eastAsia" w:ascii="仿宋_GB2312" w:eastAsia="仿宋_GB2312"/>
          <w:sz w:val="28"/>
          <w:szCs w:val="28"/>
        </w:rPr>
      </w:pPr>
      <w:r>
        <w:rPr>
          <w:rFonts w:hint="eastAsia" w:ascii="仿宋_GB2312" w:eastAsia="仿宋_GB2312"/>
          <w:sz w:val="28"/>
          <w:szCs w:val="28"/>
        </w:rPr>
        <w:t>除了合同本身之外，上款所列举的任何物件均是采购人的财产。如果采购人有要求，中标人在完成合同后应将这些物件及全部复制件还给采购人。</w:t>
      </w:r>
    </w:p>
    <w:p>
      <w:pPr>
        <w:keepLines w:val="0"/>
        <w:pageBreakBefore w:val="0"/>
        <w:kinsoku/>
        <w:wordWrap/>
        <w:overflowPunct/>
        <w:bidi w:val="0"/>
        <w:spacing w:line="360" w:lineRule="auto"/>
        <w:ind w:firstLine="560" w:firstLineChars="200"/>
        <w:rPr>
          <w:rFonts w:hint="eastAsia" w:ascii="仿宋_GB2312" w:eastAsia="仿宋_GB2312"/>
          <w:sz w:val="28"/>
          <w:szCs w:val="28"/>
        </w:rPr>
      </w:pPr>
      <w:r>
        <w:rPr>
          <w:rFonts w:hint="eastAsia" w:ascii="仿宋_GB2312" w:eastAsia="仿宋_GB2312"/>
          <w:sz w:val="28"/>
          <w:szCs w:val="28"/>
        </w:rPr>
        <w:t>项目中所涉及的双方的内部资料、数据、业务流程、工作规范和开发过程中产生的文档记录以及其它商业信息，甲、乙双方均有责任承担保密义务。未经对方许可，任何一方不得以任何形式向其他方泄露。</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eastAsia="zh-CN"/>
        </w:rPr>
      </w:pPr>
      <w:r>
        <w:rPr>
          <w:rFonts w:hint="eastAsia" w:ascii="仿宋_GB2312" w:eastAsia="仿宋_GB2312"/>
          <w:sz w:val="28"/>
          <w:szCs w:val="28"/>
        </w:rPr>
        <w:t>中标人保证中标人及其工作人员对在服务过程中所了解、知悉的采购人或相关单位的政府信息不得对外泄露，否则应付全部法律责任。</w:t>
      </w:r>
    </w:p>
    <w:p>
      <w:pPr>
        <w:pStyle w:val="4"/>
        <w:keepNext w:val="0"/>
        <w:keepLines w:val="0"/>
        <w:pageBreakBefore w:val="0"/>
        <w:kinsoku/>
        <w:wordWrap/>
        <w:overflowPunct/>
        <w:bidi w:val="0"/>
        <w:spacing w:before="0" w:after="0" w:line="360" w:lineRule="auto"/>
        <w:ind w:firstLine="562" w:firstLineChars="200"/>
        <w:outlineLvl w:val="1"/>
        <w:rPr>
          <w:rFonts w:ascii="仿宋_GB2312" w:hAnsi="仿宋_GB2312" w:eastAsia="仿宋_GB2312" w:cs="仿宋_GB2312"/>
          <w:sz w:val="28"/>
          <w:szCs w:val="28"/>
        </w:rPr>
      </w:pPr>
      <w:r>
        <w:rPr>
          <w:rFonts w:ascii="仿宋_GB2312" w:hAnsi="仿宋_GB2312" w:eastAsia="仿宋_GB2312" w:cs="仿宋_GB2312"/>
          <w:sz w:val="28"/>
          <w:szCs w:val="28"/>
        </w:rPr>
        <w:t>8.3.2知识产权要求</w:t>
      </w:r>
      <w:bookmarkEnd w:id="44"/>
    </w:p>
    <w:p>
      <w:pPr>
        <w:keepLines w:val="0"/>
        <w:pageBreakBefore w:val="0"/>
        <w:kinsoku/>
        <w:wordWrap/>
        <w:overflowPunct/>
        <w:bidi w:val="0"/>
        <w:spacing w:line="360" w:lineRule="auto"/>
        <w:ind w:firstLine="560" w:firstLineChars="200"/>
        <w:rPr>
          <w:rFonts w:hint="eastAsia" w:ascii="仿宋_GB2312" w:eastAsia="仿宋_GB2312"/>
          <w:sz w:val="28"/>
          <w:szCs w:val="28"/>
        </w:rPr>
      </w:pPr>
      <w:r>
        <w:rPr>
          <w:rFonts w:hint="eastAsia" w:ascii="仿宋_GB2312" w:eastAsia="仿宋_GB2312"/>
          <w:sz w:val="28"/>
          <w:szCs w:val="28"/>
        </w:rPr>
        <w:t>1.中标人在服务过程中产生的所有技术资料、提交件的知识产权归采购人所有。</w:t>
      </w:r>
    </w:p>
    <w:p>
      <w:pPr>
        <w:keepLines w:val="0"/>
        <w:pageBreakBefore w:val="0"/>
        <w:kinsoku/>
        <w:wordWrap/>
        <w:overflowPunct/>
        <w:bidi w:val="0"/>
        <w:spacing w:line="360" w:lineRule="auto"/>
        <w:ind w:firstLine="560" w:firstLineChars="200"/>
        <w:rPr>
          <w:rFonts w:hint="eastAsia" w:ascii="仿宋_GB2312" w:eastAsia="仿宋_GB2312"/>
          <w:sz w:val="28"/>
          <w:szCs w:val="28"/>
        </w:rPr>
      </w:pPr>
      <w:r>
        <w:rPr>
          <w:rFonts w:hint="eastAsia" w:ascii="仿宋_GB2312" w:eastAsia="仿宋_GB2312"/>
          <w:sz w:val="28"/>
          <w:szCs w:val="28"/>
        </w:rPr>
        <w:t>2.中标人交付给采购人的成果不得侵犯第三方的合法权益。如果采购人因使用本项目成果或其中一部分而被第三方起诉侵犯其专利权、商标权或其它知识产权，中标人将依法承担相应的法律责任。</w:t>
      </w:r>
    </w:p>
    <w:p>
      <w:pPr>
        <w:keepLines w:val="0"/>
        <w:pageBreakBefore w:val="0"/>
        <w:kinsoku/>
        <w:wordWrap/>
        <w:overflowPunct/>
        <w:bidi w:val="0"/>
        <w:spacing w:line="360" w:lineRule="auto"/>
        <w:ind w:firstLine="560" w:firstLineChars="200"/>
        <w:rPr>
          <w:rFonts w:hint="eastAsia" w:ascii="仿宋_GB2312" w:eastAsia="仿宋_GB2312"/>
          <w:sz w:val="28"/>
          <w:szCs w:val="28"/>
        </w:rPr>
      </w:pPr>
      <w:r>
        <w:rPr>
          <w:rFonts w:hint="eastAsia" w:ascii="仿宋_GB2312" w:eastAsia="仿宋_GB2312"/>
          <w:sz w:val="28"/>
          <w:szCs w:val="28"/>
        </w:rPr>
        <w:t>3.中标人为执行本合同而提供的与本合同无关的单位或个人的技术资料、软件、工具及中标人已有知识产权产品的使用权归采购人所有。</w:t>
      </w:r>
    </w:p>
    <w:p>
      <w:pPr>
        <w:pStyle w:val="3"/>
        <w:keepNext w:val="0"/>
        <w:keepLines w:val="0"/>
        <w:pageBreakBefore w:val="0"/>
        <w:kinsoku/>
        <w:wordWrap/>
        <w:overflowPunct/>
        <w:bidi w:val="0"/>
        <w:spacing w:before="0" w:after="0" w:line="360" w:lineRule="auto"/>
        <w:ind w:firstLine="562" w:firstLineChars="200"/>
        <w:rPr>
          <w:rFonts w:hint="eastAsia" w:ascii="仿宋_GB2312" w:hAnsi="仿宋_GB2312" w:eastAsia="仿宋_GB2312" w:cs="仿宋_GB2312"/>
          <w:i w:val="0"/>
          <w:iCs w:val="0"/>
          <w:lang w:val="en-US" w:eastAsia="zh-CN"/>
        </w:rPr>
      </w:pPr>
      <w:r>
        <w:rPr>
          <w:rFonts w:hint="eastAsia" w:ascii="仿宋_GB2312" w:hAnsi="仿宋_GB2312" w:eastAsia="仿宋_GB2312" w:cs="仿宋_GB2312"/>
          <w:i w:val="0"/>
          <w:iCs w:val="0"/>
          <w:lang w:val="en-US" w:eastAsia="zh-CN"/>
        </w:rPr>
        <w:t>8.3</w:t>
      </w:r>
      <w:r>
        <w:rPr>
          <w:rFonts w:ascii="仿宋_GB2312" w:hAnsi="仿宋_GB2312" w:eastAsia="仿宋_GB2312" w:cs="仿宋_GB2312"/>
          <w:i w:val="0"/>
          <w:iCs w:val="0"/>
        </w:rPr>
        <w:t>.</w:t>
      </w:r>
      <w:r>
        <w:rPr>
          <w:rFonts w:hint="eastAsia" w:ascii="仿宋_GB2312" w:hAnsi="仿宋_GB2312" w:eastAsia="仿宋_GB2312" w:cs="仿宋_GB2312"/>
          <w:i w:val="0"/>
          <w:iCs w:val="0"/>
          <w:lang w:val="en-US" w:eastAsia="zh-CN"/>
        </w:rPr>
        <w:t>3采购方式</w:t>
      </w:r>
    </w:p>
    <w:p>
      <w:pPr>
        <w:keepLines w:val="0"/>
        <w:pageBreakBefore w:val="0"/>
        <w:kinsoku/>
        <w:wordWrap/>
        <w:overflowPunct/>
        <w:bidi w:val="0"/>
        <w:spacing w:before="0" w:after="0" w:line="360" w:lineRule="auto"/>
        <w:ind w:firstLine="561"/>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eastAsia="zh-CN"/>
        </w:rPr>
        <w:t>公开招标。</w:t>
      </w:r>
    </w:p>
    <w:p>
      <w:pPr>
        <w:pStyle w:val="3"/>
        <w:keepNext w:val="0"/>
        <w:keepLines w:val="0"/>
        <w:pageBreakBefore w:val="0"/>
        <w:kinsoku/>
        <w:wordWrap/>
        <w:overflowPunct/>
        <w:bidi w:val="0"/>
        <w:spacing w:before="0" w:after="0" w:line="360" w:lineRule="auto"/>
        <w:ind w:left="480" w:leftChars="200" w:firstLine="81" w:firstLineChars="29"/>
        <w:rPr>
          <w:rFonts w:hint="eastAsia" w:ascii="仿宋_GB2312" w:hAnsi="仿宋_GB2312" w:eastAsia="仿宋_GB2312" w:cs="仿宋_GB2312"/>
          <w:i w:val="0"/>
          <w:iCs w:val="0"/>
          <w:lang w:val="en-US" w:eastAsia="zh-CN"/>
        </w:rPr>
      </w:pPr>
      <w:r>
        <w:rPr>
          <w:rFonts w:hint="eastAsia" w:ascii="仿宋_GB2312" w:hAnsi="仿宋_GB2312" w:eastAsia="仿宋_GB2312" w:cs="仿宋_GB2312"/>
          <w:i w:val="0"/>
          <w:iCs w:val="0"/>
          <w:lang w:val="en-US" w:eastAsia="zh-CN"/>
        </w:rPr>
        <w:t>8</w:t>
      </w:r>
      <w:r>
        <w:rPr>
          <w:rFonts w:ascii="仿宋_GB2312" w:hAnsi="仿宋_GB2312" w:eastAsia="仿宋_GB2312" w:cs="仿宋_GB2312"/>
          <w:i w:val="0"/>
          <w:iCs w:val="0"/>
        </w:rPr>
        <w:t>.</w:t>
      </w:r>
      <w:r>
        <w:rPr>
          <w:rFonts w:hint="eastAsia" w:ascii="仿宋_GB2312" w:hAnsi="仿宋_GB2312" w:eastAsia="仿宋_GB2312" w:cs="仿宋_GB2312"/>
          <w:i w:val="0"/>
          <w:iCs w:val="0"/>
          <w:lang w:val="en-US" w:eastAsia="zh-CN"/>
        </w:rPr>
        <w:t>3.4采购预算</w:t>
      </w:r>
    </w:p>
    <w:p>
      <w:pPr>
        <w:keepLines w:val="0"/>
        <w:pageBreakBefore w:val="0"/>
        <w:kinsoku/>
        <w:wordWrap/>
        <w:overflowPunct/>
        <w:bidi w:val="0"/>
        <w:spacing w:line="360" w:lineRule="auto"/>
        <w:ind w:firstLine="560" w:firstLineChars="200"/>
        <w:rPr>
          <w:rFonts w:hint="eastAsia"/>
          <w:lang w:val="en-US" w:eastAsia="zh-CN"/>
        </w:rPr>
      </w:pPr>
      <w:r>
        <w:rPr>
          <w:rFonts w:hint="eastAsia" w:ascii="仿宋_GB2312" w:hAnsi="仿宋_GB2312" w:eastAsia="仿宋_GB2312" w:cs="仿宋_GB2312"/>
          <w:sz w:val="28"/>
          <w:szCs w:val="28"/>
          <w:lang w:eastAsia="zh-CN"/>
        </w:rPr>
        <w:t>本项目预算金额</w:t>
      </w:r>
      <w:r>
        <w:rPr>
          <w:rFonts w:hint="eastAsia" w:ascii="仿宋_GB2312" w:hAnsi="仿宋_GB2312" w:eastAsia="仿宋_GB2312" w:cs="仿宋_GB2312"/>
          <w:sz w:val="28"/>
          <w:szCs w:val="28"/>
          <w:lang w:val="en-US" w:eastAsia="zh-CN"/>
        </w:rPr>
        <w:t>407.12万元。</w:t>
      </w:r>
    </w:p>
    <w:p>
      <w:pPr>
        <w:pStyle w:val="3"/>
        <w:keepNext w:val="0"/>
        <w:keepLines w:val="0"/>
        <w:pageBreakBefore w:val="0"/>
        <w:kinsoku/>
        <w:wordWrap/>
        <w:overflowPunct/>
        <w:bidi w:val="0"/>
        <w:spacing w:before="0" w:after="0" w:line="360" w:lineRule="auto"/>
        <w:ind w:left="480" w:leftChars="200" w:firstLine="81" w:firstLineChars="29"/>
        <w:rPr>
          <w:rFonts w:hint="default" w:ascii="仿宋_GB2312" w:hAnsi="仿宋_GB2312" w:eastAsia="仿宋_GB2312" w:cs="仿宋_GB2312"/>
          <w:i w:val="0"/>
          <w:iCs w:val="0"/>
          <w:lang w:val="en" w:eastAsia="zh-CN"/>
        </w:rPr>
      </w:pPr>
      <w:r>
        <w:rPr>
          <w:rFonts w:hint="eastAsia" w:ascii="仿宋_GB2312" w:hAnsi="仿宋_GB2312" w:eastAsia="仿宋_GB2312" w:cs="仿宋_GB2312"/>
          <w:i w:val="0"/>
          <w:iCs w:val="0"/>
          <w:lang w:val="en-US" w:eastAsia="zh-CN"/>
        </w:rPr>
        <w:t>8</w:t>
      </w:r>
      <w:r>
        <w:rPr>
          <w:rFonts w:ascii="仿宋_GB2312" w:hAnsi="仿宋_GB2312" w:eastAsia="仿宋_GB2312" w:cs="仿宋_GB2312"/>
          <w:i w:val="0"/>
          <w:iCs w:val="0"/>
        </w:rPr>
        <w:t>.</w:t>
      </w:r>
      <w:r>
        <w:rPr>
          <w:rFonts w:hint="eastAsia" w:ascii="仿宋_GB2312" w:hAnsi="仿宋_GB2312" w:eastAsia="仿宋_GB2312" w:cs="仿宋_GB2312"/>
          <w:i w:val="0"/>
          <w:iCs w:val="0"/>
          <w:lang w:val="en-US" w:eastAsia="zh-CN"/>
        </w:rPr>
        <w:t>3.</w:t>
      </w:r>
      <w:r>
        <w:rPr>
          <w:rFonts w:hint="default" w:ascii="仿宋_GB2312" w:hAnsi="仿宋_GB2312" w:eastAsia="仿宋_GB2312" w:cs="仿宋_GB2312"/>
          <w:i w:val="0"/>
          <w:iCs w:val="0"/>
          <w:lang w:val="en" w:eastAsia="zh-CN"/>
        </w:rPr>
        <w:t>5其他要求</w:t>
      </w:r>
    </w:p>
    <w:p>
      <w:pPr>
        <w:autoSpaceDE w:val="0"/>
        <w:autoSpaceDN w:val="0"/>
        <w:spacing w:line="360" w:lineRule="auto"/>
        <w:ind w:firstLine="480" w:firstLineChars="200"/>
        <w:rPr>
          <w:rFonts w:ascii="宋体" w:hAnsi="宋体" w:cs="宋体"/>
          <w:b/>
          <w:szCs w:val="21"/>
          <w:lang w:val="en-GB"/>
        </w:rPr>
      </w:pPr>
      <w:bookmarkStart w:id="45" w:name="_Toc63083507"/>
      <w:bookmarkStart w:id="46" w:name="_Toc64903091"/>
      <w:bookmarkStart w:id="47" w:name="_Toc30519559"/>
      <w:r>
        <w:rPr>
          <w:rFonts w:hint="eastAsia" w:ascii="宋体" w:hAnsi="宋体" w:cs="宋体"/>
          <w:b/>
          <w:szCs w:val="21"/>
          <w:lang w:val="en-GB"/>
        </w:rPr>
        <w:t>★投标人不得以任何不正当行为谋取不当利益，包括但不限于“围猎”采购人税务人员行为（以获取不正当利益为目的，采取馈赠礼品礼金、邀请娱乐旅游消费、提供便利条件等非正常交往手段“围猎”相关税务人员及其亲属），否则将承担相应的法律责任，并接受采购人相关处罚</w:t>
      </w:r>
      <w:r>
        <w:rPr>
          <w:rFonts w:hint="eastAsia" w:ascii="宋体" w:hAnsi="宋体" w:cs="宋体"/>
          <w:b/>
          <w:szCs w:val="21"/>
        </w:rPr>
        <w:t>（投标时提交承诺，承诺可参照“投标文件格式”中《承诺函》格式）</w:t>
      </w:r>
      <w:r>
        <w:rPr>
          <w:rFonts w:hint="eastAsia" w:ascii="宋体" w:hAnsi="宋体" w:cs="宋体"/>
          <w:b/>
          <w:szCs w:val="21"/>
          <w:lang w:val="en-GB"/>
        </w:rPr>
        <w:t>。</w:t>
      </w:r>
      <w:bookmarkEnd w:id="45"/>
      <w:bookmarkEnd w:id="46"/>
      <w:bookmarkEnd w:id="47"/>
    </w:p>
    <w:p>
      <w:pPr>
        <w:autoSpaceDE w:val="0"/>
        <w:autoSpaceDN w:val="0"/>
        <w:spacing w:line="360" w:lineRule="auto"/>
        <w:ind w:firstLine="480" w:firstLineChars="200"/>
        <w:rPr>
          <w:rFonts w:ascii="宋体" w:hAnsi="宋体" w:cs="宋体"/>
          <w:b/>
          <w:szCs w:val="21"/>
          <w:lang w:val="en-GB"/>
        </w:rPr>
      </w:pPr>
      <w:r>
        <w:rPr>
          <w:rFonts w:hint="eastAsia" w:ascii="宋体" w:hAnsi="宋体" w:cs="宋体"/>
          <w:b/>
          <w:szCs w:val="21"/>
          <w:lang w:val="en-GB"/>
        </w:rPr>
        <w:t>★本项目不允许分包，如供应商在投标</w:t>
      </w:r>
      <w:r>
        <w:rPr>
          <w:rFonts w:ascii="宋体" w:hAnsi="宋体" w:cs="宋体"/>
          <w:b/>
          <w:szCs w:val="21"/>
          <w:lang w:val="en-GB"/>
        </w:rPr>
        <w:t>/响应文件中未出现《分包协议意向书》，则视为未采取分包。</w:t>
      </w:r>
    </w:p>
    <w:p>
      <w:pPr>
        <w:autoSpaceDE w:val="0"/>
        <w:autoSpaceDN w:val="0"/>
        <w:spacing w:line="360" w:lineRule="auto"/>
        <w:ind w:firstLine="480" w:firstLineChars="200"/>
        <w:rPr>
          <w:rFonts w:ascii="宋体" w:hAnsi="宋体" w:cs="宋体"/>
          <w:b/>
          <w:szCs w:val="21"/>
        </w:rPr>
      </w:pPr>
      <w:r>
        <w:rPr>
          <w:rFonts w:hint="eastAsia" w:ascii="宋体" w:hAnsi="宋体" w:cs="宋体"/>
          <w:b/>
          <w:szCs w:val="21"/>
        </w:rPr>
        <w:t>★投标人必须承诺投标文件中所响应提供的资料属于真实有效的，有异议时，中标人必须在采购人提出后5个工作日内提供相关资料原件复核。如不能在规定时间内提供原件复核的，将上报有关监管部门（投标时提交承诺，承诺可参照“投标文件格式”中《承诺函》格式）。</w:t>
      </w:r>
    </w:p>
    <w:p>
      <w:pPr>
        <w:widowControl/>
        <w:autoSpaceDE w:val="0"/>
        <w:autoSpaceDN w:val="0"/>
        <w:spacing w:line="360" w:lineRule="auto"/>
        <w:ind w:firstLine="480" w:firstLineChars="200"/>
        <w:rPr>
          <w:rFonts w:ascii="宋体" w:hAnsi="宋体" w:cs="宋体"/>
          <w:b/>
          <w:szCs w:val="21"/>
        </w:rPr>
      </w:pPr>
      <w:r>
        <w:rPr>
          <w:rFonts w:hint="eastAsia" w:ascii="宋体" w:hAnsi="宋体" w:cs="宋体"/>
          <w:b/>
          <w:szCs w:val="21"/>
        </w:rPr>
        <w:t>★投标人承诺所投入人员为投标人的正式员工或签合同满一年的人员（投标时提供承诺函，可参照“投标文件格式”中《承诺函》格式）。</w:t>
      </w:r>
    </w:p>
    <w:p>
      <w:pPr>
        <w:autoSpaceDE w:val="0"/>
        <w:autoSpaceDN w:val="0"/>
        <w:spacing w:line="360" w:lineRule="auto"/>
        <w:ind w:firstLine="480" w:firstLineChars="200"/>
        <w:rPr>
          <w:rFonts w:ascii="宋体" w:hAnsi="宋体" w:cs="宋体"/>
          <w:b/>
          <w:szCs w:val="21"/>
        </w:rPr>
      </w:pPr>
      <w:r>
        <w:rPr>
          <w:rFonts w:hint="eastAsia" w:ascii="宋体" w:hAnsi="宋体" w:cs="宋体"/>
          <w:b/>
          <w:szCs w:val="21"/>
        </w:rPr>
        <w:t>★供应商须保证，如中标（成交），投标（响应）文件所提供的材料，如果有效期（包括需要年审、继续教育等完成后才能执业的行政许可、人员证书等情形）未能覆盖项目（包组）合同履行期的，将提前按规定办理延期手续，确保合同顺利履行（投标时提供承诺函，可参照“投标文件格式”中《承诺函》格式）。</w:t>
      </w:r>
    </w:p>
    <w:p>
      <w:pPr>
        <w:autoSpaceDE w:val="0"/>
        <w:autoSpaceDN w:val="0"/>
        <w:spacing w:line="360" w:lineRule="auto"/>
        <w:ind w:firstLine="480" w:firstLineChars="200"/>
        <w:rPr>
          <w:rFonts w:hint="eastAsia" w:eastAsia="仿宋_GB2312"/>
          <w:lang w:val="en-US" w:eastAsia="zh-CN"/>
        </w:rPr>
      </w:pPr>
      <w:r>
        <w:rPr>
          <w:rFonts w:hint="eastAsia" w:ascii="宋体" w:hAnsi="宋体" w:cs="宋体"/>
          <w:b/>
          <w:szCs w:val="21"/>
        </w:rPr>
        <w:t>★供应商须承诺所投设备均符合国家强制性要求（投标时提供承诺函，可参照“投标文件格式”中《承诺函》格式）。</w:t>
      </w:r>
    </w:p>
    <w:sectPr>
      <w:footerReference r:id="rId3" w:type="default"/>
      <w:pgSz w:w="12240" w:h="15840"/>
      <w:pgMar w:top="1440" w:right="1440" w:bottom="1440"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FangSong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Math">
    <w:altName w:val="DejaVu Math TeX Gyre"/>
    <w:panose1 w:val="02040503050406030204"/>
    <w:charset w:val="00"/>
    <w:family w:val="roman"/>
    <w:pitch w:val="default"/>
    <w:sig w:usb0="00000000" w:usb1="00000000" w:usb2="02000000" w:usb3="00000000" w:csb0="0000019F" w:csb1="00000000"/>
  </w:font>
  <w:font w:name="Nimbus Roman No9 L">
    <w:panose1 w:val="00000000000000000000"/>
    <w:charset w:val="00"/>
    <w:family w:val="auto"/>
    <w:pitch w:val="default"/>
    <w:sig w:usb0="00000000" w:usb1="00000000" w:usb2="00000000" w:usb3="00000000" w:csb0="00000000" w:csb1="00000000"/>
  </w:font>
  <w:font w:name="Microsoft YaHei">
    <w:altName w:val="黑体"/>
    <w:panose1 w:val="00000000000000000000"/>
    <w:charset w:val="00"/>
    <w:family w:val="auto"/>
    <w:pitch w:val="default"/>
    <w:sig w:usb0="00000000" w:usb1="00000000" w:usb2="00000000" w:usb3="00000000" w:csb0="00000000" w:csb1="00000000"/>
  </w:font>
  <w:font w:name="Tahoma">
    <w:altName w:val="Droid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360" w:lineRule="auto"/>
      <w:jc w:val="center"/>
    </w:pPr>
    <w:r>
      <w:fldChar w:fldCharType="begin"/>
    </w:r>
    <w:r>
      <w:instrText xml:space="preserve"> PAGE </w:instrText>
    </w:r>
    <w:r>
      <w:fldChar w:fldCharType="separate"/>
    </w:r>
    <w:r>
      <w:t>8</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720"/>
  <w:noPunctuationKerning w:val="true"/>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B3E"/>
    <w:rsid w:val="00A77B3E"/>
    <w:rsid w:val="00CA2A55"/>
    <w:rsid w:val="016F7C30"/>
    <w:rsid w:val="02C0689E"/>
    <w:rsid w:val="098A2722"/>
    <w:rsid w:val="0C6958B5"/>
    <w:rsid w:val="0DB92BF5"/>
    <w:rsid w:val="0DD64E90"/>
    <w:rsid w:val="0DF178B3"/>
    <w:rsid w:val="0EFF159F"/>
    <w:rsid w:val="10622110"/>
    <w:rsid w:val="1182427F"/>
    <w:rsid w:val="13333B9A"/>
    <w:rsid w:val="13B46497"/>
    <w:rsid w:val="1455068B"/>
    <w:rsid w:val="14CF31CC"/>
    <w:rsid w:val="14F1315A"/>
    <w:rsid w:val="16892467"/>
    <w:rsid w:val="1B26402F"/>
    <w:rsid w:val="1EFF1EC6"/>
    <w:rsid w:val="1F703D46"/>
    <w:rsid w:val="285840CA"/>
    <w:rsid w:val="2A7D6AD3"/>
    <w:rsid w:val="2D1D6E9C"/>
    <w:rsid w:val="2D4B079B"/>
    <w:rsid w:val="314C17B7"/>
    <w:rsid w:val="31A11882"/>
    <w:rsid w:val="3471090E"/>
    <w:rsid w:val="359F673B"/>
    <w:rsid w:val="399D656A"/>
    <w:rsid w:val="3AF13473"/>
    <w:rsid w:val="3B0B572B"/>
    <w:rsid w:val="3B7F247D"/>
    <w:rsid w:val="3C290A26"/>
    <w:rsid w:val="3F7D2D07"/>
    <w:rsid w:val="40423894"/>
    <w:rsid w:val="41AE28F7"/>
    <w:rsid w:val="42326FF6"/>
    <w:rsid w:val="45710E5F"/>
    <w:rsid w:val="47D0348B"/>
    <w:rsid w:val="48E61B4A"/>
    <w:rsid w:val="49C93194"/>
    <w:rsid w:val="4D9D5628"/>
    <w:rsid w:val="4DD13986"/>
    <w:rsid w:val="4DD41A04"/>
    <w:rsid w:val="4EC645BD"/>
    <w:rsid w:val="545659A8"/>
    <w:rsid w:val="570F5221"/>
    <w:rsid w:val="5C184F0D"/>
    <w:rsid w:val="5C301284"/>
    <w:rsid w:val="5F472F32"/>
    <w:rsid w:val="60F603E9"/>
    <w:rsid w:val="60FC1771"/>
    <w:rsid w:val="61E63CB5"/>
    <w:rsid w:val="63932A66"/>
    <w:rsid w:val="64DA7C16"/>
    <w:rsid w:val="65150673"/>
    <w:rsid w:val="66CD60E3"/>
    <w:rsid w:val="68F50982"/>
    <w:rsid w:val="6B214C06"/>
    <w:rsid w:val="6D042009"/>
    <w:rsid w:val="6F730C92"/>
    <w:rsid w:val="71F26CB4"/>
    <w:rsid w:val="729D5C60"/>
    <w:rsid w:val="766FC505"/>
    <w:rsid w:val="775775E4"/>
    <w:rsid w:val="77F43213"/>
    <w:rsid w:val="782E5F1A"/>
    <w:rsid w:val="794165B1"/>
    <w:rsid w:val="7C0C0BF8"/>
    <w:rsid w:val="7E037D5F"/>
    <w:rsid w:val="7E256103"/>
    <w:rsid w:val="9E5FE4C1"/>
    <w:rsid w:val="B87BBE89"/>
    <w:rsid w:val="BDFAEC7B"/>
    <w:rsid w:val="BEF30FB8"/>
    <w:rsid w:val="D7E6209F"/>
    <w:rsid w:val="EBFDBB3D"/>
    <w:rsid w:val="FB7561FC"/>
    <w:rsid w:val="FE3B3B39"/>
    <w:rsid w:val="FF782479"/>
    <w:rsid w:val="FFB92B91"/>
    <w:rsid w:val="FFFF8BA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qFormat="1" w:unhideWhenUsed="0"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US" w:bidi="ar-SA"/>
    </w:rPr>
  </w:style>
  <w:style w:type="paragraph" w:styleId="2">
    <w:name w:val="heading 1"/>
    <w:basedOn w:val="1"/>
    <w:next w:val="1"/>
    <w:qFormat/>
    <w:uiPriority w:val="0"/>
    <w:pPr>
      <w:keepNext/>
      <w:spacing w:before="240" w:after="60"/>
      <w:outlineLvl w:val="0"/>
    </w:pPr>
    <w:rPr>
      <w:rFonts w:ascii="Arial" w:hAnsi="Arial" w:cs="Arial"/>
      <w:b/>
      <w:bCs/>
      <w:kern w:val="32"/>
      <w:sz w:val="32"/>
      <w:szCs w:val="32"/>
    </w:rPr>
  </w:style>
  <w:style w:type="paragraph" w:styleId="3">
    <w:name w:val="heading 2"/>
    <w:basedOn w:val="1"/>
    <w:next w:val="1"/>
    <w:qFormat/>
    <w:uiPriority w:val="0"/>
    <w:pPr>
      <w:keepNext/>
      <w:spacing w:before="240" w:after="60"/>
      <w:outlineLvl w:val="1"/>
    </w:pPr>
    <w:rPr>
      <w:rFonts w:ascii="Arial" w:hAnsi="Arial" w:cs="Arial"/>
      <w:b/>
      <w:bCs/>
      <w:i/>
      <w:iCs/>
      <w:sz w:val="28"/>
      <w:szCs w:val="28"/>
    </w:rPr>
  </w:style>
  <w:style w:type="paragraph" w:styleId="4">
    <w:name w:val="heading 3"/>
    <w:basedOn w:val="1"/>
    <w:next w:val="1"/>
    <w:qFormat/>
    <w:uiPriority w:val="0"/>
    <w:pPr>
      <w:keepNext/>
      <w:spacing w:before="240" w:after="60"/>
      <w:outlineLvl w:val="2"/>
    </w:pPr>
    <w:rPr>
      <w:rFonts w:ascii="Arial" w:hAnsi="Arial" w:cs="Arial"/>
      <w:b/>
      <w:bCs/>
      <w:sz w:val="26"/>
      <w:szCs w:val="26"/>
    </w:rPr>
  </w:style>
  <w:style w:type="paragraph" w:styleId="5">
    <w:name w:val="heading 4"/>
    <w:basedOn w:val="1"/>
    <w:next w:val="1"/>
    <w:qFormat/>
    <w:uiPriority w:val="0"/>
    <w:pPr>
      <w:keepNext/>
      <w:spacing w:before="240" w:after="60"/>
      <w:outlineLvl w:val="3"/>
    </w:pPr>
    <w:rPr>
      <w:b/>
      <w:bCs/>
      <w:sz w:val="28"/>
      <w:szCs w:val="28"/>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6">
    <w:name w:val="Body Text"/>
    <w:basedOn w:val="1"/>
    <w:next w:val="7"/>
    <w:unhideWhenUsed/>
    <w:qFormat/>
    <w:uiPriority w:val="99"/>
    <w:pPr>
      <w:spacing w:after="120"/>
    </w:pPr>
  </w:style>
  <w:style w:type="paragraph" w:styleId="7">
    <w:name w:val="Body Text 2"/>
    <w:basedOn w:val="1"/>
    <w:unhideWhenUsed/>
    <w:qFormat/>
    <w:uiPriority w:val="99"/>
    <w:pPr>
      <w:spacing w:after="120" w:line="480" w:lineRule="auto"/>
    </w:pPr>
  </w:style>
  <w:style w:type="paragraph" w:styleId="8">
    <w:name w:val="toc 5"/>
    <w:basedOn w:val="1"/>
    <w:next w:val="1"/>
    <w:qFormat/>
    <w:uiPriority w:val="39"/>
    <w:pPr>
      <w:ind w:left="1680" w:leftChars="800"/>
    </w:pPr>
    <w:rPr>
      <w:rFonts w:ascii="Calibri" w:hAnsi="Calibri"/>
      <w:szCs w:val="22"/>
    </w:rPr>
  </w:style>
  <w:style w:type="paragraph" w:styleId="9">
    <w:name w:val="toc 3"/>
    <w:basedOn w:val="1"/>
    <w:next w:val="1"/>
    <w:qFormat/>
    <w:uiPriority w:val="0"/>
    <w:pPr>
      <w:ind w:left="480"/>
    </w:pPr>
  </w:style>
  <w:style w:type="paragraph" w:styleId="10">
    <w:name w:val="Plain Text"/>
    <w:basedOn w:val="1"/>
    <w:next w:val="1"/>
    <w:qFormat/>
    <w:uiPriority w:val="99"/>
    <w:rPr>
      <w:rFonts w:ascii="宋体" w:hAnsi="Courier New" w:cs="Courier New"/>
      <w:szCs w:val="21"/>
    </w:rPr>
  </w:style>
  <w:style w:type="paragraph" w:styleId="11">
    <w:name w:val="toc 1"/>
    <w:basedOn w:val="1"/>
    <w:next w:val="1"/>
    <w:qFormat/>
    <w:uiPriority w:val="0"/>
  </w:style>
  <w:style w:type="paragraph" w:styleId="12">
    <w:name w:val="toc 2"/>
    <w:basedOn w:val="1"/>
    <w:next w:val="1"/>
    <w:qFormat/>
    <w:uiPriority w:val="0"/>
    <w:pPr>
      <w:ind w:left="240"/>
    </w:pPr>
  </w:style>
  <w:style w:type="character" w:styleId="15">
    <w:name w:val="Hyperlink"/>
    <w:basedOn w:val="14"/>
    <w:qFormat/>
    <w:uiPriority w:val="0"/>
    <w:rPr>
      <w:color w:val="0000FF"/>
      <w:u w:val="single"/>
    </w:rPr>
  </w:style>
  <w:style w:type="paragraph" w:customStyle="1" w:styleId="16">
    <w:name w:val="正常"/>
    <w:basedOn w:val="17"/>
    <w:qFormat/>
    <w:uiPriority w:val="0"/>
    <w:rPr>
      <w:sz w:val="24"/>
    </w:rPr>
  </w:style>
  <w:style w:type="paragraph" w:customStyle="1" w:styleId="17">
    <w:name w:val="小正常"/>
    <w:basedOn w:val="1"/>
    <w:qFormat/>
    <w:uiPriority w:val="0"/>
    <w:rPr>
      <w:rFonts w:cs="Times New Roman"/>
      <w:sz w:val="20"/>
      <w:szCs w:val="20"/>
    </w:rPr>
  </w:style>
  <w:style w:type="character" w:customStyle="1" w:styleId="18">
    <w:name w:val="font21"/>
    <w:basedOn w:val="14"/>
    <w:qFormat/>
    <w:uiPriority w:val="0"/>
    <w:rPr>
      <w:rFonts w:hint="default" w:ascii="仿宋_GB2312" w:eastAsia="仿宋_GB2312" w:cs="仿宋_GB2312"/>
      <w:color w:val="000000"/>
      <w:sz w:val="21"/>
      <w:szCs w:val="21"/>
      <w:u w:val="none"/>
    </w:rPr>
  </w:style>
  <w:style w:type="character" w:customStyle="1" w:styleId="19">
    <w:name w:val="font41"/>
    <w:basedOn w:val="14"/>
    <w:qFormat/>
    <w:uiPriority w:val="0"/>
    <w:rPr>
      <w:rFonts w:hint="default" w:ascii="Times New Roman" w:hAnsi="Times New Roman" w:cs="Times New Roman"/>
      <w:color w:val="000000"/>
      <w:sz w:val="21"/>
      <w:szCs w:val="21"/>
      <w:u w:val="none"/>
    </w:rPr>
  </w:style>
  <w:style w:type="paragraph" w:customStyle="1" w:styleId="20">
    <w:name w:val="Normal_0"/>
    <w:next w:val="21"/>
    <w:qFormat/>
    <w:uiPriority w:val="0"/>
    <w:pPr>
      <w:overflowPunct w:val="0"/>
      <w:autoSpaceDE w:val="0"/>
      <w:autoSpaceDN w:val="0"/>
      <w:adjustRightInd w:val="0"/>
      <w:spacing w:after="160" w:line="259" w:lineRule="auto"/>
      <w:jc w:val="both"/>
      <w:textAlignment w:val="baseline"/>
    </w:pPr>
    <w:rPr>
      <w:rFonts w:ascii="Times New Roman" w:hAnsi="Times New Roman" w:eastAsia="宋体" w:cs="Times New Roman"/>
      <w:sz w:val="21"/>
      <w:lang w:val="en-US" w:eastAsia="zh-CN" w:bidi="ar-SA"/>
    </w:rPr>
  </w:style>
  <w:style w:type="paragraph" w:customStyle="1" w:styleId="21">
    <w:name w:val="Body Text_0"/>
    <w:basedOn w:val="1"/>
    <w:next w:val="20"/>
    <w:qFormat/>
    <w:uiPriority w:val="0"/>
    <w:pPr>
      <w:widowControl/>
      <w:overflowPunct w:val="0"/>
      <w:autoSpaceDE w:val="0"/>
      <w:autoSpaceDN w:val="0"/>
      <w:adjustRightInd w:val="0"/>
      <w:spacing w:after="120"/>
      <w:textAlignment w:val="baseline"/>
    </w:pPr>
    <w:rPr>
      <w:kern w:val="0"/>
      <w:sz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8</Pages>
  <Words>0</Words>
  <Characters>0</Characters>
  <Lines>1</Lines>
  <Paragraphs>1</Paragraphs>
  <TotalTime>3</TotalTime>
  <ScaleCrop>false</ScaleCrop>
  <LinksUpToDate>false</LinksUpToDate>
  <CharactersWithSpaces>0</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2024-10-24T03:09:00Z</dcterms:created>
  <dc:creator>刘小波</dc:creator>
  <cp:lastModifiedBy>xiaoshan</cp:lastModifiedBy>
  <dcterms:modified xsi:type="dcterms:W3CDTF">2025-02-24T16:15:32Z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ies>
</file>