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Pr>
        <w:ind w:firstLine="972"/>
        <w:rPr>
          <w:rFonts w:ascii="方正小标宋简体" w:hAnsi="方正小标宋简体" w:eastAsia="方正小标宋简体" w:cs="方正小标宋简体"/>
          <w:sz w:val="44"/>
          <w:szCs w:val="44"/>
        </w:rPr>
      </w:pPr>
    </w:p>
    <w:p>
      <w:pPr>
        <w:spacing w:line="360" w:lineRule="auto"/>
        <w:ind w:firstLine="0" w:firstLineChars="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广东省税务局202</w:t>
      </w:r>
      <w:r>
        <w:rPr>
          <w:rFonts w:hint="eastAsia" w:ascii="方正小标宋简体" w:hAnsi="方正小标宋简体" w:eastAsia="方正小标宋简体" w:cs="方正小标宋简体"/>
          <w:sz w:val="44"/>
          <w:szCs w:val="44"/>
          <w:lang w:val="en-US" w:eastAsia="zh-CN"/>
        </w:rPr>
        <w:t>4</w:t>
      </w:r>
      <w:r>
        <w:rPr>
          <w:rFonts w:hint="eastAsia" w:ascii="方正小标宋简体" w:hAnsi="方正小标宋简体" w:eastAsia="方正小标宋简体" w:cs="方正小标宋简体"/>
          <w:sz w:val="44"/>
          <w:szCs w:val="44"/>
        </w:rPr>
        <w:t>年高端存储扩容</w:t>
      </w:r>
    </w:p>
    <w:p>
      <w:pPr>
        <w:spacing w:line="360" w:lineRule="auto"/>
        <w:ind w:firstLine="0" w:firstLineChars="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项目采购需求</w:t>
      </w:r>
    </w:p>
    <w:p/>
    <w:p/>
    <w:p/>
    <w:p/>
    <w:p/>
    <w:p/>
    <w:p/>
    <w:p/>
    <w:p/>
    <w:p>
      <w:pPr>
        <w:spacing w:line="360" w:lineRule="auto"/>
        <w:ind w:firstLine="0" w:firstLineChars="0"/>
        <w:jc w:val="center"/>
        <w:rPr>
          <w:rFonts w:ascii="黑体" w:hAnsi="黑体" w:eastAsia="黑体"/>
        </w:rPr>
      </w:pPr>
      <w:r>
        <w:rPr>
          <w:rFonts w:hint="eastAsia" w:ascii="黑体" w:hAnsi="黑体" w:eastAsia="黑体"/>
        </w:rPr>
        <w:t>国家税务总局广东省税务局</w:t>
      </w:r>
    </w:p>
    <w:p>
      <w:pPr>
        <w:spacing w:line="360" w:lineRule="auto"/>
        <w:ind w:firstLine="0" w:firstLineChars="0"/>
        <w:jc w:val="center"/>
        <w:rPr>
          <w:rFonts w:ascii="黑体" w:hAnsi="黑体" w:eastAsia="黑体"/>
        </w:rPr>
      </w:pPr>
      <w:r>
        <w:rPr>
          <w:rFonts w:hint="eastAsia" w:ascii="黑体" w:hAnsi="黑体" w:eastAsia="黑体"/>
        </w:rPr>
        <w:t>202</w:t>
      </w:r>
      <w:r>
        <w:rPr>
          <w:rFonts w:hint="eastAsia" w:ascii="黑体" w:hAnsi="黑体" w:eastAsia="黑体"/>
          <w:lang w:val="en-US" w:eastAsia="zh-CN"/>
        </w:rPr>
        <w:t>5</w:t>
      </w:r>
      <w:r>
        <w:rPr>
          <w:rFonts w:hint="eastAsia" w:ascii="黑体" w:hAnsi="黑体" w:eastAsia="黑体"/>
        </w:rPr>
        <w:t>年</w:t>
      </w:r>
      <w:r>
        <w:rPr>
          <w:rFonts w:hint="eastAsia" w:ascii="黑体" w:hAnsi="黑体" w:eastAsia="黑体"/>
          <w:lang w:val="en-US" w:eastAsia="zh-CN"/>
        </w:rPr>
        <w:t>2</w:t>
      </w:r>
      <w:r>
        <w:rPr>
          <w:rFonts w:hint="eastAsia" w:ascii="黑体" w:hAnsi="黑体" w:eastAsia="黑体"/>
        </w:rPr>
        <w:t>月</w:t>
      </w:r>
    </w:p>
    <w:p/>
    <w:p/>
    <w:p/>
    <w:p/>
    <w:p/>
    <w:p>
      <w:pPr>
        <w:ind w:firstLine="0" w:firstLineChars="0"/>
      </w:pPr>
    </w:p>
    <w:p>
      <w:pPr>
        <w:ind w:firstLine="0" w:firstLineChars="0"/>
        <w:jc w:val="center"/>
        <w:outlineLvl w:val="0"/>
        <w:rPr>
          <w:rFonts w:ascii="黑体" w:hAnsi="黑体" w:eastAsia="黑体" w:cs="黑体"/>
          <w:bCs/>
        </w:rPr>
      </w:pPr>
      <w:bookmarkStart w:id="0" w:name="_Toc13164"/>
      <w:r>
        <w:rPr>
          <w:rFonts w:hint="eastAsia" w:ascii="黑体" w:hAnsi="黑体" w:eastAsia="黑体" w:cs="黑体"/>
          <w:bCs/>
        </w:rPr>
        <w:t>第一章 项目概述</w:t>
      </w:r>
      <w:bookmarkEnd w:id="0"/>
    </w:p>
    <w:p>
      <w:pPr>
        <w:ind w:left="323" w:firstLine="0" w:firstLineChars="0"/>
        <w:outlineLvl w:val="1"/>
        <w:rPr>
          <w:rFonts w:ascii="仿宋_GB2312" w:hAnsi="黑体" w:eastAsia="仿宋_GB2312"/>
          <w:i/>
          <w:iCs/>
          <w:sz w:val="28"/>
          <w:szCs w:val="28"/>
        </w:rPr>
      </w:pPr>
      <w:bookmarkStart w:id="1" w:name="_Toc31948"/>
      <w:r>
        <w:rPr>
          <w:rFonts w:hint="eastAsia"/>
          <w:b/>
        </w:rPr>
        <w:t>1.1 项目背景</w:t>
      </w:r>
      <w:bookmarkEnd w:id="1"/>
    </w:p>
    <w:p>
      <w:pPr>
        <w:spacing w:line="360" w:lineRule="auto"/>
        <w:ind w:firstLine="560" w:firstLineChars="200"/>
        <w:rPr>
          <w:rFonts w:ascii="仿宋_GB2312" w:hAnsi="黑体" w:eastAsia="仿宋_GB2312"/>
          <w:i/>
          <w:iCs/>
          <w:sz w:val="28"/>
          <w:szCs w:val="28"/>
        </w:rPr>
      </w:pPr>
      <w:r>
        <w:rPr>
          <w:rFonts w:hint="eastAsia" w:ascii="仿宋_GB2312" w:eastAsia="仿宋_GB2312"/>
          <w:sz w:val="28"/>
          <w:szCs w:val="28"/>
        </w:rPr>
        <w:t>目前系统在用的4台全闪存储设备目前空间使用率高，存储剩余可用空间紧张，需要进行扩容。该4台存储存放了多个重要应用系统的数据。随着多个新系统的上线，存储空间越来越紧张，需要进行扩容。</w:t>
      </w:r>
    </w:p>
    <w:p>
      <w:pPr>
        <w:ind w:firstLine="321" w:firstLineChars="100"/>
        <w:outlineLvl w:val="1"/>
        <w:rPr>
          <w:b/>
        </w:rPr>
      </w:pPr>
      <w:bookmarkStart w:id="2" w:name="_Toc10967"/>
      <w:r>
        <w:rPr>
          <w:rFonts w:hint="eastAsia"/>
          <w:b/>
        </w:rPr>
        <w:t>1.2 项目目标</w:t>
      </w:r>
      <w:bookmarkEnd w:id="2"/>
    </w:p>
    <w:p>
      <w:pPr>
        <w:spacing w:line="360" w:lineRule="auto"/>
        <w:ind w:firstLine="560" w:firstLineChars="200"/>
        <w:rPr>
          <w:rFonts w:ascii="仿宋_GB2312" w:hAnsi="黑体" w:eastAsia="仿宋_GB2312"/>
          <w:i/>
          <w:iCs/>
          <w:sz w:val="28"/>
          <w:szCs w:val="28"/>
        </w:rPr>
      </w:pPr>
      <w:bookmarkStart w:id="3" w:name="_Toc3935"/>
      <w:r>
        <w:rPr>
          <w:rFonts w:hint="eastAsia" w:ascii="仿宋_GB2312" w:eastAsia="仿宋_GB2312"/>
          <w:sz w:val="28"/>
          <w:szCs w:val="28"/>
        </w:rPr>
        <w:t>扩大存储空间，满足应用数据的增长需求，保障系统的正常运行。</w:t>
      </w:r>
      <w:bookmarkEnd w:id="3"/>
    </w:p>
    <w:p>
      <w:pPr>
        <w:ind w:left="323" w:firstLine="0" w:firstLineChars="0"/>
        <w:outlineLvl w:val="1"/>
        <w:rPr>
          <w:b/>
        </w:rPr>
      </w:pPr>
      <w:bookmarkStart w:id="4" w:name="_Toc20194"/>
      <w:r>
        <w:rPr>
          <w:rFonts w:hint="eastAsia"/>
          <w:b/>
        </w:rPr>
        <w:t>1.3 现状描述</w:t>
      </w:r>
      <w:bookmarkEnd w:id="4"/>
    </w:p>
    <w:p>
      <w:pPr>
        <w:spacing w:line="360" w:lineRule="auto"/>
        <w:ind w:firstLine="560" w:firstLineChars="200"/>
        <w:rPr>
          <w:rFonts w:ascii="仿宋_GB2312" w:eastAsia="仿宋_GB2312"/>
          <w:sz w:val="28"/>
          <w:szCs w:val="28"/>
        </w:rPr>
      </w:pPr>
      <w:r>
        <w:rPr>
          <w:rFonts w:hint="eastAsia" w:ascii="仿宋_GB2312" w:eastAsia="仿宋_GB2312"/>
          <w:sz w:val="28"/>
          <w:szCs w:val="28"/>
        </w:rPr>
        <w:t>本次需要扩容的4台存储设备分别为3PAR_RIGHT、3PAR_LEFT、THS20850和NHS20850。设备型号均为3PAR StoreServ 20000 8N Config Base。</w:t>
      </w:r>
    </w:p>
    <w:p>
      <w:pPr>
        <w:spacing w:line="360" w:lineRule="auto"/>
        <w:ind w:firstLine="560" w:firstLineChars="200"/>
        <w:rPr>
          <w:rFonts w:ascii="仿宋_GB2312" w:eastAsia="仿宋_GB2312"/>
          <w:sz w:val="28"/>
          <w:szCs w:val="28"/>
        </w:rPr>
      </w:pPr>
    </w:p>
    <w:p>
      <w:pPr>
        <w:numPr>
          <w:ilvl w:val="0"/>
          <w:numId w:val="1"/>
        </w:numPr>
        <w:jc w:val="center"/>
        <w:outlineLvl w:val="0"/>
        <w:rPr>
          <w:rFonts w:ascii="黑体" w:hAnsi="黑体" w:eastAsia="黑体" w:cs="黑体"/>
          <w:bCs/>
        </w:rPr>
      </w:pPr>
      <w:bookmarkStart w:id="5" w:name="_Toc12842"/>
      <w:r>
        <w:rPr>
          <w:rFonts w:hint="eastAsia" w:ascii="黑体" w:hAnsi="黑体" w:eastAsia="黑体" w:cs="黑体"/>
          <w:bCs/>
        </w:rPr>
        <w:t>建设内容与建设要求</w:t>
      </w:r>
      <w:bookmarkEnd w:id="5"/>
    </w:p>
    <w:p>
      <w:pPr>
        <w:ind w:left="323" w:firstLine="0" w:firstLineChars="0"/>
        <w:outlineLvl w:val="1"/>
        <w:rPr>
          <w:b/>
        </w:rPr>
      </w:pPr>
      <w:bookmarkStart w:id="6" w:name="_Toc19533"/>
      <w:r>
        <w:rPr>
          <w:rFonts w:hint="eastAsia"/>
          <w:b/>
        </w:rPr>
        <w:t>2.1 总体建设内容</w:t>
      </w:r>
      <w:bookmarkEnd w:id="6"/>
    </w:p>
    <w:p>
      <w:pPr>
        <w:ind w:firstLine="619"/>
      </w:pPr>
      <w:r>
        <w:rPr>
          <w:rFonts w:hint="eastAsia" w:ascii="仿宋_GB2312" w:eastAsia="仿宋_GB2312"/>
          <w:sz w:val="28"/>
          <w:szCs w:val="28"/>
        </w:rPr>
        <w:t>4台存储设备共扩容192块3.84T的全闪SSD硬盘，扩容后共增加存储裸空间737.28T，以满足应用系统数据增长需求</w:t>
      </w:r>
      <w:r>
        <w:rPr>
          <w:rFonts w:hint="eastAsia"/>
        </w:rPr>
        <w:t>。</w:t>
      </w:r>
    </w:p>
    <w:p>
      <w:pPr>
        <w:ind w:left="323" w:firstLine="0" w:firstLineChars="0"/>
        <w:outlineLvl w:val="1"/>
        <w:rPr>
          <w:b/>
        </w:rPr>
      </w:pPr>
      <w:bookmarkStart w:id="7" w:name="_Toc23393"/>
      <w:r>
        <w:rPr>
          <w:rFonts w:hint="eastAsia"/>
          <w:b/>
        </w:rPr>
        <w:t>2.2 具体建设内容</w:t>
      </w:r>
      <w:bookmarkEnd w:id="7"/>
    </w:p>
    <w:p>
      <w:pPr>
        <w:spacing w:line="360" w:lineRule="auto"/>
        <w:ind w:firstLine="560" w:firstLineChars="200"/>
        <w:rPr>
          <w:rFonts w:ascii="仿宋_GB2312" w:eastAsia="仿宋_GB2312"/>
          <w:sz w:val="28"/>
          <w:szCs w:val="28"/>
        </w:rPr>
      </w:pPr>
      <w:r>
        <w:rPr>
          <w:rFonts w:hint="eastAsia" w:ascii="仿宋_GB2312" w:eastAsia="仿宋_GB2312"/>
          <w:sz w:val="28"/>
          <w:szCs w:val="28"/>
        </w:rPr>
        <w:t>为满足明年的增长需求，计划对4台全闪存储各扩容48块3.84T 全闪SSD硬盘，共扩容192块3.84T全闪SSD硬盘。扩容后每台存储增加裸空间184.32T，共增加裸空间737.28T。</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设备具体内容及数量</w:t>
      </w:r>
    </w:p>
    <w:tbl>
      <w:tblPr>
        <w:tblStyle w:val="22"/>
        <w:tblpPr w:leftFromText="180" w:rightFromText="180" w:vertAnchor="text" w:horzAnchor="page" w:tblpX="1852" w:tblpY="29"/>
        <w:tblOverlap w:val="never"/>
        <w:tblW w:w="61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77"/>
        <w:gridCol w:w="29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3277" w:type="dxa"/>
          </w:tcPr>
          <w:p>
            <w:pPr>
              <w:ind w:firstLine="0" w:firstLineChars="0"/>
              <w:jc w:val="center"/>
              <w:rPr>
                <w:rFonts w:cs="仿宋_GB2312"/>
                <w:b/>
                <w:bCs/>
                <w:sz w:val="24"/>
                <w:szCs w:val="24"/>
              </w:rPr>
            </w:pPr>
            <w:r>
              <w:rPr>
                <w:rFonts w:hint="eastAsia" w:cs="仿宋_GB2312"/>
                <w:b/>
                <w:bCs/>
                <w:sz w:val="24"/>
                <w:szCs w:val="24"/>
              </w:rPr>
              <w:t>名称</w:t>
            </w:r>
          </w:p>
        </w:tc>
        <w:tc>
          <w:tcPr>
            <w:tcW w:w="2902" w:type="dxa"/>
          </w:tcPr>
          <w:p>
            <w:pPr>
              <w:ind w:firstLine="0" w:firstLineChars="0"/>
              <w:jc w:val="center"/>
              <w:rPr>
                <w:rFonts w:cs="仿宋_GB2312"/>
                <w:b/>
                <w:bCs/>
                <w:sz w:val="24"/>
                <w:szCs w:val="24"/>
              </w:rPr>
            </w:pPr>
            <w:r>
              <w:rPr>
                <w:rFonts w:hint="eastAsia" w:cs="仿宋_GB2312"/>
                <w:b/>
                <w:bCs/>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3277" w:type="dxa"/>
          </w:tcPr>
          <w:p>
            <w:pPr>
              <w:ind w:firstLine="0" w:firstLineChars="0"/>
              <w:jc w:val="center"/>
              <w:rPr>
                <w:rFonts w:cs="仿宋_GB2312"/>
                <w:sz w:val="24"/>
                <w:szCs w:val="24"/>
              </w:rPr>
            </w:pPr>
            <w:r>
              <w:rPr>
                <w:rFonts w:hint="eastAsia" w:cs="仿宋_GB2312"/>
                <w:sz w:val="24"/>
                <w:szCs w:val="24"/>
              </w:rPr>
              <w:t>全闪SSD 3.84T硬盘</w:t>
            </w:r>
          </w:p>
        </w:tc>
        <w:tc>
          <w:tcPr>
            <w:tcW w:w="2902" w:type="dxa"/>
          </w:tcPr>
          <w:p>
            <w:pPr>
              <w:ind w:firstLine="0" w:firstLineChars="0"/>
              <w:jc w:val="center"/>
              <w:rPr>
                <w:rFonts w:cs="仿宋_GB2312"/>
                <w:sz w:val="24"/>
                <w:szCs w:val="24"/>
              </w:rPr>
            </w:pPr>
            <w:r>
              <w:rPr>
                <w:rFonts w:hint="eastAsia" w:cs="仿宋_GB2312"/>
                <w:sz w:val="24"/>
                <w:szCs w:val="24"/>
              </w:rPr>
              <w:t>192块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3277" w:type="dxa"/>
            <w:vAlign w:val="top"/>
          </w:tcPr>
          <w:p>
            <w:pPr>
              <w:ind w:firstLine="0" w:firstLineChars="0"/>
              <w:jc w:val="center"/>
              <w:rPr>
                <w:rFonts w:cs="仿宋_GB2312"/>
                <w:sz w:val="24"/>
                <w:szCs w:val="24"/>
              </w:rPr>
            </w:pPr>
            <w:r>
              <w:rPr>
                <w:rFonts w:hint="eastAsia" w:cs="仿宋_GB2312"/>
                <w:sz w:val="24"/>
                <w:szCs w:val="24"/>
              </w:rPr>
              <w:t>增加硬盘扩容许可</w:t>
            </w:r>
          </w:p>
        </w:tc>
        <w:tc>
          <w:tcPr>
            <w:tcW w:w="2902" w:type="dxa"/>
            <w:vAlign w:val="top"/>
          </w:tcPr>
          <w:p>
            <w:pPr>
              <w:ind w:firstLine="0" w:firstLineChars="0"/>
              <w:jc w:val="center"/>
              <w:rPr>
                <w:rFonts w:cs="仿宋_GB2312"/>
                <w:sz w:val="24"/>
                <w:szCs w:val="24"/>
              </w:rPr>
            </w:pPr>
            <w:r>
              <w:rPr>
                <w:rFonts w:hint="eastAsia" w:cs="仿宋_GB2312"/>
                <w:sz w:val="24"/>
                <w:szCs w:val="24"/>
              </w:rPr>
              <w:t>192套</w:t>
            </w:r>
          </w:p>
        </w:tc>
      </w:tr>
    </w:tbl>
    <w:p>
      <w:pPr>
        <w:ind w:firstLine="0" w:firstLineChars="0"/>
        <w:rPr>
          <w:rFonts w:cs="仿宋_GB2312"/>
        </w:rPr>
      </w:pPr>
    </w:p>
    <w:p>
      <w:pPr>
        <w:ind w:firstLine="0" w:firstLineChars="0"/>
        <w:rPr>
          <w:rFonts w:cs="仿宋_GB2312"/>
        </w:rPr>
      </w:pPr>
    </w:p>
    <w:p>
      <w:pPr>
        <w:spacing w:line="360" w:lineRule="auto"/>
        <w:ind w:left="0" w:leftChars="0" w:firstLine="0" w:firstLineChars="0"/>
        <w:rPr>
          <w:rFonts w:ascii="仿宋_GB2312" w:eastAsia="仿宋_GB2312"/>
          <w:sz w:val="28"/>
          <w:szCs w:val="28"/>
        </w:rPr>
      </w:pPr>
    </w:p>
    <w:p>
      <w:pPr>
        <w:spacing w:line="360" w:lineRule="auto"/>
        <w:ind w:firstLine="561"/>
      </w:pPr>
      <w:bookmarkStart w:id="8" w:name="_Toc22877"/>
      <w:r>
        <w:rPr>
          <w:rFonts w:hint="eastAsia" w:ascii="宋体" w:hAnsi="宋体" w:cs="仿宋_GB2312"/>
          <w:szCs w:val="21"/>
        </w:rPr>
        <w:t>投标人应提供原装的、全新的、符合国家及用户提出的有关质量标准的设备，并完成扩容实施工作。</w:t>
      </w:r>
    </w:p>
    <w:p>
      <w:pPr>
        <w:ind w:left="323" w:firstLine="0" w:firstLineChars="0"/>
        <w:outlineLvl w:val="1"/>
        <w:rPr>
          <w:b/>
        </w:rPr>
      </w:pPr>
      <w:r>
        <w:rPr>
          <w:rFonts w:hint="eastAsia"/>
          <w:b/>
        </w:rPr>
        <w:t>2.3 技术要求</w:t>
      </w:r>
      <w:bookmarkEnd w:id="8"/>
    </w:p>
    <w:tbl>
      <w:tblPr>
        <w:tblStyle w:val="22"/>
        <w:tblW w:w="0" w:type="auto"/>
        <w:tblInd w:w="30" w:type="dxa"/>
        <w:tblLayout w:type="fixed"/>
        <w:tblCellMar>
          <w:top w:w="15" w:type="dxa"/>
          <w:left w:w="15" w:type="dxa"/>
          <w:bottom w:w="15" w:type="dxa"/>
          <w:right w:w="15" w:type="dxa"/>
        </w:tblCellMar>
      </w:tblPr>
      <w:tblGrid>
        <w:gridCol w:w="524"/>
        <w:gridCol w:w="982"/>
        <w:gridCol w:w="941"/>
        <w:gridCol w:w="5632"/>
      </w:tblGrid>
      <w:tr>
        <w:tblPrEx>
          <w:tblCellMar>
            <w:top w:w="15" w:type="dxa"/>
            <w:left w:w="15" w:type="dxa"/>
            <w:bottom w:w="15" w:type="dxa"/>
            <w:right w:w="15" w:type="dxa"/>
          </w:tblCellMar>
        </w:tblPrEx>
        <w:tc>
          <w:tcPr>
            <w:tcW w:w="524" w:type="dxa"/>
            <w:tcBorders>
              <w:top w:val="single" w:color="000000" w:sz="6" w:space="0"/>
              <w:left w:val="single" w:color="000000" w:sz="6" w:space="0"/>
              <w:bottom w:val="single" w:color="000000" w:sz="6" w:space="0"/>
              <w:right w:val="single" w:color="000000" w:sz="6" w:space="0"/>
            </w:tcBorders>
            <w:shd w:val="clear" w:color="auto" w:fill="D3D3D3"/>
            <w:noWrap/>
            <w:tcMar>
              <w:top w:w="22" w:type="dxa"/>
              <w:left w:w="22" w:type="dxa"/>
              <w:bottom w:w="22" w:type="dxa"/>
              <w:right w:w="22" w:type="dxa"/>
            </w:tcMar>
            <w:vAlign w:val="center"/>
          </w:tcPr>
          <w:p>
            <w:pPr>
              <w:spacing w:line="360" w:lineRule="auto"/>
              <w:ind w:left="0" w:leftChars="0" w:firstLine="0" w:firstLineChars="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序号</w:t>
            </w:r>
          </w:p>
        </w:tc>
        <w:tc>
          <w:tcPr>
            <w:tcW w:w="982" w:type="dxa"/>
            <w:tcBorders>
              <w:top w:val="single" w:color="000000" w:sz="6" w:space="0"/>
              <w:left w:val="single" w:color="000000" w:sz="6" w:space="0"/>
              <w:bottom w:val="single" w:color="000000" w:sz="6" w:space="0"/>
              <w:right w:val="single" w:color="000000" w:sz="6" w:space="0"/>
            </w:tcBorders>
            <w:shd w:val="clear" w:color="auto" w:fill="D3D3D3"/>
            <w:noWrap/>
            <w:tcMar>
              <w:top w:w="22" w:type="dxa"/>
              <w:left w:w="22" w:type="dxa"/>
              <w:bottom w:w="22" w:type="dxa"/>
              <w:right w:w="22" w:type="dxa"/>
            </w:tcMar>
            <w:vAlign w:val="center"/>
          </w:tcPr>
          <w:p>
            <w:pPr>
              <w:spacing w:line="360" w:lineRule="auto"/>
              <w:ind w:left="0" w:leftChars="0" w:firstLine="0" w:firstLineChars="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指标种类</w:t>
            </w:r>
          </w:p>
        </w:tc>
        <w:tc>
          <w:tcPr>
            <w:tcW w:w="941" w:type="dxa"/>
            <w:tcBorders>
              <w:top w:val="single" w:color="000000" w:sz="6" w:space="0"/>
              <w:left w:val="single" w:color="000000" w:sz="6" w:space="0"/>
              <w:bottom w:val="single" w:color="000000" w:sz="6" w:space="0"/>
              <w:right w:val="single" w:color="000000" w:sz="6" w:space="0"/>
            </w:tcBorders>
            <w:shd w:val="clear" w:color="auto" w:fill="D3D3D3"/>
            <w:noWrap/>
            <w:tcMar>
              <w:top w:w="22" w:type="dxa"/>
              <w:left w:w="22" w:type="dxa"/>
              <w:bottom w:w="22" w:type="dxa"/>
              <w:right w:w="22" w:type="dxa"/>
            </w:tcMar>
            <w:vAlign w:val="center"/>
          </w:tcPr>
          <w:p>
            <w:pPr>
              <w:spacing w:line="360" w:lineRule="auto"/>
              <w:ind w:left="0" w:leftChars="0" w:firstLine="0" w:firstLineChars="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指标名称</w:t>
            </w:r>
          </w:p>
        </w:tc>
        <w:tc>
          <w:tcPr>
            <w:tcW w:w="5632" w:type="dxa"/>
            <w:tcBorders>
              <w:top w:val="single" w:color="000000" w:sz="6" w:space="0"/>
              <w:left w:val="single" w:color="000000" w:sz="6" w:space="0"/>
              <w:bottom w:val="single" w:color="000000" w:sz="6" w:space="0"/>
              <w:right w:val="single" w:color="000000" w:sz="6" w:space="0"/>
            </w:tcBorders>
            <w:shd w:val="clear" w:color="auto" w:fill="D3D3D3"/>
            <w:noWrap/>
            <w:tcMar>
              <w:top w:w="22" w:type="dxa"/>
              <w:left w:w="22" w:type="dxa"/>
              <w:bottom w:w="22" w:type="dxa"/>
              <w:right w:w="22" w:type="dxa"/>
            </w:tcMar>
            <w:vAlign w:val="center"/>
          </w:tcPr>
          <w:p>
            <w:pPr>
              <w:spacing w:line="360" w:lineRule="auto"/>
              <w:ind w:left="0" w:leftChars="0" w:firstLine="0" w:firstLineChars="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指标内容</w:t>
            </w:r>
          </w:p>
        </w:tc>
      </w:tr>
      <w:tr>
        <w:tblPrEx>
          <w:tblCellMar>
            <w:top w:w="15" w:type="dxa"/>
            <w:left w:w="15" w:type="dxa"/>
            <w:bottom w:w="15" w:type="dxa"/>
            <w:right w:w="15" w:type="dxa"/>
          </w:tblCellMar>
        </w:tblPrEx>
        <w:tc>
          <w:tcPr>
            <w:tcW w:w="524"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1</w:t>
            </w:r>
          </w:p>
        </w:tc>
        <w:tc>
          <w:tcPr>
            <w:tcW w:w="98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兼容性</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产品兼容性</w:t>
            </w:r>
          </w:p>
        </w:tc>
        <w:tc>
          <w:tcPr>
            <w:tcW w:w="563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rPr>
                <w:rFonts w:hint="eastAsia" w:ascii="宋体" w:hAnsi="宋体" w:eastAsia="宋体" w:cs="宋体"/>
                <w:color w:val="000000"/>
                <w:sz w:val="21"/>
                <w:szCs w:val="21"/>
              </w:rPr>
            </w:pPr>
            <w:r>
              <w:rPr>
                <w:rFonts w:hint="eastAsia" w:ascii="宋体" w:hAnsi="宋体" w:eastAsia="宋体" w:cs="宋体"/>
                <w:snapToGrid w:val="0"/>
                <w:color w:val="000000"/>
                <w:kern w:val="0"/>
                <w:sz w:val="21"/>
                <w:szCs w:val="21"/>
              </w:rPr>
              <w:t>▲</w:t>
            </w:r>
            <w:r>
              <w:rPr>
                <w:rFonts w:hint="eastAsia" w:ascii="宋体" w:hAnsi="宋体" w:eastAsia="宋体" w:cs="宋体"/>
                <w:color w:val="000000"/>
                <w:kern w:val="0"/>
                <w:sz w:val="21"/>
                <w:szCs w:val="21"/>
              </w:rPr>
              <w:t>本次所有扩容组件需与现网在用3PAR StoreServ 20000 8N Config Base磁盘阵列控制器完全兼容。（提供以下任一材料：①提供第三方检测机构出具的检测报告复印件；②提供产品制造商官网相应功能截图，同时提供官网链接地址；③制造商产品说明书或制造厂商公开发布的产品功能印刷资料。）</w:t>
            </w:r>
          </w:p>
        </w:tc>
      </w:tr>
      <w:tr>
        <w:tblPrEx>
          <w:tblCellMar>
            <w:top w:w="15" w:type="dxa"/>
            <w:left w:w="15" w:type="dxa"/>
            <w:bottom w:w="15" w:type="dxa"/>
            <w:right w:w="15" w:type="dxa"/>
          </w:tblCellMar>
        </w:tblPrEx>
        <w:tc>
          <w:tcPr>
            <w:tcW w:w="524"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2</w:t>
            </w:r>
          </w:p>
        </w:tc>
        <w:tc>
          <w:tcPr>
            <w:tcW w:w="98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配置要求</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硬盘配置</w:t>
            </w:r>
          </w:p>
        </w:tc>
        <w:tc>
          <w:tcPr>
            <w:tcW w:w="563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rPr>
                <w:rFonts w:hint="eastAsia" w:ascii="宋体" w:hAnsi="宋体" w:eastAsia="宋体" w:cs="宋体"/>
                <w:b/>
                <w:color w:val="000000"/>
                <w:sz w:val="21"/>
                <w:szCs w:val="21"/>
              </w:rPr>
            </w:pPr>
            <w:r>
              <w:rPr>
                <w:rFonts w:hint="eastAsia" w:ascii="宋体" w:hAnsi="宋体" w:eastAsia="宋体" w:cs="宋体"/>
                <w:b/>
                <w:color w:val="000000"/>
                <w:kern w:val="0"/>
                <w:sz w:val="21"/>
                <w:szCs w:val="21"/>
              </w:rPr>
              <w:t>★本次一共配置192块3.84TB SSD企业级硬盘（投标时提交承诺，可参照“格式”中《承诺函》格式）。</w:t>
            </w:r>
          </w:p>
        </w:tc>
      </w:tr>
      <w:tr>
        <w:tblPrEx>
          <w:tblCellMar>
            <w:top w:w="15" w:type="dxa"/>
            <w:left w:w="15" w:type="dxa"/>
            <w:bottom w:w="15" w:type="dxa"/>
            <w:right w:w="15" w:type="dxa"/>
          </w:tblCellMar>
        </w:tblPrEx>
        <w:tc>
          <w:tcPr>
            <w:tcW w:w="524"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3</w:t>
            </w:r>
          </w:p>
        </w:tc>
        <w:tc>
          <w:tcPr>
            <w:tcW w:w="98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数据一致性</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数据一致性检测</w:t>
            </w:r>
          </w:p>
        </w:tc>
        <w:tc>
          <w:tcPr>
            <w:tcW w:w="563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rPr>
                <w:rFonts w:hint="eastAsia" w:ascii="宋体" w:hAnsi="宋体" w:eastAsia="宋体" w:cs="宋体"/>
                <w:color w:val="000000"/>
                <w:sz w:val="21"/>
                <w:szCs w:val="21"/>
              </w:rPr>
            </w:pPr>
            <w:r>
              <w:rPr>
                <w:rFonts w:hint="eastAsia" w:ascii="宋体" w:hAnsi="宋体" w:eastAsia="宋体" w:cs="宋体"/>
                <w:color w:val="000000"/>
                <w:kern w:val="0"/>
                <w:sz w:val="21"/>
                <w:szCs w:val="21"/>
              </w:rPr>
              <w:t>从主机端口到硬盘全路径支持业界标准的T10-PI数据一致性检测，保障数据的一致性（提供以下任一材料：①提供第三方检测机构出具的检测报告复印件；②提供产品制造商官网相应功能截图，同时提供官网链接地址；③制造商产品说明书或制造厂商公开发布的产品功能印刷资料。）。</w:t>
            </w:r>
          </w:p>
        </w:tc>
      </w:tr>
      <w:tr>
        <w:tblPrEx>
          <w:tblCellMar>
            <w:top w:w="15" w:type="dxa"/>
            <w:left w:w="15" w:type="dxa"/>
            <w:bottom w:w="15" w:type="dxa"/>
            <w:right w:w="15" w:type="dxa"/>
          </w:tblCellMar>
        </w:tblPrEx>
        <w:tc>
          <w:tcPr>
            <w:tcW w:w="524"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p>
        </w:tc>
        <w:tc>
          <w:tcPr>
            <w:tcW w:w="98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Flash缓存</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Flash二级缓存</w:t>
            </w:r>
          </w:p>
        </w:tc>
        <w:tc>
          <w:tcPr>
            <w:tcW w:w="563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rPr>
                <w:rFonts w:hint="eastAsia" w:ascii="宋体" w:hAnsi="宋体" w:eastAsia="宋体" w:cs="宋体"/>
                <w:color w:val="000000"/>
                <w:sz w:val="21"/>
                <w:szCs w:val="21"/>
              </w:rPr>
            </w:pPr>
            <w:r>
              <w:rPr>
                <w:rFonts w:hint="eastAsia" w:ascii="宋体" w:hAnsi="宋体" w:eastAsia="宋体" w:cs="宋体"/>
                <w:color w:val="000000"/>
                <w:kern w:val="0"/>
                <w:sz w:val="21"/>
                <w:szCs w:val="21"/>
              </w:rPr>
              <w:t>支持Flash Cache功能，支持将SSD空间作为二级缓存使用。</w:t>
            </w:r>
          </w:p>
        </w:tc>
      </w:tr>
      <w:tr>
        <w:tblPrEx>
          <w:tblCellMar>
            <w:top w:w="15" w:type="dxa"/>
            <w:left w:w="15" w:type="dxa"/>
            <w:bottom w:w="15" w:type="dxa"/>
            <w:right w:w="15" w:type="dxa"/>
          </w:tblCellMar>
        </w:tblPrEx>
        <w:tc>
          <w:tcPr>
            <w:tcW w:w="524"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5</w:t>
            </w:r>
          </w:p>
        </w:tc>
        <w:tc>
          <w:tcPr>
            <w:tcW w:w="98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Flash缓存</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Flash高速缓存</w:t>
            </w:r>
          </w:p>
        </w:tc>
        <w:tc>
          <w:tcPr>
            <w:tcW w:w="563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rPr>
                <w:rFonts w:hint="eastAsia" w:ascii="宋体" w:hAnsi="宋体" w:eastAsia="宋体" w:cs="宋体"/>
                <w:color w:val="000000"/>
                <w:sz w:val="21"/>
                <w:szCs w:val="21"/>
              </w:rPr>
            </w:pPr>
            <w:r>
              <w:rPr>
                <w:rFonts w:hint="eastAsia" w:ascii="宋体" w:hAnsi="宋体" w:eastAsia="宋体" w:cs="宋体"/>
                <w:color w:val="000000"/>
                <w:kern w:val="0"/>
                <w:sz w:val="21"/>
                <w:szCs w:val="21"/>
              </w:rPr>
              <w:t>最大支持Flash高速缓存容量≥64TB</w:t>
            </w:r>
          </w:p>
        </w:tc>
      </w:tr>
      <w:tr>
        <w:tblPrEx>
          <w:tblCellMar>
            <w:top w:w="15" w:type="dxa"/>
            <w:left w:w="15" w:type="dxa"/>
            <w:bottom w:w="15" w:type="dxa"/>
            <w:right w:w="15" w:type="dxa"/>
          </w:tblCellMar>
        </w:tblPrEx>
        <w:tc>
          <w:tcPr>
            <w:tcW w:w="524"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6</w:t>
            </w:r>
          </w:p>
        </w:tc>
        <w:tc>
          <w:tcPr>
            <w:tcW w:w="98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RAID</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RAID级别</w:t>
            </w:r>
          </w:p>
        </w:tc>
        <w:tc>
          <w:tcPr>
            <w:tcW w:w="563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rPr>
                <w:rFonts w:hint="eastAsia" w:ascii="宋体" w:hAnsi="宋体" w:eastAsia="宋体" w:cs="宋体"/>
                <w:color w:val="000000"/>
                <w:sz w:val="21"/>
                <w:szCs w:val="21"/>
              </w:rPr>
            </w:pPr>
            <w:r>
              <w:rPr>
                <w:rFonts w:hint="eastAsia" w:ascii="宋体" w:hAnsi="宋体" w:eastAsia="宋体" w:cs="宋体"/>
                <w:color w:val="000000"/>
                <w:kern w:val="0"/>
                <w:sz w:val="21"/>
                <w:szCs w:val="21"/>
              </w:rPr>
              <w:t>所有磁盘可同时配置为RAID0/1/5/6，且可共存</w:t>
            </w:r>
          </w:p>
        </w:tc>
      </w:tr>
      <w:tr>
        <w:tblPrEx>
          <w:tblCellMar>
            <w:top w:w="15" w:type="dxa"/>
            <w:left w:w="15" w:type="dxa"/>
            <w:bottom w:w="15" w:type="dxa"/>
            <w:right w:w="15" w:type="dxa"/>
          </w:tblCellMar>
        </w:tblPrEx>
        <w:tc>
          <w:tcPr>
            <w:tcW w:w="524"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7</w:t>
            </w:r>
          </w:p>
        </w:tc>
        <w:tc>
          <w:tcPr>
            <w:tcW w:w="98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RAID</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无中断迁移</w:t>
            </w:r>
          </w:p>
        </w:tc>
        <w:tc>
          <w:tcPr>
            <w:tcW w:w="563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rPr>
                <w:rFonts w:hint="eastAsia" w:ascii="宋体" w:hAnsi="宋体" w:eastAsia="宋体" w:cs="宋体"/>
                <w:color w:val="000000"/>
                <w:sz w:val="21"/>
                <w:szCs w:val="21"/>
              </w:rPr>
            </w:pPr>
            <w:r>
              <w:rPr>
                <w:rFonts w:hint="eastAsia" w:ascii="宋体" w:hAnsi="宋体" w:eastAsia="宋体" w:cs="宋体"/>
                <w:color w:val="000000"/>
                <w:kern w:val="0"/>
                <w:sz w:val="21"/>
                <w:szCs w:val="21"/>
              </w:rPr>
              <w:t>支持无中断地RAID改变，支持多类型磁盘多方向、无中断在线数据迁移，迁移过程不影响业务性能。</w:t>
            </w:r>
          </w:p>
        </w:tc>
      </w:tr>
      <w:tr>
        <w:tblPrEx>
          <w:tblCellMar>
            <w:top w:w="15" w:type="dxa"/>
            <w:left w:w="15" w:type="dxa"/>
            <w:bottom w:w="15" w:type="dxa"/>
            <w:right w:w="15" w:type="dxa"/>
          </w:tblCellMar>
        </w:tblPrEx>
        <w:tc>
          <w:tcPr>
            <w:tcW w:w="524"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8</w:t>
            </w:r>
          </w:p>
        </w:tc>
        <w:tc>
          <w:tcPr>
            <w:tcW w:w="98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故障恢复</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高速磁盘故障恢复</w:t>
            </w:r>
          </w:p>
        </w:tc>
        <w:tc>
          <w:tcPr>
            <w:tcW w:w="563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rPr>
                <w:rFonts w:hint="eastAsia" w:ascii="宋体" w:hAnsi="宋体" w:eastAsia="宋体" w:cs="宋体"/>
                <w:color w:val="000000"/>
                <w:sz w:val="21"/>
                <w:szCs w:val="21"/>
              </w:rPr>
            </w:pPr>
            <w:r>
              <w:rPr>
                <w:rFonts w:hint="eastAsia" w:ascii="宋体" w:hAnsi="宋体" w:eastAsia="宋体" w:cs="宋体"/>
                <w:color w:val="000000"/>
                <w:kern w:val="0"/>
                <w:sz w:val="21"/>
                <w:szCs w:val="21"/>
              </w:rPr>
              <w:t>无专用热备盘，采用多对多磁盘故障恢复方式，提高恢复速度，同时保证磁盘恢复期间应用的性能。</w:t>
            </w:r>
          </w:p>
        </w:tc>
      </w:tr>
      <w:tr>
        <w:tblPrEx>
          <w:tblCellMar>
            <w:top w:w="15" w:type="dxa"/>
            <w:left w:w="15" w:type="dxa"/>
            <w:bottom w:w="15" w:type="dxa"/>
            <w:right w:w="15" w:type="dxa"/>
          </w:tblCellMar>
        </w:tblPrEx>
        <w:tc>
          <w:tcPr>
            <w:tcW w:w="524"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9</w:t>
            </w:r>
          </w:p>
        </w:tc>
        <w:tc>
          <w:tcPr>
            <w:tcW w:w="98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存储双活</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存储双活</w:t>
            </w:r>
          </w:p>
        </w:tc>
        <w:tc>
          <w:tcPr>
            <w:tcW w:w="563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rPr>
                <w:rFonts w:hint="eastAsia" w:ascii="宋体" w:hAnsi="宋体" w:eastAsia="宋体" w:cs="宋体"/>
                <w:color w:val="000000"/>
                <w:sz w:val="21"/>
                <w:szCs w:val="21"/>
              </w:rPr>
            </w:pPr>
            <w:r>
              <w:rPr>
                <w:rFonts w:hint="eastAsia" w:ascii="宋体" w:hAnsi="宋体" w:eastAsia="宋体" w:cs="宋体"/>
                <w:snapToGrid w:val="0"/>
                <w:color w:val="000000"/>
                <w:kern w:val="0"/>
                <w:sz w:val="21"/>
                <w:szCs w:val="21"/>
              </w:rPr>
              <w:t>▲</w:t>
            </w:r>
            <w:r>
              <w:rPr>
                <w:rFonts w:hint="eastAsia" w:ascii="宋体" w:hAnsi="宋体" w:eastAsia="宋体" w:cs="宋体"/>
                <w:color w:val="000000"/>
                <w:kern w:val="0"/>
                <w:sz w:val="21"/>
                <w:szCs w:val="21"/>
              </w:rPr>
              <w:t>扩容完成后，不影响原存储的双活功能，在不加额外网关的情况下可以实现和同厂商高中端型号存储组成双活阵列，在一台阵列故障的情况下，主机IO访问可以无缝切换到另外一台阵列而不会中断业务，要求支持VMWare、Windows Server、MS Hyper-V和Oracle RAC等（投标时提交承诺，可参照“格式”中《承诺函》格式）。</w:t>
            </w:r>
          </w:p>
        </w:tc>
      </w:tr>
      <w:tr>
        <w:tblPrEx>
          <w:tblCellMar>
            <w:top w:w="15" w:type="dxa"/>
            <w:left w:w="15" w:type="dxa"/>
            <w:bottom w:w="15" w:type="dxa"/>
            <w:right w:w="15" w:type="dxa"/>
          </w:tblCellMar>
        </w:tblPrEx>
        <w:tc>
          <w:tcPr>
            <w:tcW w:w="524"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10</w:t>
            </w:r>
          </w:p>
        </w:tc>
        <w:tc>
          <w:tcPr>
            <w:tcW w:w="98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存储集群</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sz w:val="21"/>
                <w:szCs w:val="21"/>
              </w:rPr>
            </w:pPr>
            <w:r>
              <w:rPr>
                <w:rFonts w:hint="eastAsia" w:ascii="宋体" w:hAnsi="宋体" w:eastAsia="宋体" w:cs="宋体"/>
                <w:color w:val="000000"/>
                <w:kern w:val="0"/>
                <w:sz w:val="21"/>
                <w:szCs w:val="21"/>
              </w:rPr>
              <w:t>存储集群</w:t>
            </w:r>
          </w:p>
        </w:tc>
        <w:tc>
          <w:tcPr>
            <w:tcW w:w="5632"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rPr>
                <w:rFonts w:hint="eastAsia" w:ascii="宋体" w:hAnsi="宋体" w:eastAsia="宋体" w:cs="宋体"/>
                <w:color w:val="000000"/>
                <w:sz w:val="21"/>
                <w:szCs w:val="21"/>
              </w:rPr>
            </w:pPr>
            <w:r>
              <w:rPr>
                <w:rFonts w:hint="eastAsia" w:ascii="宋体" w:hAnsi="宋体" w:eastAsia="宋体" w:cs="宋体"/>
                <w:snapToGrid w:val="0"/>
                <w:color w:val="000000"/>
                <w:kern w:val="0"/>
                <w:sz w:val="21"/>
                <w:szCs w:val="21"/>
              </w:rPr>
              <w:t>▲</w:t>
            </w:r>
            <w:r>
              <w:rPr>
                <w:rFonts w:hint="eastAsia" w:ascii="宋体" w:hAnsi="宋体" w:eastAsia="宋体" w:cs="宋体"/>
                <w:color w:val="000000"/>
                <w:kern w:val="0"/>
                <w:sz w:val="21"/>
                <w:szCs w:val="21"/>
              </w:rPr>
              <w:t>扩容完成后，不影响原存储的集群功能，在不加额外网关的情况下可以实现和同厂商的高中端型号存储组成存储集群，数据可以在2-4台存储之间按照性能、容量等策略进行在线数据迁移，对于主机平台透明（投标时提交承诺，可参照“格式”中《承诺函》格式）。</w:t>
            </w:r>
          </w:p>
        </w:tc>
      </w:tr>
    </w:tbl>
    <w:p>
      <w:pPr>
        <w:pStyle w:val="5"/>
        <w:keepNext w:val="0"/>
        <w:spacing w:before="0" w:after="0" w:line="360" w:lineRule="auto"/>
        <w:ind w:firstLine="422" w:firstLineChars="200"/>
        <w:rPr>
          <w:rFonts w:ascii="宋体" w:hAnsi="宋体" w:eastAsia="宋体" w:cs="仿宋_GB2312"/>
          <w:sz w:val="21"/>
          <w:szCs w:val="21"/>
        </w:rPr>
      </w:pPr>
      <w:bookmarkStart w:id="9" w:name="_Toc5518"/>
    </w:p>
    <w:p>
      <w:pPr>
        <w:ind w:left="323" w:firstLine="0" w:firstLineChars="0"/>
        <w:outlineLvl w:val="1"/>
        <w:rPr>
          <w:rFonts w:hint="eastAsia" w:cs="Times New Roman"/>
          <w:b/>
        </w:rPr>
      </w:pPr>
      <w:r>
        <w:rPr>
          <w:rFonts w:hint="eastAsia" w:cs="Times New Roman"/>
          <w:b/>
          <w:lang w:val="en-US" w:eastAsia="zh-CN"/>
        </w:rPr>
        <w:t>2</w:t>
      </w:r>
      <w:r>
        <w:rPr>
          <w:rFonts w:hint="eastAsia" w:cs="Times New Roman"/>
          <w:b/>
        </w:rPr>
        <w:t>.4服务要求</w:t>
      </w:r>
      <w:bookmarkEnd w:id="9"/>
    </w:p>
    <w:tbl>
      <w:tblPr>
        <w:tblStyle w:val="22"/>
        <w:tblW w:w="8092" w:type="dxa"/>
        <w:tblInd w:w="30" w:type="dxa"/>
        <w:tblLayout w:type="fixed"/>
        <w:tblCellMar>
          <w:top w:w="15" w:type="dxa"/>
          <w:left w:w="15" w:type="dxa"/>
          <w:bottom w:w="15" w:type="dxa"/>
          <w:right w:w="15" w:type="dxa"/>
        </w:tblCellMar>
      </w:tblPr>
      <w:tblGrid>
        <w:gridCol w:w="511"/>
        <w:gridCol w:w="981"/>
        <w:gridCol w:w="941"/>
        <w:gridCol w:w="5659"/>
      </w:tblGrid>
      <w:tr>
        <w:tblPrEx>
          <w:tblCellMar>
            <w:top w:w="15" w:type="dxa"/>
            <w:left w:w="15" w:type="dxa"/>
            <w:bottom w:w="15" w:type="dxa"/>
            <w:right w:w="15" w:type="dxa"/>
          </w:tblCellMar>
        </w:tblPrEx>
        <w:tc>
          <w:tcPr>
            <w:tcW w:w="511" w:type="dxa"/>
            <w:tcBorders>
              <w:top w:val="single" w:color="000000" w:sz="6" w:space="0"/>
              <w:left w:val="single" w:color="000000" w:sz="6" w:space="0"/>
              <w:bottom w:val="single" w:color="000000" w:sz="6" w:space="0"/>
              <w:right w:val="single" w:color="000000" w:sz="6" w:space="0"/>
            </w:tcBorders>
            <w:shd w:val="clear" w:color="auto" w:fill="D3D3D3"/>
            <w:noWrap/>
            <w:tcMar>
              <w:top w:w="22" w:type="dxa"/>
              <w:left w:w="22" w:type="dxa"/>
              <w:bottom w:w="22" w:type="dxa"/>
              <w:right w:w="22" w:type="dxa"/>
            </w:tcMar>
            <w:vAlign w:val="center"/>
          </w:tcPr>
          <w:p>
            <w:pPr>
              <w:spacing w:line="360" w:lineRule="auto"/>
              <w:ind w:left="0" w:leftChars="0" w:firstLine="0" w:firstLineChars="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序号</w:t>
            </w:r>
          </w:p>
        </w:tc>
        <w:tc>
          <w:tcPr>
            <w:tcW w:w="981" w:type="dxa"/>
            <w:tcBorders>
              <w:top w:val="single" w:color="000000" w:sz="6" w:space="0"/>
              <w:left w:val="single" w:color="000000" w:sz="6" w:space="0"/>
              <w:bottom w:val="single" w:color="000000" w:sz="6" w:space="0"/>
              <w:right w:val="single" w:color="000000" w:sz="6" w:space="0"/>
            </w:tcBorders>
            <w:shd w:val="clear" w:color="auto" w:fill="D3D3D3"/>
            <w:noWrap/>
            <w:tcMar>
              <w:top w:w="22" w:type="dxa"/>
              <w:left w:w="22" w:type="dxa"/>
              <w:bottom w:w="22" w:type="dxa"/>
              <w:right w:w="22" w:type="dxa"/>
            </w:tcMar>
            <w:vAlign w:val="center"/>
          </w:tcPr>
          <w:p>
            <w:pPr>
              <w:spacing w:line="360" w:lineRule="auto"/>
              <w:ind w:left="0" w:leftChars="0" w:firstLine="0" w:firstLineChars="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指标种类</w:t>
            </w:r>
          </w:p>
        </w:tc>
        <w:tc>
          <w:tcPr>
            <w:tcW w:w="941" w:type="dxa"/>
            <w:tcBorders>
              <w:top w:val="single" w:color="000000" w:sz="6" w:space="0"/>
              <w:left w:val="single" w:color="000000" w:sz="6" w:space="0"/>
              <w:bottom w:val="single" w:color="000000" w:sz="6" w:space="0"/>
              <w:right w:val="single" w:color="000000" w:sz="6" w:space="0"/>
            </w:tcBorders>
            <w:shd w:val="clear" w:color="auto" w:fill="D3D3D3"/>
            <w:noWrap/>
            <w:tcMar>
              <w:top w:w="22" w:type="dxa"/>
              <w:left w:w="22" w:type="dxa"/>
              <w:bottom w:w="22" w:type="dxa"/>
              <w:right w:w="22" w:type="dxa"/>
            </w:tcMar>
            <w:vAlign w:val="center"/>
          </w:tcPr>
          <w:p>
            <w:pPr>
              <w:spacing w:line="360" w:lineRule="auto"/>
              <w:ind w:left="0" w:leftChars="0" w:firstLine="0" w:firstLineChars="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指标名称</w:t>
            </w:r>
          </w:p>
        </w:tc>
        <w:tc>
          <w:tcPr>
            <w:tcW w:w="5659" w:type="dxa"/>
            <w:tcBorders>
              <w:top w:val="single" w:color="000000" w:sz="6" w:space="0"/>
              <w:left w:val="single" w:color="000000" w:sz="6" w:space="0"/>
              <w:bottom w:val="single" w:color="000000" w:sz="6" w:space="0"/>
              <w:right w:val="single" w:color="000000" w:sz="6" w:space="0"/>
            </w:tcBorders>
            <w:shd w:val="clear" w:color="auto" w:fill="D3D3D3"/>
            <w:noWrap/>
            <w:tcMar>
              <w:top w:w="22" w:type="dxa"/>
              <w:left w:w="22" w:type="dxa"/>
              <w:bottom w:w="22" w:type="dxa"/>
              <w:right w:w="22" w:type="dxa"/>
            </w:tcMar>
            <w:vAlign w:val="center"/>
          </w:tcPr>
          <w:p>
            <w:pPr>
              <w:spacing w:line="360" w:lineRule="auto"/>
              <w:ind w:left="0" w:leftChars="0" w:firstLine="0" w:firstLineChars="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指标内容</w:t>
            </w:r>
          </w:p>
        </w:tc>
      </w:tr>
      <w:tr>
        <w:tblPrEx>
          <w:tblCellMar>
            <w:top w:w="15" w:type="dxa"/>
            <w:left w:w="15" w:type="dxa"/>
            <w:bottom w:w="15" w:type="dxa"/>
            <w:right w:w="15" w:type="dxa"/>
          </w:tblCellMar>
        </w:tblPrEx>
        <w:tc>
          <w:tcPr>
            <w:tcW w:w="51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p>
        </w:tc>
        <w:tc>
          <w:tcPr>
            <w:tcW w:w="98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原厂服务</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售后服务</w:t>
            </w:r>
          </w:p>
        </w:tc>
        <w:tc>
          <w:tcPr>
            <w:tcW w:w="5659"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★投标人承诺提供5年7*24原厂服务级别的售后服务（投标时提交承诺，可参照“格式”中《承诺函》格式）。</w:t>
            </w:r>
          </w:p>
        </w:tc>
      </w:tr>
      <w:tr>
        <w:tblPrEx>
          <w:tblCellMar>
            <w:top w:w="15" w:type="dxa"/>
            <w:left w:w="15" w:type="dxa"/>
            <w:bottom w:w="15" w:type="dxa"/>
            <w:right w:w="15" w:type="dxa"/>
          </w:tblCellMar>
        </w:tblPrEx>
        <w:tc>
          <w:tcPr>
            <w:tcW w:w="51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p>
        </w:tc>
        <w:tc>
          <w:tcPr>
            <w:tcW w:w="98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原厂服务</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安装调试服务</w:t>
            </w:r>
          </w:p>
        </w:tc>
        <w:tc>
          <w:tcPr>
            <w:tcW w:w="5659"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★投标人承诺提供原厂扩容安装调试服务（投标时提交承诺，可参照“格式”中《承诺函》格式）。</w:t>
            </w:r>
          </w:p>
        </w:tc>
      </w:tr>
      <w:tr>
        <w:tblPrEx>
          <w:tblCellMar>
            <w:top w:w="15" w:type="dxa"/>
            <w:left w:w="15" w:type="dxa"/>
            <w:bottom w:w="15" w:type="dxa"/>
            <w:right w:w="15" w:type="dxa"/>
          </w:tblCellMar>
        </w:tblPrEx>
        <w:tc>
          <w:tcPr>
            <w:tcW w:w="51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p>
        </w:tc>
        <w:tc>
          <w:tcPr>
            <w:tcW w:w="98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原厂服务</w:t>
            </w:r>
          </w:p>
        </w:tc>
        <w:tc>
          <w:tcPr>
            <w:tcW w:w="941"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硬盘不返还服务</w:t>
            </w:r>
          </w:p>
        </w:tc>
        <w:tc>
          <w:tcPr>
            <w:tcW w:w="5659" w:type="dxa"/>
            <w:tcBorders>
              <w:top w:val="single" w:color="000000" w:sz="6" w:space="0"/>
              <w:left w:val="single" w:color="000000" w:sz="6" w:space="0"/>
              <w:bottom w:val="single" w:color="000000" w:sz="6" w:space="0"/>
              <w:right w:val="single" w:color="000000" w:sz="6" w:space="0"/>
            </w:tcBorders>
            <w:noWrap/>
            <w:tcMar>
              <w:top w:w="22" w:type="dxa"/>
              <w:left w:w="22" w:type="dxa"/>
              <w:bottom w:w="22" w:type="dxa"/>
              <w:right w:w="22" w:type="dxa"/>
            </w:tcMar>
            <w:vAlign w:val="center"/>
          </w:tcPr>
          <w:p>
            <w:pPr>
              <w:spacing w:line="360" w:lineRule="auto"/>
              <w:ind w:left="0" w:leftChars="0" w:firstLine="0" w:firstLineChars="0"/>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★投标人承诺提供五年硬盘不返还服务（投标时提交承诺，可参照“格式”中《承诺函》格式）。</w:t>
            </w:r>
          </w:p>
        </w:tc>
      </w:tr>
    </w:tbl>
    <w:p>
      <w:pPr>
        <w:spacing w:line="360" w:lineRule="auto"/>
        <w:ind w:firstLine="420" w:firstLineChars="200"/>
        <w:rPr>
          <w:rFonts w:hint="eastAsia" w:ascii="宋体" w:hAnsi="宋体" w:eastAsia="宋体" w:cs="宋体"/>
          <w:sz w:val="21"/>
          <w:szCs w:val="21"/>
        </w:rPr>
      </w:pPr>
    </w:p>
    <w:p>
      <w:pPr>
        <w:ind w:left="323" w:firstLine="0" w:firstLineChars="0"/>
        <w:outlineLvl w:val="1"/>
        <w:rPr>
          <w:b/>
        </w:rPr>
      </w:pPr>
    </w:p>
    <w:p>
      <w:pPr>
        <w:ind w:firstLine="0" w:firstLineChars="0"/>
        <w:jc w:val="center"/>
        <w:outlineLvl w:val="0"/>
        <w:rPr>
          <w:rFonts w:ascii="黑体" w:hAnsi="黑体" w:eastAsia="黑体" w:cs="黑体"/>
          <w:bCs/>
        </w:rPr>
      </w:pPr>
      <w:bookmarkStart w:id="10" w:name="_Toc21167"/>
      <w:r>
        <w:rPr>
          <w:rFonts w:hint="eastAsia" w:ascii="黑体" w:hAnsi="黑体" w:eastAsia="黑体" w:cs="黑体"/>
          <w:bCs/>
        </w:rPr>
        <w:t>第三章 服务要求</w:t>
      </w:r>
      <w:bookmarkEnd w:id="10"/>
    </w:p>
    <w:p>
      <w:pPr>
        <w:ind w:firstLine="643" w:firstLineChars="200"/>
        <w:outlineLvl w:val="1"/>
        <w:rPr>
          <w:b/>
          <w:bCs/>
        </w:rPr>
      </w:pPr>
      <w:bookmarkStart w:id="11" w:name="_Toc28181"/>
      <w:r>
        <w:rPr>
          <w:rFonts w:hint="eastAsia"/>
          <w:b/>
          <w:bCs/>
        </w:rPr>
        <w:t>3.1 总体要求</w:t>
      </w:r>
      <w:bookmarkEnd w:id="11"/>
    </w:p>
    <w:p>
      <w:pPr>
        <w:spacing w:line="360" w:lineRule="auto"/>
        <w:ind w:firstLine="560" w:firstLineChars="200"/>
        <w:rPr>
          <w:rFonts w:ascii="仿宋_GB2312" w:eastAsia="仿宋_GB2312"/>
          <w:sz w:val="28"/>
          <w:szCs w:val="28"/>
        </w:rPr>
      </w:pPr>
      <w:r>
        <w:rPr>
          <w:rFonts w:hint="eastAsia" w:ascii="仿宋_GB2312" w:eastAsia="仿宋_GB2312"/>
          <w:sz w:val="28"/>
          <w:szCs w:val="28"/>
        </w:rPr>
        <w:t>1.投标人应按照采购需求的要求提供详细的技术建议书。投标人提供的各项建议方案应完全符合采购人指明的标准，并满足或高于采购人的要求。</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2.投标人在其技术建议书中，对需求中所提各项要求能否实现与满足，应逐项诚实地予以说明和答复。对本建议书中某项回答过于简单或未作明确答复的，将视为不能满足该项要求。</w:t>
      </w:r>
    </w:p>
    <w:p>
      <w:pPr>
        <w:ind w:firstLine="643" w:firstLineChars="200"/>
        <w:outlineLvl w:val="1"/>
        <w:rPr>
          <w:b/>
          <w:bCs/>
        </w:rPr>
      </w:pPr>
      <w:bookmarkStart w:id="12" w:name="_Toc8766"/>
      <w:r>
        <w:rPr>
          <w:rFonts w:hint="eastAsia"/>
          <w:b/>
          <w:bCs/>
        </w:rPr>
        <w:t>3.2 保密要求</w:t>
      </w:r>
      <w:bookmarkEnd w:id="12"/>
    </w:p>
    <w:p>
      <w:pPr>
        <w:spacing w:line="360" w:lineRule="auto"/>
        <w:ind w:firstLine="560" w:firstLineChars="200"/>
        <w:rPr>
          <w:rFonts w:ascii="仿宋_GB2312" w:eastAsia="仿宋_GB2312"/>
          <w:sz w:val="28"/>
          <w:szCs w:val="28"/>
        </w:rPr>
      </w:pPr>
      <w:r>
        <w:rPr>
          <w:rFonts w:hint="eastAsia" w:ascii="仿宋_GB2312" w:eastAsia="仿宋_GB2312"/>
          <w:sz w:val="28"/>
          <w:szCs w:val="28"/>
        </w:rPr>
        <w:t>采购人与中标人的保密协议（见合同附件2）将于合同签署时生效，有效期为本协议签订之日起至本协议终止之日后满五年。</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中标人驻场人员须遵循采购人的各项规章制度，工作时间不得从事任何与工作无关的事情。未经采购人事先书面同意，中标人不得将由采购人为本合同提供的条文、规格、计划、样品或资料提供给与本合同无关的任何第三方，不得将其用于履行本合同之外的其它用途。即使向与履行本合同有关的人员提供，也应注意保密并限于履行合同所必需的范围。</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采购人不得将由中标人向采购人提供的产品技术方案、技术指标、计算机软件、数据库、研究开发记录、技术报告、检测报告、实验数据、试验结果、操作手册、技术文档等技术资料，以及采购人所知悉的中标人经营策略、客户名单、采购资料、定价政策、财务资料、进货渠道等商业信息提供给与本合同无关的任何单位或个人。</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除了合同本身之外，上款所列举的任何物件均是采购人的财产。如果采购人有要求，中标人在完成合同后应将这些物件及全部复制件还给采购人。</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项目中所涉及的双方的内部资料、数据、业务流程、工作规范和开发过程中产生的文档记录以及其它商业信息，甲、乙双方均有责任承担保密义务。未经对方许可，任何一方不得以任何形式向其他方泄露。</w:t>
      </w:r>
    </w:p>
    <w:p>
      <w:pPr>
        <w:spacing w:line="360" w:lineRule="auto"/>
        <w:ind w:firstLine="560" w:firstLineChars="200"/>
        <w:rPr>
          <w:color w:val="0000FF"/>
          <w:sz w:val="28"/>
          <w:szCs w:val="28"/>
        </w:rPr>
      </w:pPr>
      <w:r>
        <w:rPr>
          <w:rFonts w:hint="eastAsia" w:ascii="仿宋_GB2312" w:eastAsia="仿宋_GB2312"/>
          <w:sz w:val="28"/>
          <w:szCs w:val="28"/>
        </w:rPr>
        <w:t>中标人保证中标人及其工作人员对在服务过程中所了解、知悉的采购人或相关单位的政府信息不得对外泄露，否则应付全部法律责任。</w:t>
      </w:r>
    </w:p>
    <w:p>
      <w:pPr>
        <w:pStyle w:val="5"/>
        <w:tabs>
          <w:tab w:val="left" w:pos="720"/>
        </w:tabs>
        <w:ind w:firstLine="643" w:firstLineChars="200"/>
        <w:rPr>
          <w:rFonts w:ascii="黑体" w:hAnsi="黑体" w:eastAsia="黑体" w:cs="黑体"/>
        </w:rPr>
      </w:pPr>
      <w:bookmarkStart w:id="13" w:name="_Toc23908"/>
      <w:r>
        <w:rPr>
          <w:rFonts w:hint="eastAsia" w:ascii="仿宋" w:hAnsi="仿宋" w:eastAsia="仿宋" w:cs="Times New Roman"/>
          <w:i w:val="0"/>
          <w:iCs w:val="0"/>
          <w:sz w:val="32"/>
          <w:szCs w:val="32"/>
        </w:rPr>
        <w:t>3.3对服务方的要求</w:t>
      </w:r>
      <w:bookmarkEnd w:id="13"/>
    </w:p>
    <w:p>
      <w:pPr>
        <w:spacing w:line="360" w:lineRule="auto"/>
        <w:ind w:firstLine="560" w:firstLineChars="200"/>
        <w:rPr>
          <w:rFonts w:hint="eastAsia" w:ascii="仿宋_GB2312" w:eastAsia="仿宋_GB2312"/>
          <w:sz w:val="28"/>
          <w:szCs w:val="28"/>
        </w:rPr>
      </w:pPr>
      <w:r>
        <w:rPr>
          <w:rFonts w:hint="eastAsia" w:ascii="仿宋_GB2312" w:eastAsia="仿宋_GB2312" w:cs="Times New Roman"/>
          <w:sz w:val="28"/>
          <w:szCs w:val="28"/>
          <w:lang w:val="en-US" w:eastAsia="zh-CN"/>
        </w:rPr>
        <w:t>1.</w:t>
      </w:r>
      <w:r>
        <w:rPr>
          <w:rFonts w:hint="eastAsia" w:ascii="仿宋_GB2312" w:eastAsia="仿宋_GB2312" w:cs="Times New Roman"/>
          <w:sz w:val="28"/>
          <w:szCs w:val="28"/>
        </w:rPr>
        <w:t>中标人须在约定时间内供货并实施扩容。存储扩容实施并试运行完成后，中标人需提供以下资料进行项目验收：设备到场开箱检查表、设备移交清单、安装部署情况、测试及试运行报告、用户手册或硬件使用维护说明书、验收技术评审表、原厂安装服务证明文件、原厂售后服务（含硬盘不返还服务）证明文件。</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2.中标人应配合采购人进行人员管理，项目实施人员应该遵守招标人的日常管理和相关规章制度。</w:t>
      </w:r>
    </w:p>
    <w:p>
      <w:pPr>
        <w:spacing w:line="360" w:lineRule="auto"/>
        <w:ind w:firstLine="560" w:firstLineChars="200"/>
        <w:rPr>
          <w:rFonts w:hint="eastAsia" w:ascii="仿宋_GB2312" w:eastAsia="仿宋_GB2312"/>
          <w:sz w:val="28"/>
          <w:szCs w:val="28"/>
        </w:rPr>
      </w:pPr>
      <w:r>
        <w:rPr>
          <w:rFonts w:hint="eastAsia" w:ascii="仿宋_GB2312" w:eastAsia="仿宋_GB2312"/>
          <w:sz w:val="28"/>
          <w:szCs w:val="28"/>
        </w:rPr>
        <w:t xml:space="preserve">3.服务地点由招标人指定，服务往返交通方式及费用、食宿费、办公电脑由中标人自行负责。 </w:t>
      </w:r>
    </w:p>
    <w:p>
      <w:pPr>
        <w:spacing w:line="360" w:lineRule="auto"/>
        <w:ind w:firstLine="560" w:firstLineChars="200"/>
        <w:rPr>
          <w:rFonts w:hint="default" w:eastAsia="仿宋_GB2312"/>
          <w:lang w:val="en-US" w:eastAsia="zh-CN"/>
        </w:rPr>
      </w:pPr>
      <w:r>
        <w:rPr>
          <w:rFonts w:hint="eastAsia" w:ascii="仿宋_GB2312" w:eastAsia="仿宋_GB2312" w:cs="Times New Roman"/>
          <w:sz w:val="28"/>
          <w:szCs w:val="28"/>
          <w:lang w:val="en-US" w:eastAsia="zh-CN"/>
        </w:rPr>
        <w:t>4.</w:t>
      </w:r>
      <w:r>
        <w:rPr>
          <w:rFonts w:hint="eastAsia" w:ascii="仿宋_GB2312" w:eastAsia="仿宋_GB2312" w:cs="Times New Roman"/>
          <w:sz w:val="28"/>
          <w:szCs w:val="28"/>
        </w:rPr>
        <w:t>针对本项目配备的技术负责人（1人）：具有计算机技术与软件专业技术资格证书中的信息系统项目管理师证书。针对本项目配备的实施工程师（1人）：H3CNE或H3CSE或HP CSE或HPE ASE或Managing HP 3PAR InServ Arrays原厂认证工程师。</w:t>
      </w:r>
    </w:p>
    <w:p>
      <w:pPr>
        <w:pStyle w:val="5"/>
        <w:tabs>
          <w:tab w:val="left" w:pos="720"/>
        </w:tabs>
        <w:ind w:firstLine="710"/>
        <w:rPr>
          <w:rFonts w:ascii="仿宋" w:hAnsi="仿宋" w:eastAsia="仿宋" w:cs="Times New Roman"/>
          <w:i w:val="0"/>
          <w:iCs w:val="0"/>
          <w:sz w:val="32"/>
          <w:szCs w:val="32"/>
        </w:rPr>
      </w:pPr>
      <w:bookmarkStart w:id="14" w:name="_Toc9477"/>
      <w:r>
        <w:rPr>
          <w:rFonts w:hint="eastAsia" w:ascii="仿宋" w:hAnsi="仿宋" w:eastAsia="仿宋" w:cs="Times New Roman"/>
          <w:i w:val="0"/>
          <w:iCs w:val="0"/>
          <w:sz w:val="32"/>
          <w:szCs w:val="32"/>
        </w:rPr>
        <w:t>3.4知识转移和培训</w:t>
      </w:r>
      <w:bookmarkEnd w:id="14"/>
    </w:p>
    <w:p>
      <w:pPr>
        <w:spacing w:line="360" w:lineRule="auto"/>
        <w:ind w:firstLine="560" w:firstLineChars="200"/>
        <w:rPr>
          <w:rFonts w:ascii="仿宋_GB2312" w:eastAsia="仿宋_GB2312"/>
          <w:sz w:val="28"/>
          <w:szCs w:val="28"/>
        </w:rPr>
      </w:pPr>
      <w:r>
        <w:rPr>
          <w:rFonts w:hint="eastAsia" w:ascii="仿宋_GB2312" w:eastAsia="仿宋_GB2312"/>
          <w:sz w:val="28"/>
          <w:szCs w:val="28"/>
        </w:rPr>
        <w:t>中标人要采取有效方法、途径保证采购人能顺利完成本项目服务过程中各阶段服务方案产出的吸收和转移。</w:t>
      </w:r>
    </w:p>
    <w:p>
      <w:pPr>
        <w:pStyle w:val="5"/>
        <w:tabs>
          <w:tab w:val="left" w:pos="720"/>
        </w:tabs>
        <w:ind w:firstLine="710"/>
        <w:rPr>
          <w:rFonts w:ascii="仿宋" w:hAnsi="仿宋" w:eastAsia="仿宋" w:cs="Times New Roman"/>
          <w:i w:val="0"/>
          <w:iCs w:val="0"/>
          <w:sz w:val="32"/>
          <w:szCs w:val="32"/>
        </w:rPr>
      </w:pPr>
      <w:bookmarkStart w:id="15" w:name="_Toc8986"/>
      <w:r>
        <w:rPr>
          <w:rFonts w:hint="eastAsia" w:ascii="仿宋" w:hAnsi="仿宋" w:eastAsia="仿宋" w:cs="Times New Roman"/>
          <w:i w:val="0"/>
          <w:iCs w:val="0"/>
          <w:sz w:val="32"/>
          <w:szCs w:val="32"/>
        </w:rPr>
        <w:t>3.5知识产权</w:t>
      </w:r>
      <w:bookmarkEnd w:id="15"/>
    </w:p>
    <w:p>
      <w:pPr>
        <w:spacing w:line="360" w:lineRule="auto"/>
        <w:ind w:firstLine="560" w:firstLineChars="200"/>
        <w:rPr>
          <w:rFonts w:ascii="仿宋_GB2312" w:eastAsia="仿宋_GB2312"/>
          <w:sz w:val="28"/>
          <w:szCs w:val="28"/>
        </w:rPr>
      </w:pPr>
      <w:r>
        <w:rPr>
          <w:rFonts w:hint="eastAsia" w:ascii="仿宋_GB2312" w:eastAsia="仿宋_GB2312"/>
          <w:sz w:val="28"/>
          <w:szCs w:val="28"/>
        </w:rPr>
        <w:t>1.中标人在服务过程中产生的所有技术资料、提交件的知识产权归采购人所有。</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2.中标人交付给采购人的成果不得侵犯第三方的合法权益。如果采购人因使用本项目成果或其中一部分而被第三方起诉侵犯其专利权、商标权或其它知识产权，中标人将依法承担相应的法律责任。</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3.中标人为执行本合同而提供的与本合同无关的单位或个人的技术资料、软件、工具及中标人已有知识产权产品的使用权归采购人所有。</w:t>
      </w:r>
    </w:p>
    <w:p>
      <w:pPr>
        <w:pStyle w:val="5"/>
        <w:tabs>
          <w:tab w:val="left" w:pos="720"/>
        </w:tabs>
        <w:ind w:firstLine="710"/>
        <w:rPr>
          <w:rFonts w:ascii="仿宋" w:hAnsi="仿宋" w:eastAsia="仿宋" w:cs="Times New Roman"/>
          <w:i w:val="0"/>
          <w:iCs w:val="0"/>
          <w:sz w:val="32"/>
          <w:szCs w:val="32"/>
        </w:rPr>
      </w:pPr>
      <w:bookmarkStart w:id="16" w:name="_Toc10591"/>
      <w:r>
        <w:rPr>
          <w:rFonts w:hint="eastAsia" w:ascii="仿宋" w:hAnsi="仿宋" w:eastAsia="仿宋" w:cs="Times New Roman"/>
          <w:i w:val="0"/>
          <w:iCs w:val="0"/>
          <w:sz w:val="32"/>
          <w:szCs w:val="32"/>
        </w:rPr>
        <w:t>3.6责任追究</w:t>
      </w:r>
      <w:bookmarkEnd w:id="16"/>
    </w:p>
    <w:p>
      <w:pPr>
        <w:spacing w:line="360" w:lineRule="auto"/>
        <w:ind w:firstLine="560" w:firstLineChars="200"/>
        <w:rPr>
          <w:rFonts w:ascii="仿宋_GB2312" w:eastAsia="仿宋_GB2312"/>
          <w:sz w:val="28"/>
          <w:szCs w:val="28"/>
        </w:rPr>
      </w:pPr>
      <w:r>
        <w:rPr>
          <w:rFonts w:hint="eastAsia" w:ascii="仿宋_GB2312" w:eastAsia="仿宋_GB2312"/>
          <w:sz w:val="28"/>
          <w:szCs w:val="28"/>
        </w:rPr>
        <w:t>合同总额的30%为违约金总额。当出现以下情形时，采购人有权扣除部分违约金（直至全部扣完）：</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1.中标人违反安全或保密责任，采购人可每次以不超过合同总价5%的幅度扣减违约金，若中标人累计违反2次后，采购人有权单方解除合同，中标人须一次性支付本合同总额30%的违约金；由此造成的采购人经济损失由中标人承担。</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2.中标人提供的服务不符合采购文件、报价文件或本合同约定的，采购人有权拒收并要求中标人进行整改；中标人超5天不整改或整改后仍不符合合同约定的，采购人有权终止本合同并要求中标人支付本合同总额20%的违约金，造成采购人损失的，中标人还应赔偿相应的损失。</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3.中标人未能按本合同规定的时间提供服务，从逾期之日起每日按本合同总价3‰的数额向采购人支付违约金；逾期半个月以上的，采购人有权终止合同，双方按已提供服务的期限及内容结算服务费后，中标人向采购人支付本合同总额30%的违约金，由此造成的采购人经济损失由中标人承担，包括但不限于采购人委托第三方处理产生的费用等。</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4.出现由于中标人单方面原因造成采购人损失时，采购人有权直接于应付款中予以扣除，如不足以抵扣的中标人须赔偿补足。</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5.采购人逾期付款，每日按应付未付款的万分之一向中标人偿付违约金，违约金总额累计不超过应付未付款的5%。</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6.中标人未经书面申请并征得采购人同意，擅自变更项目经理或项目组内重要成员，中标人需向采购人支付合同总价的 1%作为违约金。但因中标人无法控制或不可抗力的原因（包括但不限于员工离职、身体原因等）而需更换人员的情况除外。</w:t>
      </w:r>
    </w:p>
    <w:p>
      <w:pPr>
        <w:spacing w:line="360" w:lineRule="auto"/>
        <w:ind w:firstLine="560" w:firstLineChars="200"/>
        <w:rPr>
          <w:rFonts w:ascii="仿宋_GB2312" w:eastAsia="仿宋_GB2312"/>
          <w:sz w:val="28"/>
          <w:szCs w:val="28"/>
        </w:rPr>
      </w:pPr>
      <w:r>
        <w:rPr>
          <w:rFonts w:hint="eastAsia" w:ascii="仿宋_GB2312" w:eastAsia="仿宋_GB2312"/>
          <w:sz w:val="28"/>
          <w:szCs w:val="28"/>
        </w:rPr>
        <w:t>7.其它违约责任按《中华人民共和国民法典》处理。</w:t>
      </w:r>
    </w:p>
    <w:p>
      <w:pPr>
        <w:pStyle w:val="5"/>
        <w:tabs>
          <w:tab w:val="left" w:pos="720"/>
        </w:tabs>
        <w:ind w:firstLine="710"/>
        <w:rPr>
          <w:rFonts w:ascii="仿宋" w:hAnsi="仿宋" w:eastAsia="仿宋" w:cs="Times New Roman"/>
          <w:i w:val="0"/>
          <w:iCs w:val="0"/>
          <w:sz w:val="32"/>
          <w:szCs w:val="32"/>
        </w:rPr>
      </w:pPr>
      <w:bookmarkStart w:id="17" w:name="_Toc22193"/>
      <w:r>
        <w:rPr>
          <w:rFonts w:hint="eastAsia" w:ascii="仿宋" w:hAnsi="仿宋" w:eastAsia="仿宋" w:cs="Times New Roman"/>
          <w:i w:val="0"/>
          <w:iCs w:val="0"/>
          <w:sz w:val="32"/>
          <w:szCs w:val="32"/>
        </w:rPr>
        <w:t>3.7服务期限及进度要求</w:t>
      </w:r>
      <w:bookmarkEnd w:id="17"/>
    </w:p>
    <w:p>
      <w:pPr>
        <w:spacing w:line="360" w:lineRule="auto"/>
        <w:ind w:firstLine="560" w:firstLineChars="200"/>
        <w:rPr>
          <w:rFonts w:ascii="仿宋_GB2312" w:eastAsia="仿宋_GB2312"/>
          <w:sz w:val="28"/>
          <w:szCs w:val="28"/>
        </w:rPr>
      </w:pPr>
      <w:r>
        <w:rPr>
          <w:rFonts w:hint="eastAsia" w:ascii="仿宋_GB2312" w:eastAsia="仿宋_GB2312"/>
          <w:sz w:val="28"/>
          <w:szCs w:val="28"/>
        </w:rPr>
        <w:t>项目服务期限：</w:t>
      </w:r>
      <w:r>
        <w:rPr>
          <w:rFonts w:hint="eastAsia" w:ascii="宋体" w:hAnsi="宋体"/>
          <w:szCs w:val="21"/>
        </w:rPr>
        <w:t>合同签订之日起30天内完成供货，到货后15天内完成扩容实施工作。</w:t>
      </w:r>
    </w:p>
    <w:p>
      <w:pPr>
        <w:pStyle w:val="5"/>
        <w:tabs>
          <w:tab w:val="left" w:pos="720"/>
        </w:tabs>
        <w:ind w:firstLine="710"/>
        <w:rPr>
          <w:rFonts w:ascii="仿宋" w:hAnsi="仿宋" w:eastAsia="仿宋" w:cs="Times New Roman"/>
          <w:i w:val="0"/>
          <w:iCs w:val="0"/>
          <w:sz w:val="32"/>
          <w:szCs w:val="32"/>
        </w:rPr>
      </w:pPr>
      <w:bookmarkStart w:id="18" w:name="_Toc2373"/>
      <w:r>
        <w:rPr>
          <w:rFonts w:hint="eastAsia" w:ascii="仿宋" w:hAnsi="仿宋" w:eastAsia="仿宋" w:cs="Times New Roman"/>
          <w:i w:val="0"/>
          <w:iCs w:val="0"/>
          <w:sz w:val="32"/>
          <w:szCs w:val="32"/>
        </w:rPr>
        <w:t>3.8项目实施地点</w:t>
      </w:r>
      <w:bookmarkEnd w:id="18"/>
    </w:p>
    <w:p>
      <w:pPr>
        <w:spacing w:line="360" w:lineRule="auto"/>
        <w:ind w:firstLine="560" w:firstLineChars="200"/>
        <w:rPr>
          <w:rFonts w:hint="eastAsia" w:ascii="仿宋_GB2312" w:eastAsia="仿宋_GB2312"/>
          <w:sz w:val="28"/>
          <w:szCs w:val="28"/>
          <w:lang w:val="en-US" w:eastAsia="zh-CN"/>
        </w:rPr>
      </w:pPr>
      <w:r>
        <w:rPr>
          <w:rFonts w:hint="eastAsia" w:ascii="仿宋_GB2312" w:eastAsia="仿宋_GB2312"/>
          <w:sz w:val="28"/>
          <w:szCs w:val="28"/>
        </w:rPr>
        <w:t>广东省广州市</w:t>
      </w:r>
      <w:r>
        <w:rPr>
          <w:rFonts w:hint="eastAsia" w:ascii="仿宋_GB2312" w:eastAsia="仿宋_GB2312"/>
          <w:sz w:val="28"/>
          <w:szCs w:val="28"/>
          <w:lang w:eastAsia="zh-CN"/>
        </w:rPr>
        <w:t>天河区和佛山市南海区</w:t>
      </w:r>
    </w:p>
    <w:p>
      <w:pPr>
        <w:ind w:firstLine="0" w:firstLineChars="0"/>
        <w:rPr>
          <w:b/>
        </w:rPr>
      </w:pPr>
    </w:p>
    <w:p>
      <w:pPr>
        <w:ind w:firstLine="0" w:firstLineChars="0"/>
        <w:jc w:val="center"/>
        <w:outlineLvl w:val="0"/>
        <w:rPr>
          <w:rFonts w:ascii="黑体" w:hAnsi="黑体" w:eastAsia="黑体" w:cs="黑体"/>
          <w:bCs/>
        </w:rPr>
      </w:pPr>
      <w:bookmarkStart w:id="19" w:name="_Toc4380"/>
      <w:r>
        <w:rPr>
          <w:rFonts w:hint="eastAsia" w:ascii="黑体" w:hAnsi="黑体" w:eastAsia="黑体" w:cs="黑体"/>
          <w:bCs/>
        </w:rPr>
        <w:t>第四章 采购要求</w:t>
      </w:r>
      <w:bookmarkEnd w:id="19"/>
    </w:p>
    <w:p>
      <w:pPr>
        <w:ind w:left="641" w:firstLine="0" w:firstLineChars="0"/>
        <w:outlineLvl w:val="1"/>
        <w:rPr>
          <w:b/>
        </w:rPr>
      </w:pPr>
      <w:bookmarkStart w:id="20" w:name="_Toc27986"/>
      <w:r>
        <w:rPr>
          <w:rFonts w:hint="eastAsia"/>
          <w:b/>
        </w:rPr>
        <w:t>4.1</w:t>
      </w:r>
      <w:bookmarkEnd w:id="20"/>
      <w:bookmarkStart w:id="21" w:name="_Toc17970"/>
      <w:r>
        <w:rPr>
          <w:rFonts w:hint="eastAsia"/>
          <w:b/>
        </w:rPr>
        <w:t>项目预算</w:t>
      </w:r>
      <w:bookmarkEnd w:id="21"/>
    </w:p>
    <w:p>
      <w:pPr>
        <w:ind w:left="641" w:firstLine="0" w:firstLineChars="0"/>
        <w:rPr>
          <w:rFonts w:ascii="仿宋_GB2312" w:eastAsia="仿宋_GB2312"/>
          <w:sz w:val="28"/>
          <w:szCs w:val="28"/>
        </w:rPr>
      </w:pPr>
      <w:r>
        <w:rPr>
          <w:rFonts w:hint="eastAsia" w:ascii="仿宋_GB2312" w:eastAsia="仿宋_GB2312"/>
          <w:sz w:val="28"/>
          <w:szCs w:val="28"/>
        </w:rPr>
        <w:t>本项目预算金额6</w:t>
      </w:r>
      <w:r>
        <w:rPr>
          <w:rFonts w:hint="eastAsia" w:ascii="仿宋_GB2312" w:eastAsia="仿宋_GB2312"/>
          <w:sz w:val="28"/>
          <w:szCs w:val="28"/>
          <w:lang w:val="en-US" w:eastAsia="zh-CN"/>
        </w:rPr>
        <w:t>25</w:t>
      </w:r>
      <w:r>
        <w:rPr>
          <w:rFonts w:hint="eastAsia" w:ascii="仿宋_GB2312" w:eastAsia="仿宋_GB2312"/>
          <w:sz w:val="28"/>
          <w:szCs w:val="28"/>
        </w:rPr>
        <w:t>.</w:t>
      </w:r>
      <w:r>
        <w:rPr>
          <w:rFonts w:hint="eastAsia" w:ascii="仿宋_GB2312" w:eastAsia="仿宋_GB2312"/>
          <w:sz w:val="28"/>
          <w:szCs w:val="28"/>
          <w:lang w:val="en-US" w:eastAsia="zh-CN"/>
        </w:rPr>
        <w:t>37</w:t>
      </w:r>
      <w:r>
        <w:rPr>
          <w:rFonts w:hint="eastAsia" w:ascii="仿宋_GB2312" w:eastAsia="仿宋_GB2312"/>
          <w:sz w:val="28"/>
          <w:szCs w:val="28"/>
        </w:rPr>
        <w:t>万元。</w:t>
      </w:r>
    </w:p>
    <w:p>
      <w:pPr>
        <w:ind w:left="641" w:firstLine="0" w:firstLineChars="0"/>
        <w:outlineLvl w:val="1"/>
        <w:rPr>
          <w:b/>
          <w:bCs/>
        </w:rPr>
      </w:pPr>
      <w:bookmarkStart w:id="22" w:name="_Toc22783"/>
      <w:r>
        <w:rPr>
          <w:rFonts w:hint="eastAsia"/>
          <w:b/>
          <w:bCs/>
        </w:rPr>
        <w:t>4.2付款方式</w:t>
      </w:r>
      <w:bookmarkEnd w:id="22"/>
    </w:p>
    <w:p>
      <w:pPr>
        <w:ind w:left="641" w:firstLine="0" w:firstLineChars="0"/>
        <w:rPr>
          <w:rFonts w:ascii="仿宋_GB2312" w:eastAsia="仿宋_GB2312"/>
          <w:sz w:val="28"/>
          <w:szCs w:val="28"/>
        </w:rPr>
      </w:pPr>
      <w:r>
        <w:rPr>
          <w:rFonts w:hint="eastAsia" w:ascii="仿宋_GB2312" w:eastAsia="仿宋_GB2312"/>
          <w:sz w:val="28"/>
          <w:szCs w:val="28"/>
        </w:rPr>
        <w:t>本项目分</w:t>
      </w:r>
      <w:r>
        <w:rPr>
          <w:rFonts w:hint="eastAsia" w:ascii="仿宋_GB2312" w:eastAsia="仿宋_GB2312"/>
          <w:sz w:val="28"/>
          <w:szCs w:val="28"/>
          <w:lang w:val="en-US" w:eastAsia="zh-CN"/>
        </w:rPr>
        <w:t>2</w:t>
      </w:r>
      <w:r>
        <w:rPr>
          <w:rFonts w:hint="eastAsia" w:ascii="仿宋_GB2312" w:eastAsia="仿宋_GB2312"/>
          <w:sz w:val="28"/>
          <w:szCs w:val="28"/>
        </w:rPr>
        <w:t>次付款，付款进度及付款条件如下：</w:t>
      </w:r>
    </w:p>
    <w:p>
      <w:pPr>
        <w:ind w:firstLine="619"/>
        <w:rPr>
          <w:rFonts w:ascii="仿宋_GB2312" w:eastAsia="仿宋_GB2312"/>
          <w:sz w:val="28"/>
          <w:szCs w:val="28"/>
        </w:rPr>
      </w:pPr>
      <w:r>
        <w:rPr>
          <w:rFonts w:hint="eastAsia" w:ascii="仿宋_GB2312" w:eastAsia="仿宋_GB2312"/>
          <w:sz w:val="28"/>
          <w:szCs w:val="28"/>
        </w:rPr>
        <w:t>第一次付款：在签订合同后，收到等额发票后的30天内，支付合同总价的50%。</w:t>
      </w:r>
    </w:p>
    <w:p>
      <w:pPr>
        <w:ind w:firstLine="619"/>
        <w:rPr>
          <w:i/>
          <w:iCs/>
        </w:rPr>
      </w:pPr>
      <w:r>
        <w:rPr>
          <w:rFonts w:hint="eastAsia" w:ascii="仿宋_GB2312" w:eastAsia="仿宋_GB2312"/>
          <w:sz w:val="28"/>
          <w:szCs w:val="28"/>
        </w:rPr>
        <w:t>第二次付款：合同实施完成且通过验收后，收到等额发票后的30天内，支付合同总价的</w:t>
      </w:r>
      <w:r>
        <w:rPr>
          <w:rFonts w:hint="eastAsia" w:ascii="仿宋_GB2312" w:eastAsia="仿宋_GB2312"/>
          <w:sz w:val="28"/>
          <w:szCs w:val="28"/>
          <w:lang w:val="en-US" w:eastAsia="zh-CN"/>
        </w:rPr>
        <w:t>50</w:t>
      </w:r>
      <w:r>
        <w:rPr>
          <w:rFonts w:hint="eastAsia" w:ascii="仿宋_GB2312" w:eastAsia="仿宋_GB2312"/>
          <w:sz w:val="28"/>
          <w:szCs w:val="28"/>
        </w:rPr>
        <w:t>%。</w:t>
      </w:r>
      <w:bookmarkStart w:id="23" w:name="_GoBack"/>
      <w:bookmarkEnd w:id="23"/>
    </w:p>
    <w:sectPr>
      <w:headerReference r:id="rId5" w:type="default"/>
      <w:footerReference r:id="rId6" w:type="default"/>
      <w:pgSz w:w="11906" w:h="16838"/>
      <w:pgMar w:top="1440" w:right="1800" w:bottom="1440" w:left="1800" w:header="851" w:footer="992" w:gutter="0"/>
      <w:pgNumType w:start="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707"/>
      </w:pPr>
      <w:r>
        <w:separator/>
      </w:r>
    </w:p>
  </w:endnote>
  <w:endnote w:type="continuationSeparator" w:id="1">
    <w:p>
      <w:pPr>
        <w:ind w:firstLine="707"/>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3"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方正小标宋简体">
    <w:altName w:val="Arial Unicode MS"/>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98"/>
    </w:pPr>
    <w:r>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u9gqJIgIAADc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meQrMh36MKmrc+lJit2261vd&#10;2uqITr09UyU4vm5QyoaF+Mg8uIHywff4gEMqi5S2lyiprf/0t/fkj5HBSkkLrpXUYBkoUW8NRplo&#10;OQh+ELaDYPb6zoK8E+yR41nEBx/VIEpv9UcswSrlkEwFBGaGIxsGNYh3EVpvxDJxsVpd9L3zza6+&#10;fgYxHYsb8+R4P+qEXnCrfQTaeQgJszNQGF5SwM48xn6TEv1/1bPXdd+XP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WAAAAZHJzL1BLAQIU&#10;ABQAAAAIAIdO4kCzSVju0AAAAAUBAAAPAAAAAAAAAAEAIAAAADgAAABkcnMvZG93bnJldi54bWxQ&#10;SwECFAAUAAAACACHTuJA7vYKiSICAAA3BAAADgAAAAAAAAABACAAAAA1AQAAZHJzL2Uyb0RvYy54&#10;bWxQSwUGAAAAAAYABgBZAQAAyQUAAAAA&#10;">
          <v:path/>
          <v:fill on="f" focussize="0,0"/>
          <v:stroke on="f" weight="0.5pt" joinstyle="miter"/>
          <v:imagedata o:title=""/>
          <o:lock v:ext="edit"/>
          <v:textbox inset="0mm,0mm,0mm,0mm" style="mso-fit-shape-to-text:t;">
            <w:txbxContent>
              <w:p>
                <w:pPr>
                  <w:pStyle w:val="15"/>
                  <w:ind w:firstLine="398"/>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707"/>
      </w:pPr>
      <w:r>
        <w:separator/>
      </w:r>
    </w:p>
  </w:footnote>
  <w:footnote w:type="continuationSeparator" w:id="1">
    <w:p>
      <w:pPr>
        <w:ind w:firstLine="707"/>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single" w:color="auto" w:sz="4" w:space="0"/>
      </w:pBdr>
      <w:ind w:firstLine="398"/>
    </w:pPr>
    <w:r>
      <w:rPr>
        <w:rFonts w:hint="eastAsia"/>
      </w:rPr>
      <w:t>广东税务2022年高端存储扩容项目采购需求</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7B6FDBB"/>
    <w:multiLevelType w:val="singleLevel"/>
    <w:tmpl w:val="27B6FDBB"/>
    <w:lvl w:ilvl="0" w:tentative="0">
      <w:start w:val="2"/>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documentProtection w:enforcement="0"/>
  <w:defaultTabStop w:val="420"/>
  <w:drawingGridVerticalSpacing w:val="156"/>
  <w:noPunctuationKerning w:val="1"/>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2F26FD"/>
    <w:rsid w:val="000B34E1"/>
    <w:rsid w:val="000E656A"/>
    <w:rsid w:val="00194938"/>
    <w:rsid w:val="001D075C"/>
    <w:rsid w:val="001E0021"/>
    <w:rsid w:val="00255A93"/>
    <w:rsid w:val="002C4553"/>
    <w:rsid w:val="002D4DCC"/>
    <w:rsid w:val="002F26FD"/>
    <w:rsid w:val="00335527"/>
    <w:rsid w:val="0038691E"/>
    <w:rsid w:val="004C1CF2"/>
    <w:rsid w:val="00542DD4"/>
    <w:rsid w:val="005B33A3"/>
    <w:rsid w:val="005C52E0"/>
    <w:rsid w:val="00621E4E"/>
    <w:rsid w:val="007E5A59"/>
    <w:rsid w:val="008328E6"/>
    <w:rsid w:val="0083411B"/>
    <w:rsid w:val="00875A7E"/>
    <w:rsid w:val="008E7DBA"/>
    <w:rsid w:val="00A066D2"/>
    <w:rsid w:val="00AA5CFF"/>
    <w:rsid w:val="00BC57C4"/>
    <w:rsid w:val="00BE6FF1"/>
    <w:rsid w:val="00C236B9"/>
    <w:rsid w:val="00C30F41"/>
    <w:rsid w:val="00D23A40"/>
    <w:rsid w:val="00D671B6"/>
    <w:rsid w:val="00E45402"/>
    <w:rsid w:val="00E65840"/>
    <w:rsid w:val="00F5730F"/>
    <w:rsid w:val="00FD7C02"/>
    <w:rsid w:val="011713EA"/>
    <w:rsid w:val="01693593"/>
    <w:rsid w:val="026908AC"/>
    <w:rsid w:val="040A2109"/>
    <w:rsid w:val="04417E43"/>
    <w:rsid w:val="056F3D4A"/>
    <w:rsid w:val="05B862FB"/>
    <w:rsid w:val="09917A47"/>
    <w:rsid w:val="09CE2A24"/>
    <w:rsid w:val="0D31602F"/>
    <w:rsid w:val="10F41CCE"/>
    <w:rsid w:val="11702D10"/>
    <w:rsid w:val="117B7C49"/>
    <w:rsid w:val="144E7AFC"/>
    <w:rsid w:val="15371FA5"/>
    <w:rsid w:val="15FE01E7"/>
    <w:rsid w:val="19095AE9"/>
    <w:rsid w:val="1A424637"/>
    <w:rsid w:val="1BD80D97"/>
    <w:rsid w:val="1BE80ECC"/>
    <w:rsid w:val="1C136809"/>
    <w:rsid w:val="1C5A0007"/>
    <w:rsid w:val="1D100636"/>
    <w:rsid w:val="20E95F5C"/>
    <w:rsid w:val="22021E5D"/>
    <w:rsid w:val="25512511"/>
    <w:rsid w:val="2562502E"/>
    <w:rsid w:val="26F01B4F"/>
    <w:rsid w:val="2818228D"/>
    <w:rsid w:val="29FFFC6F"/>
    <w:rsid w:val="2A1D28CF"/>
    <w:rsid w:val="2B15282E"/>
    <w:rsid w:val="2F8F6F86"/>
    <w:rsid w:val="32BE35F6"/>
    <w:rsid w:val="351B4476"/>
    <w:rsid w:val="35217E32"/>
    <w:rsid w:val="358D2DAD"/>
    <w:rsid w:val="35BE196B"/>
    <w:rsid w:val="377B564A"/>
    <w:rsid w:val="3A6E6301"/>
    <w:rsid w:val="3BE15E2A"/>
    <w:rsid w:val="3DEB62C2"/>
    <w:rsid w:val="3E053371"/>
    <w:rsid w:val="3E5F4425"/>
    <w:rsid w:val="3EA55EC4"/>
    <w:rsid w:val="41A46ED9"/>
    <w:rsid w:val="41B44B3A"/>
    <w:rsid w:val="42115FA0"/>
    <w:rsid w:val="421A26C7"/>
    <w:rsid w:val="42675CCF"/>
    <w:rsid w:val="461444AC"/>
    <w:rsid w:val="48FB215E"/>
    <w:rsid w:val="4C931831"/>
    <w:rsid w:val="4DF73200"/>
    <w:rsid w:val="4F962A4B"/>
    <w:rsid w:val="4FC620F9"/>
    <w:rsid w:val="514E093C"/>
    <w:rsid w:val="52F3577B"/>
    <w:rsid w:val="535868D6"/>
    <w:rsid w:val="56DE0B49"/>
    <w:rsid w:val="5BF91863"/>
    <w:rsid w:val="5D290B29"/>
    <w:rsid w:val="5DAC1F0E"/>
    <w:rsid w:val="612C1949"/>
    <w:rsid w:val="627C7242"/>
    <w:rsid w:val="629372D3"/>
    <w:rsid w:val="62C76972"/>
    <w:rsid w:val="640B79DB"/>
    <w:rsid w:val="645127D1"/>
    <w:rsid w:val="6862748D"/>
    <w:rsid w:val="6922172A"/>
    <w:rsid w:val="6A772BC2"/>
    <w:rsid w:val="6B3D59FE"/>
    <w:rsid w:val="6B72A4A8"/>
    <w:rsid w:val="6D494050"/>
    <w:rsid w:val="6D8E780D"/>
    <w:rsid w:val="6FB96A12"/>
    <w:rsid w:val="71B8710C"/>
    <w:rsid w:val="772B2900"/>
    <w:rsid w:val="77465633"/>
    <w:rsid w:val="7A951EF5"/>
    <w:rsid w:val="7B744D35"/>
    <w:rsid w:val="7CE150B2"/>
    <w:rsid w:val="7DC9163C"/>
    <w:rsid w:val="7E6F71BC"/>
    <w:rsid w:val="7E89551D"/>
    <w:rsid w:val="7E9C3D09"/>
    <w:rsid w:val="7F3C150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iPriority="99" w:semiHidden="0"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ind w:firstLine="707" w:firstLineChars="221"/>
    </w:pPr>
    <w:rPr>
      <w:rFonts w:ascii="仿宋" w:hAnsi="仿宋" w:eastAsia="仿宋" w:cs="Times New Roman"/>
      <w:sz w:val="32"/>
      <w:szCs w:val="32"/>
      <w:lang w:val="en-US" w:eastAsia="zh-CN" w:bidi="ar-SA"/>
    </w:rPr>
  </w:style>
  <w:style w:type="paragraph" w:styleId="4">
    <w:name w:val="heading 1"/>
    <w:basedOn w:val="1"/>
    <w:next w:val="1"/>
    <w:link w:val="30"/>
    <w:qFormat/>
    <w:uiPriority w:val="9"/>
    <w:pPr>
      <w:keepNext/>
      <w:spacing w:before="240" w:after="60"/>
      <w:outlineLvl w:val="0"/>
    </w:pPr>
    <w:rPr>
      <w:rFonts w:ascii="黑体" w:hAnsi="黑体" w:eastAsia="黑体" w:cstheme="majorBidi"/>
      <w:bCs/>
      <w:kern w:val="32"/>
    </w:rPr>
  </w:style>
  <w:style w:type="paragraph" w:styleId="5">
    <w:name w:val="heading 2"/>
    <w:basedOn w:val="1"/>
    <w:next w:val="1"/>
    <w:link w:val="31"/>
    <w:unhideWhenUsed/>
    <w:qFormat/>
    <w:uiPriority w:val="9"/>
    <w:pPr>
      <w:keepNext/>
      <w:spacing w:before="240" w:after="60"/>
      <w:outlineLvl w:val="1"/>
    </w:pPr>
    <w:rPr>
      <w:rFonts w:asciiTheme="majorHAnsi" w:hAnsiTheme="majorHAnsi" w:eastAsiaTheme="majorEastAsia" w:cstheme="majorBidi"/>
      <w:b/>
      <w:bCs/>
      <w:i/>
      <w:iCs/>
      <w:sz w:val="28"/>
      <w:szCs w:val="28"/>
    </w:rPr>
  </w:style>
  <w:style w:type="paragraph" w:styleId="6">
    <w:name w:val="heading 3"/>
    <w:basedOn w:val="1"/>
    <w:next w:val="1"/>
    <w:link w:val="32"/>
    <w:unhideWhenUsed/>
    <w:qFormat/>
    <w:uiPriority w:val="9"/>
    <w:pPr>
      <w:keepNext/>
      <w:spacing w:before="240" w:after="60"/>
      <w:outlineLvl w:val="2"/>
    </w:pPr>
    <w:rPr>
      <w:rFonts w:asciiTheme="majorHAnsi" w:hAnsiTheme="majorHAnsi" w:eastAsiaTheme="majorEastAsia" w:cstheme="majorBidi"/>
      <w:b/>
      <w:bCs/>
      <w:sz w:val="26"/>
      <w:szCs w:val="26"/>
    </w:rPr>
  </w:style>
  <w:style w:type="paragraph" w:styleId="7">
    <w:name w:val="heading 4"/>
    <w:basedOn w:val="1"/>
    <w:next w:val="1"/>
    <w:link w:val="33"/>
    <w:unhideWhenUsed/>
    <w:qFormat/>
    <w:uiPriority w:val="9"/>
    <w:pPr>
      <w:keepNext/>
      <w:spacing w:before="240" w:after="60"/>
      <w:outlineLvl w:val="3"/>
    </w:pPr>
    <w:rPr>
      <w:rFonts w:asciiTheme="minorHAnsi" w:hAnsiTheme="minorHAnsi" w:eastAsiaTheme="minorEastAsia" w:cstheme="majorBidi"/>
      <w:b/>
      <w:bCs/>
      <w:sz w:val="28"/>
      <w:szCs w:val="28"/>
    </w:rPr>
  </w:style>
  <w:style w:type="paragraph" w:styleId="8">
    <w:name w:val="heading 5"/>
    <w:basedOn w:val="1"/>
    <w:next w:val="1"/>
    <w:link w:val="34"/>
    <w:unhideWhenUsed/>
    <w:qFormat/>
    <w:uiPriority w:val="9"/>
    <w:pPr>
      <w:spacing w:before="240" w:after="60"/>
      <w:outlineLvl w:val="4"/>
    </w:pPr>
    <w:rPr>
      <w:rFonts w:asciiTheme="minorHAnsi" w:hAnsiTheme="minorHAnsi" w:eastAsiaTheme="minorEastAsia" w:cstheme="majorBidi"/>
      <w:b/>
      <w:bCs/>
      <w:i/>
      <w:iCs/>
      <w:sz w:val="26"/>
      <w:szCs w:val="26"/>
    </w:rPr>
  </w:style>
  <w:style w:type="paragraph" w:styleId="9">
    <w:name w:val="heading 6"/>
    <w:basedOn w:val="1"/>
    <w:next w:val="1"/>
    <w:link w:val="35"/>
    <w:unhideWhenUsed/>
    <w:qFormat/>
    <w:uiPriority w:val="9"/>
    <w:pPr>
      <w:spacing w:before="240" w:after="60"/>
      <w:outlineLvl w:val="5"/>
    </w:pPr>
    <w:rPr>
      <w:rFonts w:asciiTheme="minorHAnsi" w:hAnsiTheme="minorHAnsi" w:eastAsiaTheme="minorEastAsia" w:cstheme="majorBidi"/>
      <w:b/>
      <w:bCs/>
      <w:sz w:val="22"/>
      <w:szCs w:val="22"/>
    </w:rPr>
  </w:style>
  <w:style w:type="paragraph" w:styleId="10">
    <w:name w:val="heading 7"/>
    <w:basedOn w:val="1"/>
    <w:next w:val="1"/>
    <w:link w:val="36"/>
    <w:unhideWhenUsed/>
    <w:qFormat/>
    <w:uiPriority w:val="9"/>
    <w:pPr>
      <w:spacing w:before="240" w:after="60"/>
      <w:outlineLvl w:val="6"/>
    </w:pPr>
    <w:rPr>
      <w:rFonts w:asciiTheme="minorHAnsi" w:hAnsiTheme="minorHAnsi" w:eastAsiaTheme="minorEastAsia" w:cstheme="majorBidi"/>
      <w:sz w:val="24"/>
      <w:szCs w:val="24"/>
    </w:rPr>
  </w:style>
  <w:style w:type="paragraph" w:styleId="11">
    <w:name w:val="heading 8"/>
    <w:basedOn w:val="1"/>
    <w:next w:val="1"/>
    <w:link w:val="37"/>
    <w:unhideWhenUsed/>
    <w:qFormat/>
    <w:uiPriority w:val="9"/>
    <w:pPr>
      <w:spacing w:before="240" w:after="60"/>
      <w:outlineLvl w:val="7"/>
    </w:pPr>
    <w:rPr>
      <w:rFonts w:asciiTheme="minorHAnsi" w:hAnsiTheme="minorHAnsi" w:eastAsiaTheme="minorEastAsia" w:cstheme="majorBidi"/>
      <w:i/>
      <w:iCs/>
      <w:sz w:val="24"/>
      <w:szCs w:val="24"/>
    </w:rPr>
  </w:style>
  <w:style w:type="paragraph" w:styleId="12">
    <w:name w:val="heading 9"/>
    <w:basedOn w:val="1"/>
    <w:next w:val="1"/>
    <w:link w:val="38"/>
    <w:unhideWhenUsed/>
    <w:qFormat/>
    <w:uiPriority w:val="9"/>
    <w:pPr>
      <w:spacing w:before="240" w:after="60"/>
      <w:outlineLvl w:val="8"/>
    </w:pPr>
    <w:rPr>
      <w:rFonts w:asciiTheme="majorHAnsi" w:hAnsiTheme="majorHAnsi" w:eastAsiaTheme="majorEastAsia" w:cstheme="majorBidi"/>
      <w:sz w:val="22"/>
      <w:szCs w:val="22"/>
    </w:rPr>
  </w:style>
  <w:style w:type="character" w:default="1" w:styleId="24">
    <w:name w:val="Default Paragraph Font"/>
    <w:unhideWhenUsed/>
    <w:qFormat/>
    <w:uiPriority w:val="1"/>
  </w:style>
  <w:style w:type="table" w:default="1" w:styleId="22">
    <w:name w:val="Normal Table"/>
    <w:unhideWhenUsed/>
    <w:qFormat/>
    <w:uiPriority w:val="99"/>
    <w:tblPr>
      <w:tblCellMar>
        <w:top w:w="0" w:type="dxa"/>
        <w:left w:w="108" w:type="dxa"/>
        <w:bottom w:w="0" w:type="dxa"/>
        <w:right w:w="108" w:type="dxa"/>
      </w:tblCellMar>
    </w:tblPr>
  </w:style>
  <w:style w:type="paragraph" w:styleId="2">
    <w:name w:val="Body Text"/>
    <w:basedOn w:val="1"/>
    <w:next w:val="3"/>
    <w:unhideWhenUsed/>
    <w:qFormat/>
    <w:uiPriority w:val="0"/>
    <w:pPr>
      <w:spacing w:line="360" w:lineRule="auto"/>
    </w:pPr>
    <w:rPr>
      <w:szCs w:val="20"/>
    </w:rPr>
  </w:style>
  <w:style w:type="paragraph" w:styleId="3">
    <w:name w:val="Body Text 2"/>
    <w:basedOn w:val="1"/>
    <w:unhideWhenUsed/>
    <w:qFormat/>
    <w:uiPriority w:val="99"/>
    <w:pPr>
      <w:spacing w:after="120" w:line="480" w:lineRule="auto"/>
    </w:pPr>
  </w:style>
  <w:style w:type="paragraph" w:styleId="13">
    <w:name w:val="annotation text"/>
    <w:basedOn w:val="1"/>
    <w:link w:val="59"/>
    <w:qFormat/>
    <w:uiPriority w:val="0"/>
  </w:style>
  <w:style w:type="paragraph" w:styleId="14">
    <w:name w:val="Balloon Text"/>
    <w:basedOn w:val="1"/>
    <w:link w:val="58"/>
    <w:unhideWhenUsed/>
    <w:qFormat/>
    <w:uiPriority w:val="99"/>
    <w:rPr>
      <w:sz w:val="18"/>
      <w:szCs w:val="18"/>
    </w:rPr>
  </w:style>
  <w:style w:type="paragraph" w:styleId="15">
    <w:name w:val="footer"/>
    <w:basedOn w:val="1"/>
    <w:link w:val="55"/>
    <w:unhideWhenUsed/>
    <w:qFormat/>
    <w:uiPriority w:val="99"/>
    <w:pPr>
      <w:tabs>
        <w:tab w:val="center" w:pos="4153"/>
        <w:tab w:val="right" w:pos="8306"/>
      </w:tabs>
      <w:snapToGrid w:val="0"/>
    </w:pPr>
    <w:rPr>
      <w:sz w:val="18"/>
      <w:szCs w:val="18"/>
    </w:rPr>
  </w:style>
  <w:style w:type="paragraph" w:styleId="16">
    <w:name w:val="header"/>
    <w:basedOn w:val="1"/>
    <w:link w:val="54"/>
    <w:unhideWhenUsed/>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unhideWhenUsed/>
    <w:qFormat/>
    <w:uiPriority w:val="39"/>
  </w:style>
  <w:style w:type="paragraph" w:styleId="18">
    <w:name w:val="Subtitle"/>
    <w:basedOn w:val="1"/>
    <w:next w:val="1"/>
    <w:link w:val="40"/>
    <w:qFormat/>
    <w:uiPriority w:val="11"/>
    <w:pPr>
      <w:spacing w:after="60"/>
      <w:jc w:val="center"/>
      <w:outlineLvl w:val="1"/>
    </w:pPr>
    <w:rPr>
      <w:rFonts w:asciiTheme="majorHAnsi" w:hAnsiTheme="majorHAnsi" w:eastAsiaTheme="majorEastAsia" w:cstheme="majorBidi"/>
      <w:sz w:val="24"/>
      <w:szCs w:val="24"/>
    </w:rPr>
  </w:style>
  <w:style w:type="paragraph" w:styleId="19">
    <w:name w:val="toc 2"/>
    <w:basedOn w:val="1"/>
    <w:next w:val="1"/>
    <w:unhideWhenUsed/>
    <w:qFormat/>
    <w:uiPriority w:val="39"/>
    <w:pPr>
      <w:ind w:left="420" w:leftChars="200"/>
    </w:pPr>
  </w:style>
  <w:style w:type="paragraph" w:styleId="20">
    <w:name w:val="Title"/>
    <w:basedOn w:val="1"/>
    <w:next w:val="1"/>
    <w:link w:val="39"/>
    <w:qFormat/>
    <w:uiPriority w:val="10"/>
    <w:pPr>
      <w:spacing w:before="240" w:after="60"/>
      <w:ind w:firstLine="0" w:firstLineChars="0"/>
      <w:jc w:val="center"/>
      <w:outlineLvl w:val="0"/>
    </w:pPr>
    <w:rPr>
      <w:rFonts w:asciiTheme="majorHAnsi" w:hAnsiTheme="majorHAnsi" w:eastAsiaTheme="majorEastAsia" w:cstheme="majorBidi"/>
      <w:b/>
      <w:bCs/>
      <w:kern w:val="28"/>
      <w:sz w:val="36"/>
    </w:rPr>
  </w:style>
  <w:style w:type="paragraph" w:styleId="21">
    <w:name w:val="annotation subject"/>
    <w:basedOn w:val="13"/>
    <w:next w:val="13"/>
    <w:link w:val="60"/>
    <w:unhideWhenUsed/>
    <w:qFormat/>
    <w:uiPriority w:val="99"/>
    <w:rPr>
      <w:b/>
      <w:bCs/>
    </w:rPr>
  </w:style>
  <w:style w:type="table" w:styleId="23">
    <w:name w:val="Table Grid"/>
    <w:basedOn w:val="2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4"/>
    <w:qFormat/>
    <w:uiPriority w:val="22"/>
    <w:rPr>
      <w:b/>
      <w:bCs/>
    </w:rPr>
  </w:style>
  <w:style w:type="character" w:styleId="26">
    <w:name w:val="FollowedHyperlink"/>
    <w:basedOn w:val="24"/>
    <w:unhideWhenUsed/>
    <w:qFormat/>
    <w:uiPriority w:val="99"/>
    <w:rPr>
      <w:color w:val="3894C1"/>
      <w:u w:val="none"/>
    </w:rPr>
  </w:style>
  <w:style w:type="character" w:styleId="27">
    <w:name w:val="Emphasis"/>
    <w:basedOn w:val="24"/>
    <w:qFormat/>
    <w:uiPriority w:val="20"/>
    <w:rPr>
      <w:rFonts w:asciiTheme="minorHAnsi" w:hAnsiTheme="minorHAnsi"/>
      <w:b/>
      <w:i/>
      <w:iCs/>
    </w:rPr>
  </w:style>
  <w:style w:type="character" w:styleId="28">
    <w:name w:val="Hyperlink"/>
    <w:basedOn w:val="24"/>
    <w:unhideWhenUsed/>
    <w:qFormat/>
    <w:uiPriority w:val="99"/>
    <w:rPr>
      <w:color w:val="3894C1"/>
      <w:u w:val="none"/>
    </w:rPr>
  </w:style>
  <w:style w:type="character" w:styleId="29">
    <w:name w:val="annotation reference"/>
    <w:basedOn w:val="24"/>
    <w:unhideWhenUsed/>
    <w:qFormat/>
    <w:uiPriority w:val="99"/>
    <w:rPr>
      <w:sz w:val="21"/>
      <w:szCs w:val="21"/>
    </w:rPr>
  </w:style>
  <w:style w:type="character" w:customStyle="1" w:styleId="30">
    <w:name w:val="标题 1 Char"/>
    <w:basedOn w:val="24"/>
    <w:link w:val="4"/>
    <w:qFormat/>
    <w:uiPriority w:val="9"/>
    <w:rPr>
      <w:rFonts w:ascii="黑体" w:hAnsi="黑体" w:eastAsia="黑体" w:cstheme="majorBidi"/>
      <w:bCs/>
      <w:kern w:val="32"/>
      <w:sz w:val="32"/>
      <w:szCs w:val="32"/>
    </w:rPr>
  </w:style>
  <w:style w:type="character" w:customStyle="1" w:styleId="31">
    <w:name w:val="标题 2 Char"/>
    <w:basedOn w:val="24"/>
    <w:link w:val="5"/>
    <w:semiHidden/>
    <w:qFormat/>
    <w:uiPriority w:val="9"/>
    <w:rPr>
      <w:rFonts w:asciiTheme="majorHAnsi" w:hAnsiTheme="majorHAnsi" w:eastAsiaTheme="majorEastAsia" w:cstheme="majorBidi"/>
      <w:b/>
      <w:bCs/>
      <w:i/>
      <w:iCs/>
      <w:sz w:val="28"/>
      <w:szCs w:val="28"/>
    </w:rPr>
  </w:style>
  <w:style w:type="character" w:customStyle="1" w:styleId="32">
    <w:name w:val="标题 3 Char"/>
    <w:basedOn w:val="24"/>
    <w:link w:val="6"/>
    <w:semiHidden/>
    <w:qFormat/>
    <w:uiPriority w:val="9"/>
    <w:rPr>
      <w:rFonts w:asciiTheme="majorHAnsi" w:hAnsiTheme="majorHAnsi" w:eastAsiaTheme="majorEastAsia" w:cstheme="majorBidi"/>
      <w:b/>
      <w:bCs/>
      <w:sz w:val="26"/>
      <w:szCs w:val="26"/>
    </w:rPr>
  </w:style>
  <w:style w:type="character" w:customStyle="1" w:styleId="33">
    <w:name w:val="标题 4 Char"/>
    <w:basedOn w:val="24"/>
    <w:link w:val="7"/>
    <w:semiHidden/>
    <w:qFormat/>
    <w:uiPriority w:val="9"/>
    <w:rPr>
      <w:rFonts w:cstheme="majorBidi"/>
      <w:b/>
      <w:bCs/>
      <w:sz w:val="28"/>
      <w:szCs w:val="28"/>
    </w:rPr>
  </w:style>
  <w:style w:type="character" w:customStyle="1" w:styleId="34">
    <w:name w:val="标题 5 Char"/>
    <w:basedOn w:val="24"/>
    <w:link w:val="8"/>
    <w:semiHidden/>
    <w:qFormat/>
    <w:uiPriority w:val="9"/>
    <w:rPr>
      <w:rFonts w:cstheme="majorBidi"/>
      <w:b/>
      <w:bCs/>
      <w:i/>
      <w:iCs/>
      <w:sz w:val="26"/>
      <w:szCs w:val="26"/>
    </w:rPr>
  </w:style>
  <w:style w:type="character" w:customStyle="1" w:styleId="35">
    <w:name w:val="标题 6 Char"/>
    <w:basedOn w:val="24"/>
    <w:link w:val="9"/>
    <w:semiHidden/>
    <w:qFormat/>
    <w:uiPriority w:val="9"/>
    <w:rPr>
      <w:rFonts w:cstheme="majorBidi"/>
      <w:b/>
      <w:bCs/>
    </w:rPr>
  </w:style>
  <w:style w:type="character" w:customStyle="1" w:styleId="36">
    <w:name w:val="标题 7 Char"/>
    <w:basedOn w:val="24"/>
    <w:link w:val="10"/>
    <w:semiHidden/>
    <w:qFormat/>
    <w:uiPriority w:val="9"/>
    <w:rPr>
      <w:rFonts w:cstheme="majorBidi"/>
      <w:sz w:val="24"/>
      <w:szCs w:val="24"/>
    </w:rPr>
  </w:style>
  <w:style w:type="character" w:customStyle="1" w:styleId="37">
    <w:name w:val="标题 8 Char"/>
    <w:basedOn w:val="24"/>
    <w:link w:val="11"/>
    <w:semiHidden/>
    <w:qFormat/>
    <w:uiPriority w:val="9"/>
    <w:rPr>
      <w:rFonts w:cstheme="majorBidi"/>
      <w:i/>
      <w:iCs/>
      <w:sz w:val="24"/>
      <w:szCs w:val="24"/>
    </w:rPr>
  </w:style>
  <w:style w:type="character" w:customStyle="1" w:styleId="38">
    <w:name w:val="标题 9 Char"/>
    <w:basedOn w:val="24"/>
    <w:link w:val="12"/>
    <w:semiHidden/>
    <w:qFormat/>
    <w:uiPriority w:val="9"/>
    <w:rPr>
      <w:rFonts w:asciiTheme="majorHAnsi" w:hAnsiTheme="majorHAnsi" w:eastAsiaTheme="majorEastAsia" w:cstheme="majorBidi"/>
    </w:rPr>
  </w:style>
  <w:style w:type="character" w:customStyle="1" w:styleId="39">
    <w:name w:val="标题 Char"/>
    <w:basedOn w:val="24"/>
    <w:link w:val="20"/>
    <w:qFormat/>
    <w:uiPriority w:val="10"/>
    <w:rPr>
      <w:rFonts w:asciiTheme="majorHAnsi" w:hAnsiTheme="majorHAnsi" w:eastAsiaTheme="majorEastAsia" w:cstheme="majorBidi"/>
      <w:b/>
      <w:bCs/>
      <w:kern w:val="28"/>
      <w:sz w:val="36"/>
      <w:szCs w:val="32"/>
    </w:rPr>
  </w:style>
  <w:style w:type="character" w:customStyle="1" w:styleId="40">
    <w:name w:val="副标题 Char"/>
    <w:basedOn w:val="24"/>
    <w:link w:val="18"/>
    <w:qFormat/>
    <w:uiPriority w:val="11"/>
    <w:rPr>
      <w:rFonts w:asciiTheme="majorHAnsi" w:hAnsiTheme="majorHAnsi" w:eastAsiaTheme="majorEastAsia" w:cstheme="majorBidi"/>
      <w:sz w:val="24"/>
      <w:szCs w:val="24"/>
    </w:rPr>
  </w:style>
  <w:style w:type="paragraph" w:customStyle="1" w:styleId="41">
    <w:name w:val="No Spacing"/>
    <w:basedOn w:val="1"/>
    <w:link w:val="42"/>
    <w:qFormat/>
    <w:uiPriority w:val="1"/>
    <w:rPr>
      <w:rFonts w:asciiTheme="minorHAnsi" w:hAnsiTheme="minorHAnsi" w:eastAsiaTheme="minorEastAsia"/>
      <w:sz w:val="24"/>
    </w:rPr>
  </w:style>
  <w:style w:type="character" w:customStyle="1" w:styleId="42">
    <w:name w:val="无间隔 Char"/>
    <w:basedOn w:val="24"/>
    <w:link w:val="41"/>
    <w:qFormat/>
    <w:uiPriority w:val="1"/>
    <w:rPr>
      <w:sz w:val="24"/>
      <w:szCs w:val="32"/>
    </w:rPr>
  </w:style>
  <w:style w:type="paragraph" w:customStyle="1" w:styleId="43">
    <w:name w:val="List Paragraph"/>
    <w:basedOn w:val="1"/>
    <w:qFormat/>
    <w:uiPriority w:val="34"/>
    <w:pPr>
      <w:ind w:left="720"/>
      <w:contextualSpacing/>
    </w:pPr>
  </w:style>
  <w:style w:type="paragraph" w:customStyle="1" w:styleId="44">
    <w:name w:val="Quote"/>
    <w:basedOn w:val="1"/>
    <w:next w:val="1"/>
    <w:link w:val="45"/>
    <w:qFormat/>
    <w:uiPriority w:val="29"/>
    <w:rPr>
      <w:rFonts w:asciiTheme="minorHAnsi" w:hAnsiTheme="minorHAnsi" w:eastAsiaTheme="minorEastAsia"/>
      <w:i/>
      <w:sz w:val="24"/>
      <w:szCs w:val="24"/>
    </w:rPr>
  </w:style>
  <w:style w:type="character" w:customStyle="1" w:styleId="45">
    <w:name w:val="引用 Char"/>
    <w:basedOn w:val="24"/>
    <w:link w:val="44"/>
    <w:qFormat/>
    <w:uiPriority w:val="29"/>
    <w:rPr>
      <w:i/>
      <w:sz w:val="24"/>
      <w:szCs w:val="24"/>
    </w:rPr>
  </w:style>
  <w:style w:type="paragraph" w:customStyle="1" w:styleId="46">
    <w:name w:val="Intense Quote"/>
    <w:basedOn w:val="1"/>
    <w:next w:val="1"/>
    <w:link w:val="47"/>
    <w:qFormat/>
    <w:uiPriority w:val="30"/>
    <w:pPr>
      <w:ind w:left="720" w:right="720"/>
    </w:pPr>
    <w:rPr>
      <w:rFonts w:asciiTheme="minorHAnsi" w:hAnsiTheme="minorHAnsi" w:eastAsiaTheme="minorEastAsia"/>
      <w:b/>
      <w:i/>
      <w:sz w:val="24"/>
      <w:szCs w:val="22"/>
    </w:rPr>
  </w:style>
  <w:style w:type="character" w:customStyle="1" w:styleId="47">
    <w:name w:val="明显引用 Char"/>
    <w:basedOn w:val="24"/>
    <w:link w:val="46"/>
    <w:qFormat/>
    <w:uiPriority w:val="30"/>
    <w:rPr>
      <w:b/>
      <w:i/>
      <w:sz w:val="24"/>
    </w:rPr>
  </w:style>
  <w:style w:type="character" w:customStyle="1" w:styleId="48">
    <w:name w:val="不明显强调1"/>
    <w:qFormat/>
    <w:uiPriority w:val="19"/>
    <w:rPr>
      <w:i/>
      <w:color w:val="585858" w:themeColor="text1" w:themeTint="A6"/>
    </w:rPr>
  </w:style>
  <w:style w:type="character" w:customStyle="1" w:styleId="49">
    <w:name w:val="明显强调1"/>
    <w:basedOn w:val="24"/>
    <w:qFormat/>
    <w:uiPriority w:val="21"/>
    <w:rPr>
      <w:b/>
      <w:i/>
      <w:sz w:val="24"/>
      <w:szCs w:val="24"/>
      <w:u w:val="single"/>
    </w:rPr>
  </w:style>
  <w:style w:type="character" w:customStyle="1" w:styleId="50">
    <w:name w:val="不明显参考1"/>
    <w:basedOn w:val="24"/>
    <w:qFormat/>
    <w:uiPriority w:val="31"/>
    <w:rPr>
      <w:sz w:val="24"/>
      <w:szCs w:val="24"/>
      <w:u w:val="single"/>
    </w:rPr>
  </w:style>
  <w:style w:type="character" w:customStyle="1" w:styleId="51">
    <w:name w:val="明显参考1"/>
    <w:basedOn w:val="24"/>
    <w:qFormat/>
    <w:uiPriority w:val="32"/>
    <w:rPr>
      <w:b/>
      <w:sz w:val="24"/>
      <w:u w:val="single"/>
    </w:rPr>
  </w:style>
  <w:style w:type="character" w:customStyle="1" w:styleId="52">
    <w:name w:val="书籍标题1"/>
    <w:basedOn w:val="24"/>
    <w:qFormat/>
    <w:uiPriority w:val="33"/>
    <w:rPr>
      <w:rFonts w:asciiTheme="majorHAnsi" w:hAnsiTheme="majorHAnsi" w:eastAsiaTheme="majorEastAsia"/>
      <w:b/>
      <w:i/>
      <w:sz w:val="24"/>
      <w:szCs w:val="24"/>
    </w:rPr>
  </w:style>
  <w:style w:type="paragraph" w:customStyle="1" w:styleId="53">
    <w:name w:val="TOC 标题1"/>
    <w:basedOn w:val="4"/>
    <w:next w:val="1"/>
    <w:unhideWhenUsed/>
    <w:qFormat/>
    <w:uiPriority w:val="39"/>
    <w:pPr>
      <w:outlineLvl w:val="9"/>
    </w:pPr>
  </w:style>
  <w:style w:type="character" w:customStyle="1" w:styleId="54">
    <w:name w:val="页眉 Char"/>
    <w:basedOn w:val="24"/>
    <w:link w:val="16"/>
    <w:qFormat/>
    <w:uiPriority w:val="99"/>
    <w:rPr>
      <w:rFonts w:ascii="仿宋" w:hAnsi="仿宋" w:eastAsia="仿宋"/>
      <w:sz w:val="18"/>
      <w:szCs w:val="18"/>
    </w:rPr>
  </w:style>
  <w:style w:type="character" w:customStyle="1" w:styleId="55">
    <w:name w:val="页脚 Char"/>
    <w:basedOn w:val="24"/>
    <w:link w:val="15"/>
    <w:qFormat/>
    <w:uiPriority w:val="99"/>
    <w:rPr>
      <w:rFonts w:ascii="仿宋" w:hAnsi="仿宋" w:eastAsia="仿宋"/>
      <w:sz w:val="18"/>
      <w:szCs w:val="18"/>
    </w:rPr>
  </w:style>
  <w:style w:type="paragraph" w:customStyle="1" w:styleId="56">
    <w:name w:val="WPSOffice手动目录 1"/>
    <w:qFormat/>
    <w:uiPriority w:val="0"/>
    <w:rPr>
      <w:rFonts w:asciiTheme="minorHAnsi" w:hAnsiTheme="minorHAnsi" w:eastAsiaTheme="minorEastAsia" w:cstheme="minorBidi"/>
      <w:lang w:val="en-US" w:eastAsia="zh-CN" w:bidi="ar-SA"/>
    </w:rPr>
  </w:style>
  <w:style w:type="paragraph" w:customStyle="1" w:styleId="57">
    <w:name w:val="WPSOffice手动目录 2"/>
    <w:qFormat/>
    <w:uiPriority w:val="0"/>
    <w:pPr>
      <w:ind w:left="200" w:leftChars="200"/>
    </w:pPr>
    <w:rPr>
      <w:rFonts w:asciiTheme="minorHAnsi" w:hAnsiTheme="minorHAnsi" w:eastAsiaTheme="minorEastAsia" w:cstheme="minorBidi"/>
      <w:lang w:val="en-US" w:eastAsia="zh-CN" w:bidi="ar-SA"/>
    </w:rPr>
  </w:style>
  <w:style w:type="character" w:customStyle="1" w:styleId="58">
    <w:name w:val="批注框文本 Char"/>
    <w:basedOn w:val="24"/>
    <w:link w:val="14"/>
    <w:semiHidden/>
    <w:qFormat/>
    <w:uiPriority w:val="99"/>
    <w:rPr>
      <w:rFonts w:ascii="仿宋" w:hAnsi="仿宋" w:eastAsia="仿宋" w:cs="Times New Roman"/>
      <w:sz w:val="18"/>
      <w:szCs w:val="18"/>
    </w:rPr>
  </w:style>
  <w:style w:type="character" w:customStyle="1" w:styleId="59">
    <w:name w:val="批注文字 Char"/>
    <w:basedOn w:val="24"/>
    <w:link w:val="13"/>
    <w:qFormat/>
    <w:uiPriority w:val="0"/>
    <w:rPr>
      <w:rFonts w:ascii="仿宋" w:hAnsi="仿宋" w:eastAsia="仿宋"/>
      <w:sz w:val="32"/>
      <w:szCs w:val="32"/>
    </w:rPr>
  </w:style>
  <w:style w:type="character" w:customStyle="1" w:styleId="60">
    <w:name w:val="批注主题 Char"/>
    <w:basedOn w:val="59"/>
    <w:link w:val="21"/>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http:/sdwm.org</Company>
  <Pages>8</Pages>
  <Words>564</Words>
  <Characters>3215</Characters>
  <Lines>26</Lines>
  <Paragraphs>7</Paragraphs>
  <TotalTime>0</TotalTime>
  <ScaleCrop>false</ScaleCrop>
  <LinksUpToDate>false</LinksUpToDate>
  <CharactersWithSpaces>3772</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2019-05-28T23:53:00Z</dcterms:created>
  <dc:creator>敖强</dc:creator>
  <cp:lastModifiedBy>钟福通</cp:lastModifiedBy>
  <dcterms:modified xsi:type="dcterms:W3CDTF">2025-02-24T01:35:01Z</dcterms:modified>
  <dc:title>广东省税务局</dc:title>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