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32"/>
        </w:rPr>
      </w:pPr>
      <w:r>
        <w:rPr>
          <w:rFonts w:hint="eastAsia" w:ascii="黑体" w:hAnsi="黑体" w:eastAsia="黑体" w:cs="黑体"/>
          <w:sz w:val="32"/>
        </w:rPr>
        <w:t>附件</w:t>
      </w:r>
    </w:p>
    <w:p>
      <w:pPr>
        <w:rPr>
          <w:rFonts w:hint="eastAsia" w:ascii="黑体" w:hAnsi="黑体" w:eastAsia="黑体" w:cs="黑体"/>
          <w:sz w:val="32"/>
        </w:rPr>
      </w:pPr>
    </w:p>
    <w:p>
      <w:pPr>
        <w:spacing w:line="700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汕头市市级非营利组织免税资格单位名单</w:t>
      </w:r>
    </w:p>
    <w:p>
      <w:pPr>
        <w:spacing w:line="700" w:lineRule="exact"/>
        <w:jc w:val="center"/>
        <w:rPr>
          <w:rFonts w:hint="default" w:ascii="Times New Roman" w:hAnsi="Times New Roman" w:eastAsia="仿宋_GB2312" w:cs="Times New Roman"/>
          <w:sz w:val="32"/>
        </w:rPr>
      </w:pPr>
      <w:r>
        <w:rPr>
          <w:rFonts w:hint="default" w:ascii="Times New Roman" w:hAnsi="Times New Roman" w:eastAsia="仿宋_GB2312" w:cs="Times New Roman"/>
          <w:sz w:val="32"/>
        </w:rPr>
        <w:t>（共</w:t>
      </w:r>
      <w:r>
        <w:rPr>
          <w:rFonts w:hint="default" w:ascii="Times New Roman" w:hAnsi="Times New Roman" w:eastAsia="仿宋_GB2312" w:cs="Times New Roman"/>
          <w:sz w:val="32"/>
          <w:highlight w:val="none"/>
          <w:lang w:val="en-US" w:eastAsia="zh-CN"/>
        </w:rPr>
        <w:t>14</w:t>
      </w:r>
      <w:r>
        <w:rPr>
          <w:rFonts w:hint="default" w:ascii="Times New Roman" w:hAnsi="Times New Roman" w:eastAsia="仿宋_GB2312" w:cs="Times New Roman"/>
          <w:sz w:val="32"/>
        </w:rPr>
        <w:t>家）</w:t>
      </w:r>
    </w:p>
    <w:p>
      <w:pPr>
        <w:spacing w:line="700" w:lineRule="exact"/>
        <w:jc w:val="center"/>
        <w:rPr>
          <w:rFonts w:hint="default" w:ascii="Times New Roman" w:hAnsi="Times New Roman" w:eastAsia="仿宋_GB2312" w:cs="Times New Roman"/>
          <w:sz w:val="32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lang w:val="en-US" w:eastAsia="zh-CN"/>
        </w:rPr>
        <w:t>一、获得2021-2025年度</w:t>
      </w:r>
      <w:r>
        <w:rPr>
          <w:rFonts w:hint="default" w:ascii="Times New Roman" w:hAnsi="Times New Roman" w:eastAsia="仿宋_GB2312" w:cs="Times New Roman"/>
          <w:sz w:val="32"/>
        </w:rPr>
        <w:t>非营利组织免税资格单位名单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320" w:firstLineChars="1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lang w:eastAsia="zh-CN"/>
        </w:rPr>
        <w:t>（</w:t>
      </w:r>
      <w:r>
        <w:rPr>
          <w:rFonts w:hint="default" w:ascii="Times New Roman" w:hAnsi="Times New Roman" w:eastAsia="仿宋_GB2312" w:cs="Times New Roman"/>
          <w:sz w:val="32"/>
          <w:lang w:val="en-US" w:eastAsia="zh-CN"/>
        </w:rPr>
        <w:t>1家</w:t>
      </w:r>
      <w:r>
        <w:rPr>
          <w:rFonts w:hint="default" w:ascii="Times New Roman" w:hAnsi="Times New Roman" w:eastAsia="仿宋_GB2312" w:cs="Times New Roman"/>
          <w:sz w:val="32"/>
          <w:lang w:eastAsia="zh-CN"/>
        </w:rPr>
        <w:t>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  <w:t xml:space="preserve">1. 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汕头市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  <w:t>蓝天义工协会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仿宋_GB2312" w:cs="Times New Roman"/>
          <w:sz w:val="32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  <w:t xml:space="preserve">   二、</w:t>
      </w:r>
      <w:r>
        <w:rPr>
          <w:rFonts w:hint="default" w:ascii="Times New Roman" w:hAnsi="Times New Roman" w:eastAsia="仿宋_GB2312" w:cs="Times New Roman"/>
          <w:sz w:val="32"/>
          <w:lang w:val="en-US" w:eastAsia="zh-CN"/>
        </w:rPr>
        <w:t>获得2022-2026年度</w:t>
      </w:r>
      <w:r>
        <w:rPr>
          <w:rFonts w:hint="default" w:ascii="Times New Roman" w:hAnsi="Times New Roman" w:eastAsia="仿宋_GB2312" w:cs="Times New Roman"/>
          <w:sz w:val="32"/>
        </w:rPr>
        <w:t>非营利组织免税资格单位名单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320" w:firstLineChars="100"/>
        <w:textAlignment w:val="auto"/>
        <w:rPr>
          <w:rFonts w:hint="default" w:ascii="Times New Roman" w:hAnsi="Times New Roman" w:eastAsia="仿宋_GB2312" w:cs="Times New Roman"/>
          <w:sz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lang w:eastAsia="zh-CN"/>
        </w:rPr>
        <w:t>（</w:t>
      </w:r>
      <w:r>
        <w:rPr>
          <w:rFonts w:hint="default" w:ascii="Times New Roman" w:hAnsi="Times New Roman" w:eastAsia="仿宋_GB2312" w:cs="Times New Roman"/>
          <w:sz w:val="32"/>
          <w:highlight w:val="none"/>
          <w:lang w:val="en-US" w:eastAsia="zh-CN"/>
        </w:rPr>
        <w:t>10</w:t>
      </w:r>
      <w:r>
        <w:rPr>
          <w:rFonts w:hint="default" w:ascii="Times New Roman" w:hAnsi="Times New Roman" w:eastAsia="仿宋_GB2312" w:cs="Times New Roman"/>
          <w:sz w:val="32"/>
          <w:lang w:val="en-US" w:eastAsia="zh-CN"/>
        </w:rPr>
        <w:t>家</w:t>
      </w:r>
      <w:r>
        <w:rPr>
          <w:rFonts w:hint="default" w:ascii="Times New Roman" w:hAnsi="Times New Roman" w:eastAsia="仿宋_GB2312" w:cs="Times New Roman"/>
          <w:sz w:val="32"/>
          <w:lang w:eastAsia="zh-CN"/>
        </w:rPr>
        <w:t>）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汕头市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  <w:t>北大工商管理硕士企业家协会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  <w:t>汕头市环境卫生协会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  <w:t>汕头市女企业家协会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  <w:t>汕头市医学会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  <w:t>汕头市风能协会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  <w:t>汕头市金山中学慈善关爱基金会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  <w:t>汕头市儒善慈善会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  <w:t>汕头市纺织服装产业协会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kern w:val="0"/>
          <w:sz w:val="32"/>
          <w:szCs w:val="32"/>
          <w:u w:val="none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u w:val="none"/>
          <w:lang w:val="en-US" w:eastAsia="zh-CN"/>
        </w:rPr>
        <w:t>汕头市潮善慈善会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kern w:val="0"/>
          <w:sz w:val="32"/>
          <w:szCs w:val="32"/>
          <w:u w:val="none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u w:val="none"/>
          <w:lang w:val="en-US" w:eastAsia="zh-CN"/>
        </w:rPr>
        <w:t>汕头市第二中学校友会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</w:rPr>
      </w:pPr>
      <w:r>
        <w:rPr>
          <w:rFonts w:hint="default" w:ascii="Times New Roman" w:hAnsi="Times New Roman" w:eastAsia="仿宋_GB2312" w:cs="Times New Roman"/>
          <w:sz w:val="32"/>
          <w:lang w:val="en-US" w:eastAsia="zh-CN"/>
        </w:rPr>
        <w:t>三、获得2023-2027年度</w:t>
      </w:r>
      <w:r>
        <w:rPr>
          <w:rFonts w:hint="default" w:ascii="Times New Roman" w:hAnsi="Times New Roman" w:eastAsia="仿宋_GB2312" w:cs="Times New Roman"/>
          <w:sz w:val="32"/>
        </w:rPr>
        <w:t>非营利组织免税资格单位名单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320" w:firstLineChars="100"/>
        <w:textAlignment w:val="auto"/>
        <w:rPr>
          <w:rFonts w:hint="default" w:ascii="Times New Roman" w:hAnsi="Times New Roman" w:eastAsia="仿宋_GB2312" w:cs="Times New Roman"/>
          <w:sz w:val="32"/>
          <w:lang w:eastAsia="zh-CN"/>
        </w:rPr>
        <w:sectPr>
          <w:footerReference r:id="rId3" w:type="default"/>
          <w:pgSz w:w="11906" w:h="16838"/>
          <w:pgMar w:top="2041" w:right="1446" w:bottom="1417" w:left="1502" w:header="1701" w:footer="1191" w:gutter="0"/>
          <w:pgNumType w:fmt="decimal"/>
          <w:cols w:space="720" w:num="1"/>
          <w:rtlGutter w:val="0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320" w:firstLineChars="100"/>
        <w:textAlignment w:val="auto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lang w:eastAsia="zh-CN"/>
        </w:rPr>
        <w:t>（</w:t>
      </w:r>
      <w:r>
        <w:rPr>
          <w:rFonts w:hint="default" w:ascii="Times New Roman" w:hAnsi="Times New Roman" w:eastAsia="仿宋_GB2312" w:cs="Times New Roman"/>
          <w:sz w:val="32"/>
          <w:lang w:val="en-US" w:eastAsia="zh-CN"/>
        </w:rPr>
        <w:t>3家</w:t>
      </w:r>
      <w:r>
        <w:rPr>
          <w:rFonts w:hint="default" w:ascii="Times New Roman" w:hAnsi="Times New Roman" w:eastAsia="仿宋_GB2312" w:cs="Times New Roman"/>
          <w:sz w:val="32"/>
          <w:lang w:eastAsia="zh-CN"/>
        </w:rPr>
        <w:t>）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textAlignment w:val="auto"/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  <w:t>汕头市社会组织总会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textAlignment w:val="auto"/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  <w:t>汕头市超声仪器研究所有限公司爱心基金会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textAlignment w:val="auto"/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  <w:t>汕头市爱心公益慈善中心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仿宋_GB2312" w:cs="Times New Roman"/>
          <w:sz w:val="32"/>
          <w:lang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仿宋_GB2312" w:cs="Times New Roman"/>
          <w:sz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仿宋_GB2312" w:cs="Times New Roman"/>
          <w:kern w:val="0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cs="Times New Roman"/>
          <w:b/>
          <w:bCs/>
          <w:sz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cs="Times New Roman"/>
          <w:b/>
          <w:bCs/>
          <w:sz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cs="Times New Roman"/>
          <w:b/>
          <w:bCs/>
          <w:sz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cs="Times New Roman"/>
          <w:b/>
          <w:bCs/>
          <w:sz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cs="Times New Roman"/>
          <w:b/>
          <w:bCs/>
          <w:sz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ascii="宋体"/>
          <w:b/>
          <w:bCs/>
          <w:sz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ascii="宋体"/>
          <w:b/>
          <w:bCs/>
          <w:sz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ascii="宋体"/>
          <w:b/>
          <w:bCs/>
          <w:sz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ascii="宋体"/>
          <w:b/>
          <w:bCs/>
          <w:sz w:val="24"/>
        </w:rPr>
      </w:pPr>
    </w:p>
    <w:tbl>
      <w:tblPr>
        <w:tblStyle w:val="3"/>
        <w:tblpPr w:leftFromText="180" w:rightFromText="180" w:vertAnchor="text" w:horzAnchor="page" w:tblpX="1622" w:tblpY="925"/>
        <w:tblOverlap w:val="never"/>
        <w:tblW w:w="0" w:type="auto"/>
        <w:tblInd w:w="0" w:type="dxa"/>
        <w:tblBorders>
          <w:top w:val="single" w:color="auto" w:sz="12" w:space="0"/>
          <w:left w:val="none" w:color="auto" w:sz="0" w:space="0"/>
          <w:bottom w:val="single" w:color="auto" w:sz="12" w:space="0"/>
          <w:right w:val="none" w:color="auto" w:sz="0" w:space="0"/>
          <w:insideH w:val="single" w:color="auto" w:sz="8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46"/>
      </w:tblGrid>
      <w:tr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single" w:color="auto" w:sz="8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</w:trPr>
        <w:tc>
          <w:tcPr>
            <w:tcW w:w="8946" w:type="dxa"/>
            <w:tcBorders>
              <w:top w:val="single" w:color="auto" w:sz="12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firstLine="280" w:firstLineChars="100"/>
              <w:textAlignment w:val="auto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抄报：省财政厅、省税务局。</w:t>
            </w:r>
          </w:p>
        </w:tc>
      </w:tr>
      <w:tr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single" w:color="auto" w:sz="8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" w:hRule="atLeast"/>
        </w:trPr>
        <w:tc>
          <w:tcPr>
            <w:tcW w:w="894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firstLine="280" w:firstLineChars="100"/>
              <w:textAlignment w:val="auto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抄送：市政府办公室，市民政局，各有关单位。</w:t>
            </w:r>
          </w:p>
        </w:tc>
      </w:tr>
      <w:tr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single" w:color="auto" w:sz="8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8946" w:type="dxa"/>
            <w:tcBorders>
              <w:bottom w:val="single" w:color="auto" w:sz="12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firstLine="280" w:firstLineChars="100"/>
              <w:textAlignment w:val="auto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汕头市财政局办公室</w:t>
            </w:r>
            <w:r>
              <w:rPr>
                <w:rFonts w:ascii="仿宋_GB2312" w:hAnsi="仿宋_GB2312" w:eastAsia="仿宋_GB2312" w:cs="仿宋_GB2312"/>
                <w:sz w:val="28"/>
                <w:szCs w:val="28"/>
              </w:rPr>
              <w:t xml:space="preserve">                    </w:t>
            </w:r>
            <w:r>
              <w:rPr>
                <w:rFonts w:ascii="Times New Roman" w:hAnsi="Times New Roman" w:eastAsia="仿宋_GB2312"/>
                <w:sz w:val="28"/>
                <w:szCs w:val="28"/>
              </w:rPr>
              <w:t xml:space="preserve">  </w:t>
            </w:r>
            <w:r>
              <w:rPr>
                <w:rFonts w:hint="eastAsia" w:ascii="Times New Roman" w:hAnsi="Times New Roman" w:eastAsia="仿宋_GB2312"/>
                <w:sz w:val="28"/>
                <w:szCs w:val="28"/>
                <w:lang w:val="en-US" w:eastAsia="zh-CN"/>
              </w:rPr>
              <w:t>2023</w:t>
            </w:r>
            <w:r>
              <w:rPr>
                <w:rFonts w:ascii="Times New Roman" w:hAnsi="Times New Roman" w:eastAsia="仿宋_GB2312"/>
                <w:sz w:val="28"/>
                <w:szCs w:val="28"/>
              </w:rPr>
              <w:t>年</w:t>
            </w:r>
            <w:r>
              <w:rPr>
                <w:rFonts w:hint="eastAsia" w:ascii="Times New Roman" w:hAnsi="Times New Roman" w:eastAsia="仿宋_GB2312"/>
                <w:sz w:val="28"/>
                <w:szCs w:val="28"/>
                <w:lang w:val="en-US" w:eastAsia="zh-CN"/>
              </w:rPr>
              <w:t>5</w:t>
            </w:r>
            <w:r>
              <w:rPr>
                <w:rFonts w:ascii="Times New Roman" w:hAnsi="Times New Roman" w:eastAsia="仿宋_GB2312"/>
                <w:sz w:val="28"/>
                <w:szCs w:val="28"/>
              </w:rPr>
              <w:t>月</w:t>
            </w:r>
            <w:r>
              <w:rPr>
                <w:rFonts w:hint="eastAsia" w:ascii="Times New Roman" w:hAnsi="Times New Roman" w:eastAsia="仿宋_GB2312"/>
                <w:sz w:val="28"/>
                <w:szCs w:val="28"/>
                <w:lang w:val="en-US" w:eastAsia="zh-CN"/>
              </w:rPr>
              <w:t>22</w:t>
            </w:r>
            <w:r>
              <w:rPr>
                <w:rFonts w:ascii="Times New Roman" w:hAnsi="Times New Roman" w:eastAsia="仿宋_GB2312"/>
                <w:sz w:val="28"/>
                <w:szCs w:val="28"/>
              </w:rPr>
              <w:t>日印发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400" w:lineRule="exact"/>
        <w:ind w:firstLine="301" w:firstLineChars="100"/>
        <w:textAlignment w:val="auto"/>
        <w:rPr>
          <w:rFonts w:ascii="宋体"/>
          <w:b/>
          <w:bCs/>
          <w:sz w:val="30"/>
          <w:szCs w:val="30"/>
        </w:rPr>
      </w:pPr>
      <w:r>
        <w:rPr>
          <w:rFonts w:hint="eastAsia" w:ascii="宋体" w:hAnsi="宋体"/>
          <w:b/>
          <w:bCs/>
          <w:sz w:val="30"/>
          <w:szCs w:val="30"/>
        </w:rPr>
        <w:t>公开方式：主动公开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eastAsia="黑体"/>
          <w:sz w:val="32"/>
        </w:rPr>
      </w:pPr>
    </w:p>
    <w:p>
      <w:pPr>
        <w:spacing w:line="20" w:lineRule="exact"/>
        <w:rPr>
          <w:rFonts w:ascii="仿宋_GB2312" w:eastAsia="仿宋_GB2312"/>
          <w:sz w:val="32"/>
        </w:rPr>
      </w:pPr>
    </w:p>
    <w:p>
      <w:pPr>
        <w:spacing w:line="20" w:lineRule="exact"/>
      </w:pPr>
      <w:r>
        <w:t xml:space="preserve"> </w:t>
      </w:r>
      <w:bookmarkStart w:id="0" w:name="_GoBack"/>
      <w:bookmarkEnd w:id="0"/>
    </w:p>
    <w:sectPr>
      <w:footerReference r:id="rId4" w:type="default"/>
      <w:pgSz w:w="11906" w:h="16838"/>
      <w:pgMar w:top="2041" w:right="1446" w:bottom="1417" w:left="1502" w:header="1701" w:footer="1191" w:gutter="0"/>
      <w:pgNumType w:fmt="decimal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A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59C7CD2"/>
    <w:multiLevelType w:val="singleLevel"/>
    <w:tmpl w:val="859C7CD2"/>
    <w:lvl w:ilvl="0" w:tentative="0">
      <w:start w:val="1"/>
      <w:numFmt w:val="decimal"/>
      <w:suff w:val="space"/>
      <w:lvlText w:val="%1."/>
      <w:lvlJc w:val="left"/>
    </w:lvl>
  </w:abstractNum>
  <w:abstractNum w:abstractNumId="1">
    <w:nsid w:val="8A19BAEB"/>
    <w:multiLevelType w:val="singleLevel"/>
    <w:tmpl w:val="8A19BAEB"/>
    <w:lvl w:ilvl="0" w:tentative="0">
      <w:start w:val="1"/>
      <w:numFmt w:val="decimal"/>
      <w:suff w:val="nothing"/>
      <w:lvlText w:val="%1．"/>
      <w:lvlJc w:val="left"/>
      <w:pPr>
        <w:ind w:left="0" w:firstLine="4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A094253"/>
    <w:rsid w:val="7A0942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Office_11.8.2.10158_F1E327BC-269C-435d-A152-05C5408002CA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2023-06-20T01:31:00Z</dcterms:created>
  <dc:creator>Administrator</dc:creator>
  <cp:lastModifiedBy>Administrator</cp:lastModifiedBy>
  <dcterms:modified xsi:type="dcterms:W3CDTF">2023-06-20T01:31:48Z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2052-11.8.2.10158</vt:lpwstr>
  </property>
</Properties>
</file>