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adjustRightInd/>
        <w:snapToGrid/>
        <w:spacing w:line="600" w:lineRule="exact"/>
        <w:jc w:val="both"/>
        <w:textAlignment w:val="auto"/>
        <w:rPr>
          <w:rFonts w:hint="eastAsia" w:ascii="黑体" w:hAnsi="黑体" w:eastAsia="黑体" w:cs="黑体"/>
          <w:bCs/>
          <w:sz w:val="32"/>
          <w:szCs w:val="32"/>
          <w:lang w:val="en-US" w:eastAsia="zh-CN"/>
        </w:rPr>
      </w:pPr>
      <w:bookmarkStart w:id="0" w:name="正文"/>
      <w:bookmarkStart w:id="1" w:name="BODY"/>
      <w:r>
        <w:rPr>
          <w:rFonts w:hint="eastAsia" w:ascii="黑体" w:hAnsi="黑体" w:eastAsia="黑体" w:cs="黑体"/>
          <w:bCs/>
          <w:sz w:val="32"/>
          <w:szCs w:val="32"/>
          <w:lang w:eastAsia="zh-CN"/>
        </w:rPr>
        <w:t>附件</w:t>
      </w:r>
      <w:r>
        <w:rPr>
          <w:rFonts w:hint="eastAsia" w:ascii="黑体" w:hAnsi="黑体" w:eastAsia="黑体" w:cs="黑体"/>
          <w:bCs/>
          <w:sz w:val="32"/>
          <w:szCs w:val="32"/>
          <w:lang w:val="en-US" w:eastAsia="zh-CN"/>
        </w:rPr>
        <w:t>1</w:t>
      </w:r>
    </w:p>
    <w:p>
      <w:pPr>
        <w:keepNext w:val="0"/>
        <w:keepLines w:val="0"/>
        <w:pageBreakBefore w:val="0"/>
        <w:kinsoku/>
        <w:overflowPunct/>
        <w:topLinePunct w:val="0"/>
        <w:autoSpaceDE/>
        <w:autoSpaceDN/>
        <w:bidi w:val="0"/>
        <w:adjustRightInd/>
        <w:snapToGrid/>
        <w:spacing w:line="600" w:lineRule="exact"/>
        <w:jc w:val="both"/>
        <w:textAlignment w:val="auto"/>
        <w:rPr>
          <w:rFonts w:hint="default" w:ascii="方正小标宋简体" w:hAnsi="宋体" w:eastAsia="方正小标宋简体"/>
          <w:bCs/>
          <w:sz w:val="44"/>
          <w:lang w:val="en-US" w:eastAsia="zh-CN"/>
        </w:rPr>
      </w:pPr>
    </w:p>
    <w:p>
      <w:pPr>
        <w:keepNext w:val="0"/>
        <w:keepLines w:val="0"/>
        <w:pageBreakBefore w:val="0"/>
        <w:kinsoku/>
        <w:overflowPunct/>
        <w:topLinePunct w:val="0"/>
        <w:autoSpaceDE/>
        <w:autoSpaceDN/>
        <w:bidi w:val="0"/>
        <w:adjustRightInd/>
        <w:snapToGrid/>
        <w:spacing w:line="600" w:lineRule="exact"/>
        <w:jc w:val="center"/>
        <w:textAlignment w:val="auto"/>
        <w:rPr>
          <w:rFonts w:hint="eastAsia" w:ascii="方正小标宋简体" w:hAnsi="宋体" w:eastAsia="方正小标宋简体"/>
          <w:bCs/>
          <w:spacing w:val="0"/>
          <w:sz w:val="44"/>
        </w:rPr>
      </w:pPr>
      <w:r>
        <w:rPr>
          <w:rFonts w:hint="eastAsia" w:ascii="方正小标宋简体" w:hAnsi="宋体" w:eastAsia="方正小标宋简体"/>
          <w:bCs/>
          <w:spacing w:val="0"/>
          <w:sz w:val="44"/>
        </w:rPr>
        <w:t>国家税务总局云浮市税务局</w:t>
      </w:r>
      <w:r>
        <w:rPr>
          <w:rFonts w:hint="eastAsia" w:ascii="方正小标宋简体" w:hAnsi="宋体" w:eastAsia="方正小标宋简体"/>
          <w:bCs/>
          <w:spacing w:val="0"/>
          <w:sz w:val="44"/>
          <w:lang w:val="en-US" w:eastAsia="zh-CN"/>
        </w:rPr>
        <w:t xml:space="preserve"> </w:t>
      </w:r>
      <w:r>
        <w:rPr>
          <w:rFonts w:hint="eastAsia" w:ascii="方正小标宋简体" w:hAnsi="宋体" w:eastAsia="方正小标宋简体"/>
          <w:bCs/>
          <w:spacing w:val="0"/>
          <w:sz w:val="44"/>
        </w:rPr>
        <w:t>云浮市住房和</w:t>
      </w:r>
    </w:p>
    <w:p>
      <w:pPr>
        <w:keepNext w:val="0"/>
        <w:keepLines w:val="0"/>
        <w:pageBreakBefore w:val="0"/>
        <w:kinsoku/>
        <w:overflowPunct/>
        <w:topLinePunct w:val="0"/>
        <w:autoSpaceDE/>
        <w:autoSpaceDN/>
        <w:bidi w:val="0"/>
        <w:adjustRightInd/>
        <w:snapToGrid/>
        <w:spacing w:line="600" w:lineRule="exact"/>
        <w:jc w:val="center"/>
        <w:textAlignment w:val="auto"/>
        <w:rPr>
          <w:rFonts w:hint="eastAsia" w:ascii="方正小标宋简体" w:hAnsi="宋体" w:eastAsia="方正小标宋简体"/>
          <w:bCs/>
          <w:spacing w:val="0"/>
          <w:sz w:val="44"/>
        </w:rPr>
      </w:pPr>
      <w:r>
        <w:rPr>
          <w:rFonts w:hint="eastAsia" w:ascii="方正小标宋简体" w:hAnsi="宋体" w:eastAsia="方正小标宋简体"/>
          <w:bCs/>
          <w:spacing w:val="0"/>
          <w:sz w:val="44"/>
        </w:rPr>
        <w:t>城乡建设局关于发布云浮市2016-2018年</w:t>
      </w:r>
    </w:p>
    <w:p>
      <w:pPr>
        <w:keepNext w:val="0"/>
        <w:keepLines w:val="0"/>
        <w:pageBreakBefore w:val="0"/>
        <w:kinsoku/>
        <w:overflowPunct/>
        <w:topLinePunct w:val="0"/>
        <w:autoSpaceDE/>
        <w:autoSpaceDN/>
        <w:bidi w:val="0"/>
        <w:adjustRightInd/>
        <w:snapToGrid/>
        <w:spacing w:line="600" w:lineRule="exact"/>
        <w:jc w:val="center"/>
        <w:textAlignment w:val="auto"/>
        <w:rPr>
          <w:rFonts w:hint="eastAsia" w:ascii="方正小标宋简体" w:hAnsi="宋体" w:eastAsia="方正小标宋简体"/>
          <w:bCs/>
          <w:spacing w:val="0"/>
          <w:sz w:val="44"/>
        </w:rPr>
      </w:pPr>
      <w:r>
        <w:rPr>
          <w:rFonts w:hint="eastAsia" w:ascii="方正小标宋简体" w:hAnsi="宋体" w:eastAsia="方正小标宋简体"/>
          <w:bCs/>
          <w:spacing w:val="0"/>
          <w:sz w:val="44"/>
        </w:rPr>
        <w:t>土地增值税工程造价核定扣除标准</w:t>
      </w:r>
    </w:p>
    <w:p>
      <w:pPr>
        <w:keepNext w:val="0"/>
        <w:keepLines w:val="0"/>
        <w:pageBreakBefore w:val="0"/>
        <w:kinsoku/>
        <w:overflowPunct/>
        <w:topLinePunct w:val="0"/>
        <w:autoSpaceDE/>
        <w:autoSpaceDN/>
        <w:bidi w:val="0"/>
        <w:adjustRightInd/>
        <w:snapToGrid/>
        <w:spacing w:line="600" w:lineRule="exact"/>
        <w:jc w:val="center"/>
        <w:textAlignment w:val="auto"/>
        <w:rPr>
          <w:rFonts w:hint="eastAsia" w:ascii="方正小标宋简体" w:hAnsi="宋体" w:eastAsia="方正小标宋简体"/>
          <w:bCs/>
          <w:spacing w:val="0"/>
          <w:sz w:val="44"/>
          <w:lang w:eastAsia="zh-CN"/>
        </w:rPr>
      </w:pPr>
      <w:r>
        <w:rPr>
          <w:rFonts w:hint="eastAsia" w:ascii="方正小标宋简体" w:hAnsi="宋体" w:eastAsia="方正小标宋简体"/>
          <w:bCs/>
          <w:spacing w:val="0"/>
          <w:sz w:val="44"/>
        </w:rPr>
        <w:t>的公告</w:t>
      </w:r>
      <w:r>
        <w:rPr>
          <w:rFonts w:hint="eastAsia" w:ascii="方正小标宋简体" w:hAnsi="宋体" w:eastAsia="方正小标宋简体"/>
          <w:bCs/>
          <w:spacing w:val="0"/>
          <w:sz w:val="44"/>
          <w:lang w:eastAsia="zh-CN"/>
        </w:rPr>
        <w:t>（征求意见稿）</w:t>
      </w:r>
    </w:p>
    <w:p>
      <w:pPr>
        <w:keepNext w:val="0"/>
        <w:keepLines w:val="0"/>
        <w:pageBreakBefore w:val="0"/>
        <w:kinsoku/>
        <w:overflowPunct/>
        <w:topLinePunct w:val="0"/>
        <w:autoSpaceDE/>
        <w:autoSpaceDN/>
        <w:bidi w:val="0"/>
        <w:adjustRightInd/>
        <w:snapToGrid/>
        <w:spacing w:line="600" w:lineRule="exact"/>
        <w:jc w:val="center"/>
        <w:textAlignment w:val="auto"/>
        <w:rPr>
          <w:rFonts w:hint="eastAsia" w:ascii="方正小标宋简体" w:hAnsi="宋体" w:eastAsia="方正小标宋简体"/>
          <w:bCs/>
          <w:sz w:val="44"/>
        </w:rPr>
      </w:pPr>
    </w:p>
    <w:p>
      <w:pPr>
        <w:keepNext w:val="0"/>
        <w:keepLines w:val="0"/>
        <w:pageBreakBefore w:val="0"/>
        <w:numPr>
          <w:ins w:id="0" w:author="陈海燕" w:date=""/>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pacing w:val="0"/>
          <w:sz w:val="32"/>
          <w:szCs w:val="32"/>
        </w:rPr>
      </w:pPr>
      <w:r>
        <w:rPr>
          <w:rFonts w:hint="eastAsia" w:ascii="仿宋_GB2312" w:hAnsi="仿宋_GB2312" w:eastAsia="仿宋_GB2312" w:cs="仿宋_GB2312"/>
          <w:color w:val="auto"/>
          <w:spacing w:val="0"/>
          <w:sz w:val="32"/>
          <w:szCs w:val="32"/>
        </w:rPr>
        <w:t>为了进一步做好我市土地增值税清算管理工作，促进我市房地产业健康发展，根据《中华人民共和国税收征收管理法》及其实施细则、《国家税务总局关于房地产开发企业土地增值税清算管理有关问题的通知》（国税发〔2006〕187号）</w:t>
      </w:r>
      <w:r>
        <w:rPr>
          <w:rFonts w:hint="eastAsia" w:ascii="仿宋_GB2312" w:hAnsi="仿宋_GB2312" w:eastAsia="仿宋_GB2312" w:cs="仿宋_GB2312"/>
          <w:color w:val="auto"/>
          <w:spacing w:val="0"/>
          <w:sz w:val="32"/>
          <w:szCs w:val="32"/>
          <w:lang w:eastAsia="zh-CN"/>
        </w:rPr>
        <w:t>和《国家税务总局广东省税务局关于发布《国家税务总局广东省税务局土地增值税清算管理规程》的公告》（国家税务总局广东省税务局公告</w:t>
      </w:r>
      <w:r>
        <w:rPr>
          <w:rFonts w:hint="eastAsia" w:ascii="仿宋_GB2312" w:hAnsi="仿宋_GB2312" w:eastAsia="仿宋_GB2312" w:cs="仿宋_GB2312"/>
          <w:color w:val="auto"/>
          <w:spacing w:val="0"/>
          <w:sz w:val="32"/>
          <w:szCs w:val="32"/>
          <w:lang w:val="en-US" w:eastAsia="zh-CN"/>
        </w:rPr>
        <w:t>2019年第5号</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的有关规定，云浮市地方税务局联合云浮市住房和城乡建设局制定了《云浮市20</w:t>
      </w:r>
      <w:r>
        <w:rPr>
          <w:rFonts w:hint="eastAsia" w:ascii="仿宋_GB2312" w:hAnsi="仿宋_GB2312" w:eastAsia="仿宋_GB2312" w:cs="仿宋_GB2312"/>
          <w:color w:val="auto"/>
          <w:spacing w:val="0"/>
          <w:sz w:val="32"/>
          <w:szCs w:val="32"/>
          <w:lang w:val="en-US" w:eastAsia="zh-CN"/>
        </w:rPr>
        <w:t>16</w:t>
      </w:r>
      <w:r>
        <w:rPr>
          <w:rFonts w:hint="eastAsia" w:ascii="仿宋_GB2312" w:hAnsi="仿宋_GB2312" w:eastAsia="仿宋_GB2312" w:cs="仿宋_GB2312"/>
          <w:color w:val="auto"/>
          <w:spacing w:val="0"/>
          <w:sz w:val="32"/>
          <w:szCs w:val="32"/>
        </w:rPr>
        <w:t>-201</w:t>
      </w:r>
      <w:r>
        <w:rPr>
          <w:rFonts w:hint="eastAsia" w:ascii="仿宋_GB2312" w:hAnsi="仿宋_GB2312" w:eastAsia="仿宋_GB2312" w:cs="仿宋_GB2312"/>
          <w:color w:val="auto"/>
          <w:spacing w:val="0"/>
          <w:sz w:val="32"/>
          <w:szCs w:val="32"/>
          <w:lang w:val="en-US" w:eastAsia="zh-CN"/>
        </w:rPr>
        <w:t>8</w:t>
      </w:r>
      <w:r>
        <w:rPr>
          <w:rFonts w:hint="eastAsia" w:ascii="仿宋_GB2312" w:hAnsi="仿宋_GB2312" w:eastAsia="仿宋_GB2312" w:cs="仿宋_GB2312"/>
          <w:color w:val="auto"/>
          <w:spacing w:val="0"/>
          <w:sz w:val="32"/>
          <w:szCs w:val="32"/>
        </w:rPr>
        <w:t>年土地增值税工程造价核定扣除标准》（以下简称《标准》），现将相关事项公告如下：</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黑体" w:hAnsi="黑体" w:eastAsia="黑体" w:cs="黑体"/>
          <w:b w:val="0"/>
          <w:bCs w:val="0"/>
          <w:color w:val="auto"/>
          <w:spacing w:val="0"/>
          <w:sz w:val="32"/>
          <w:szCs w:val="32"/>
        </w:rPr>
      </w:pPr>
      <w:r>
        <w:rPr>
          <w:rFonts w:hint="eastAsia" w:ascii="黑体" w:hAnsi="黑体" w:eastAsia="黑体" w:cs="黑体"/>
          <w:b w:val="0"/>
          <w:bCs w:val="0"/>
          <w:color w:val="auto"/>
          <w:spacing w:val="0"/>
          <w:sz w:val="32"/>
          <w:szCs w:val="32"/>
        </w:rPr>
        <w:t>一、适用范围</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仿宋_GB2312" w:hAnsi="仿宋_GB2312" w:eastAsia="仿宋_GB2312" w:cs="仿宋_GB2312"/>
          <w:color w:val="auto"/>
          <w:spacing w:val="0"/>
          <w:sz w:val="32"/>
          <w:szCs w:val="32"/>
        </w:rPr>
      </w:pPr>
      <w:r>
        <w:rPr>
          <w:rFonts w:hint="eastAsia" w:ascii="仿宋_GB2312" w:hAnsi="仿宋_GB2312" w:eastAsia="仿宋_GB2312" w:cs="仿宋_GB2312"/>
          <w:color w:val="auto"/>
          <w:spacing w:val="0"/>
          <w:sz w:val="32"/>
          <w:szCs w:val="32"/>
        </w:rPr>
        <w:t>（一）在土地增值税清算过程中，纳税人符合《国家税务总局广东省税务局关于发布〈国家税务总局广东省税务局土地增值税清算管理规程〉的公告》（国家税务总局广东省税务局公告2019年第5号）第二十七条有关清算所附送的凭证资料不符合清算要求或不实情形的</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土地增值税扣除项目（房地产开发成本）中的工程造价金额参照本《标准》据以计算扣除成本。</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仿宋_GB2312" w:hAnsi="仿宋_GB2312" w:eastAsia="仿宋_GB2312" w:cs="仿宋_GB2312"/>
          <w:color w:val="auto"/>
          <w:spacing w:val="0"/>
          <w:sz w:val="32"/>
          <w:szCs w:val="32"/>
        </w:rPr>
      </w:pPr>
      <w:r>
        <w:rPr>
          <w:rFonts w:hint="eastAsia" w:ascii="仿宋_GB2312" w:hAnsi="仿宋_GB2312" w:eastAsia="仿宋_GB2312" w:cs="仿宋_GB2312"/>
          <w:color w:val="auto"/>
          <w:spacing w:val="0"/>
          <w:sz w:val="32"/>
          <w:szCs w:val="32"/>
        </w:rPr>
        <w:t>（二）在土地增值税清算过程中，纳税人符合《国家税务总局广东省税务局关于发布〈国家税务总局广东省税务局土地增值税清算管理规程〉的公告》（国家税务总局广东省税务局公告2019年第5号）第四十条规定的核定征收条件，税务机关根据第四十一条规定对清算项目进行评估计算时，通过适用“标准”</w:t>
      </w:r>
      <w:r>
        <w:rPr>
          <w:rFonts w:hint="eastAsia" w:ascii="仿宋_GB2312" w:hAnsi="仿宋_GB2312" w:eastAsia="仿宋_GB2312" w:cs="仿宋_GB2312"/>
          <w:color w:val="auto"/>
          <w:spacing w:val="0"/>
          <w:sz w:val="32"/>
          <w:szCs w:val="32"/>
          <w:lang w:eastAsia="zh-CN"/>
        </w:rPr>
        <w:t>计</w:t>
      </w:r>
      <w:r>
        <w:rPr>
          <w:rFonts w:hint="eastAsia" w:ascii="仿宋_GB2312" w:hAnsi="仿宋_GB2312" w:eastAsia="仿宋_GB2312" w:cs="仿宋_GB2312"/>
          <w:color w:val="auto"/>
          <w:spacing w:val="0"/>
          <w:sz w:val="32"/>
          <w:szCs w:val="32"/>
        </w:rPr>
        <w:t>算其工程造价，作为核定应纳税额的参考标准。</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仿宋_GB2312" w:hAnsi="仿宋_GB2312" w:eastAsia="仿宋_GB2312" w:cs="仿宋_GB2312"/>
          <w:color w:val="auto"/>
          <w:spacing w:val="0"/>
          <w:sz w:val="32"/>
          <w:szCs w:val="32"/>
          <w:lang w:eastAsia="zh-CN"/>
        </w:rPr>
      </w:pPr>
      <w:r>
        <w:rPr>
          <w:rFonts w:hint="eastAsia" w:ascii="仿宋_GB2312" w:hAnsi="仿宋_GB2312" w:eastAsia="仿宋_GB2312" w:cs="仿宋_GB2312"/>
          <w:color w:val="auto"/>
          <w:spacing w:val="0"/>
          <w:sz w:val="32"/>
          <w:szCs w:val="32"/>
          <w:lang w:eastAsia="zh-CN"/>
        </w:rPr>
        <w:t>（三）</w:t>
      </w:r>
      <w:r>
        <w:rPr>
          <w:rFonts w:hint="eastAsia" w:ascii="仿宋_GB2312" w:hAnsi="仿宋_GB2312" w:eastAsia="仿宋_GB2312" w:cs="仿宋_GB2312"/>
          <w:color w:val="auto"/>
          <w:spacing w:val="0"/>
          <w:kern w:val="0"/>
          <w:sz w:val="32"/>
          <w:szCs w:val="32"/>
          <w:lang w:val="en-US" w:eastAsia="zh-CN" w:bidi="ar"/>
        </w:rPr>
        <w:t>在土地增值税清算过程中，纳税人对税务机关按照《公告》核定扣除项目金额有争议的，应当按税务机关的要求提供相关证据材料，经税务机关确认属实有效的，予以调整。上述相关证据材料包括但不限于设计（施工）图、竣工图、施工合同、预算书、结算书、工程量清单、材料苗木清单、监理单位签证等。</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黑体" w:hAnsi="黑体" w:eastAsia="黑体" w:cs="黑体"/>
          <w:b w:val="0"/>
          <w:bCs w:val="0"/>
          <w:color w:val="auto"/>
          <w:spacing w:val="0"/>
          <w:sz w:val="32"/>
          <w:szCs w:val="32"/>
        </w:rPr>
      </w:pPr>
      <w:r>
        <w:rPr>
          <w:rFonts w:hint="eastAsia" w:ascii="黑体" w:hAnsi="黑体" w:eastAsia="黑体" w:cs="黑体"/>
          <w:b w:val="0"/>
          <w:bCs w:val="0"/>
          <w:color w:val="auto"/>
          <w:spacing w:val="0"/>
          <w:sz w:val="32"/>
          <w:szCs w:val="32"/>
        </w:rPr>
        <w:t>二、适用时间</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仿宋_GB2312" w:hAnsi="仿宋_GB2312" w:eastAsia="仿宋_GB2312" w:cs="仿宋_GB2312"/>
          <w:color w:val="auto"/>
          <w:spacing w:val="0"/>
          <w:sz w:val="32"/>
          <w:szCs w:val="32"/>
        </w:rPr>
      </w:pPr>
      <w:r>
        <w:rPr>
          <w:rFonts w:hint="eastAsia" w:ascii="仿宋_GB2312" w:hAnsi="仿宋_GB2312" w:eastAsia="仿宋_GB2312" w:cs="仿宋_GB2312"/>
          <w:color w:val="auto"/>
          <w:spacing w:val="0"/>
          <w:sz w:val="32"/>
          <w:szCs w:val="32"/>
        </w:rPr>
        <w:t>税务机关通过“标准”测算工程造价时，适用房产工程开工至竣工期间所对应年度的数值。对于跨年度的工程，按照各年度工程施工月份数占总月份数的比例，乘以相应年度的造价核定扣除标准，求和后的加权工程造价标准作为适用标准。</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黑体" w:hAnsi="黑体" w:eastAsia="黑体" w:cs="黑体"/>
          <w:b w:val="0"/>
          <w:bCs w:val="0"/>
          <w:color w:val="auto"/>
          <w:spacing w:val="0"/>
          <w:sz w:val="32"/>
          <w:szCs w:val="32"/>
        </w:rPr>
      </w:pPr>
      <w:r>
        <w:rPr>
          <w:rFonts w:hint="eastAsia" w:ascii="黑体" w:hAnsi="黑体" w:eastAsia="黑体" w:cs="黑体"/>
          <w:b w:val="0"/>
          <w:bCs w:val="0"/>
          <w:color w:val="auto"/>
          <w:spacing w:val="0"/>
          <w:sz w:val="32"/>
          <w:szCs w:val="32"/>
        </w:rPr>
        <w:t>三、适用地区</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仿宋_GB2312" w:hAnsi="仿宋_GB2312" w:eastAsia="仿宋_GB2312" w:cs="仿宋_GB2312"/>
          <w:color w:val="auto"/>
          <w:spacing w:val="0"/>
          <w:sz w:val="32"/>
          <w:szCs w:val="32"/>
        </w:rPr>
      </w:pPr>
      <w:r>
        <w:rPr>
          <w:rFonts w:hint="eastAsia" w:ascii="仿宋_GB2312" w:hAnsi="仿宋_GB2312" w:eastAsia="仿宋_GB2312" w:cs="仿宋_GB2312"/>
          <w:color w:val="auto"/>
          <w:spacing w:val="0"/>
          <w:sz w:val="32"/>
          <w:szCs w:val="32"/>
        </w:rPr>
        <w:t>纳税人按房地产开发项目所在地分别适用“标准”中的</w:t>
      </w:r>
      <w:r>
        <w:rPr>
          <w:rFonts w:hint="eastAsia" w:ascii="仿宋_GB2312" w:hAnsi="仿宋_GB2312" w:eastAsia="仿宋_GB2312" w:cs="仿宋_GB2312"/>
          <w:color w:val="auto"/>
          <w:spacing w:val="0"/>
          <w:sz w:val="32"/>
          <w:szCs w:val="32"/>
          <w:lang w:eastAsia="zh-CN"/>
        </w:rPr>
        <w:t>所在地的调整系数</w:t>
      </w:r>
      <w:r>
        <w:rPr>
          <w:rFonts w:hint="eastAsia" w:ascii="仿宋_GB2312" w:hAnsi="仿宋_GB2312" w:eastAsia="仿宋_GB2312" w:cs="仿宋_GB2312"/>
          <w:color w:val="auto"/>
          <w:spacing w:val="0"/>
          <w:sz w:val="32"/>
          <w:szCs w:val="32"/>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黑体" w:hAnsi="黑体" w:eastAsia="黑体" w:cs="黑体"/>
          <w:b w:val="0"/>
          <w:bCs w:val="0"/>
          <w:color w:val="auto"/>
          <w:spacing w:val="0"/>
          <w:sz w:val="32"/>
          <w:szCs w:val="32"/>
        </w:rPr>
      </w:pPr>
      <w:r>
        <w:rPr>
          <w:rFonts w:hint="eastAsia" w:ascii="黑体" w:hAnsi="黑体" w:eastAsia="黑体" w:cs="黑体"/>
          <w:b w:val="0"/>
          <w:bCs w:val="0"/>
          <w:color w:val="auto"/>
          <w:spacing w:val="0"/>
          <w:sz w:val="32"/>
          <w:szCs w:val="32"/>
        </w:rPr>
        <w:t>四、施行时间</w:t>
      </w:r>
    </w:p>
    <w:p>
      <w:pPr>
        <w:keepNext w:val="0"/>
        <w:keepLines w:val="0"/>
        <w:pageBreakBefore w:val="0"/>
        <w:numPr>
          <w:ins w:id="1" w:author="陈海燕" w:date=""/>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pacing w:val="0"/>
          <w:sz w:val="32"/>
          <w:szCs w:val="32"/>
        </w:rPr>
      </w:pPr>
      <w:r>
        <w:rPr>
          <w:rFonts w:hint="eastAsia" w:ascii="仿宋_GB2312" w:hAnsi="仿宋_GB2312" w:eastAsia="仿宋_GB2312" w:cs="仿宋_GB2312"/>
          <w:color w:val="auto"/>
          <w:spacing w:val="0"/>
          <w:sz w:val="32"/>
          <w:szCs w:val="32"/>
        </w:rPr>
        <w:t>本公告自20</w:t>
      </w:r>
      <w:r>
        <w:rPr>
          <w:rFonts w:hint="eastAsia" w:ascii="仿宋_GB2312" w:hAnsi="仿宋_GB2312" w:eastAsia="仿宋_GB2312" w:cs="仿宋_GB2312"/>
          <w:color w:val="auto"/>
          <w:spacing w:val="0"/>
          <w:sz w:val="32"/>
          <w:szCs w:val="32"/>
          <w:lang w:val="en-US" w:eastAsia="zh-CN"/>
        </w:rPr>
        <w:t>22</w:t>
      </w:r>
      <w:r>
        <w:rPr>
          <w:rFonts w:hint="eastAsia" w:ascii="仿宋_GB2312" w:hAnsi="仿宋_GB2312" w:eastAsia="仿宋_GB2312" w:cs="仿宋_GB2312"/>
          <w:color w:val="auto"/>
          <w:spacing w:val="0"/>
          <w:sz w:val="32"/>
          <w:szCs w:val="32"/>
        </w:rPr>
        <w:t>年</w:t>
      </w:r>
      <w:r>
        <w:rPr>
          <w:rFonts w:hint="eastAsia" w:ascii="仿宋_GB2312" w:hAnsi="仿宋_GB2312" w:eastAsia="仿宋_GB2312" w:cs="仿宋_GB2312"/>
          <w:color w:val="auto"/>
          <w:spacing w:val="0"/>
          <w:sz w:val="32"/>
          <w:szCs w:val="32"/>
          <w:lang w:val="en-US" w:eastAsia="zh-CN"/>
        </w:rPr>
        <w:t>X</w:t>
      </w:r>
      <w:r>
        <w:rPr>
          <w:rFonts w:hint="eastAsia" w:ascii="仿宋_GB2312" w:hAnsi="仿宋_GB2312" w:eastAsia="仿宋_GB2312" w:cs="仿宋_GB2312"/>
          <w:color w:val="auto"/>
          <w:spacing w:val="0"/>
          <w:sz w:val="32"/>
          <w:szCs w:val="32"/>
        </w:rPr>
        <w:t>月</w:t>
      </w:r>
      <w:r>
        <w:rPr>
          <w:rFonts w:hint="eastAsia" w:ascii="仿宋_GB2312" w:hAnsi="仿宋_GB2312" w:eastAsia="仿宋_GB2312" w:cs="仿宋_GB2312"/>
          <w:color w:val="auto"/>
          <w:spacing w:val="0"/>
          <w:sz w:val="32"/>
          <w:szCs w:val="32"/>
          <w:lang w:val="en-US" w:eastAsia="zh-CN"/>
        </w:rPr>
        <w:t>X</w:t>
      </w:r>
      <w:r>
        <w:rPr>
          <w:rFonts w:hint="eastAsia" w:ascii="仿宋_GB2312" w:hAnsi="仿宋_GB2312" w:eastAsia="仿宋_GB2312" w:cs="仿宋_GB2312"/>
          <w:color w:val="auto"/>
          <w:spacing w:val="0"/>
          <w:sz w:val="32"/>
          <w:szCs w:val="32"/>
        </w:rPr>
        <w:t>日起施行，有效期5年。</w:t>
      </w:r>
    </w:p>
    <w:p>
      <w:pPr>
        <w:keepNext w:val="0"/>
        <w:keepLines w:val="0"/>
        <w:pageBreakBefore w:val="0"/>
        <w:numPr>
          <w:ins w:id="2" w:author="陈海燕" w:date=""/>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pacing w:val="0"/>
          <w:sz w:val="32"/>
          <w:szCs w:val="32"/>
        </w:rPr>
        <w:t>特此公告。</w:t>
      </w:r>
    </w:p>
    <w:p>
      <w:pPr>
        <w:keepNext w:val="0"/>
        <w:keepLines w:val="0"/>
        <w:pageBreakBefore w:val="0"/>
        <w:numPr>
          <w:ins w:id="3" w:author="陈海燕" w:date=""/>
        </w:numPr>
        <w:kinsoku/>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p>
    <w:p>
      <w:pPr>
        <w:keepNext w:val="0"/>
        <w:keepLines w:val="0"/>
        <w:pageBreakBefore w:val="0"/>
        <w:numPr>
          <w:ins w:id="4" w:author="陈海燕" w:date=""/>
        </w:numPr>
        <w:kinsoku/>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bookmarkStart w:id="2" w:name="_GoBack"/>
      <w:bookmarkEnd w:id="2"/>
    </w:p>
    <w:p>
      <w:pPr>
        <w:keepNext w:val="0"/>
        <w:keepLines w:val="0"/>
        <w:pageBreakBefore w:val="0"/>
        <w:numPr>
          <w:ins w:id="5" w:author="陈海燕" w:date=""/>
        </w:numPr>
        <w:kinsoku/>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eastAsia="zh-CN"/>
        </w:rPr>
        <w:t>国家税务总局</w:t>
      </w:r>
      <w:r>
        <w:rPr>
          <w:rFonts w:hint="eastAsia" w:ascii="仿宋_GB2312" w:hAnsi="仿宋_GB2312" w:eastAsia="仿宋_GB2312" w:cs="仿宋_GB2312"/>
          <w:color w:val="auto"/>
          <w:sz w:val="32"/>
          <w:szCs w:val="32"/>
        </w:rPr>
        <w:t xml:space="preserve">云浮市税务局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 xml:space="preserve"> 云浮市住房和城乡建设局</w:t>
      </w:r>
    </w:p>
    <w:p>
      <w:pPr>
        <w:keepNext w:val="0"/>
        <w:keepLines w:val="0"/>
        <w:pageBreakBefore w:val="0"/>
        <w:numPr>
          <w:ins w:id="6" w:author="陈海燕" w:date=""/>
        </w:numPr>
        <w:kinsoku/>
        <w:wordWrap w:val="0"/>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color w:val="auto"/>
          <w:sz w:val="32"/>
          <w:szCs w:val="32"/>
        </w:rPr>
        <w:sectPr>
          <w:pgSz w:w="11906" w:h="16838"/>
          <w:pgMar w:top="1440" w:right="1474" w:bottom="1440" w:left="1587" w:header="851" w:footer="992" w:gutter="0"/>
          <w:cols w:space="425" w:num="1"/>
          <w:docGrid w:type="lines" w:linePitch="312" w:charSpace="0"/>
        </w:sectPr>
      </w:pPr>
      <w:r>
        <w:rPr>
          <w:rFonts w:hint="eastAsia" w:ascii="仿宋_GB2312" w:hAnsi="仿宋_GB2312" w:eastAsia="仿宋_GB2312" w:cs="仿宋_GB2312"/>
          <w:color w:val="auto"/>
          <w:sz w:val="32"/>
          <w:szCs w:val="32"/>
        </w:rPr>
        <w:t xml:space="preserve">                                20</w:t>
      </w:r>
      <w:r>
        <w:rPr>
          <w:rFonts w:hint="eastAsia" w:ascii="仿宋_GB2312" w:hAnsi="仿宋_GB2312" w:eastAsia="仿宋_GB2312" w:cs="仿宋_GB2312"/>
          <w:color w:val="auto"/>
          <w:sz w:val="32"/>
          <w:szCs w:val="32"/>
          <w:lang w:val="en-US" w:eastAsia="zh-CN"/>
        </w:rPr>
        <w:t>2X</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X</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lang w:val="en-US" w:eastAsia="zh-CN"/>
        </w:rPr>
        <w:t>X</w:t>
      </w:r>
      <w:r>
        <w:rPr>
          <w:rFonts w:hint="eastAsia" w:ascii="仿宋_GB2312" w:hAnsi="仿宋_GB2312" w:eastAsia="仿宋_GB2312" w:cs="仿宋_GB2312"/>
          <w:color w:val="auto"/>
          <w:sz w:val="32"/>
          <w:szCs w:val="32"/>
        </w:rPr>
        <w:t>日</w:t>
      </w:r>
    </w:p>
    <w:bookmarkEnd w:id="0"/>
    <w:bookmarkEnd w:id="1"/>
    <w:p>
      <w:pPr>
        <w:jc w:val="left"/>
        <w:rPr>
          <w:rFonts w:hint="eastAsia" w:ascii="方正小标宋简体" w:hAnsi="方正小标宋简体" w:eastAsia="方正小标宋简体" w:cs="方正小标宋简体"/>
          <w:bCs/>
          <w:sz w:val="32"/>
          <w:szCs w:val="32"/>
        </w:rPr>
      </w:pPr>
    </w:p>
    <w:sectPr>
      <w:pgSz w:w="11907" w:h="16840"/>
      <w:pgMar w:top="1985" w:right="1418" w:bottom="1418"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陈海燕">
    <w15:presenceInfo w15:providerId="None" w15:userId="陈海燕"/>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925000"/>
    <w:rsid w:val="037447ED"/>
    <w:rsid w:val="0878241C"/>
    <w:rsid w:val="0E4D4043"/>
    <w:rsid w:val="11F96E4F"/>
    <w:rsid w:val="19AD00ED"/>
    <w:rsid w:val="1D3D0FEB"/>
    <w:rsid w:val="20D50FFE"/>
    <w:rsid w:val="281415EC"/>
    <w:rsid w:val="2E9E209A"/>
    <w:rsid w:val="32440888"/>
    <w:rsid w:val="42746D22"/>
    <w:rsid w:val="44F450D0"/>
    <w:rsid w:val="516952BD"/>
    <w:rsid w:val="55A96AE9"/>
    <w:rsid w:val="59EA573A"/>
    <w:rsid w:val="61090DFD"/>
    <w:rsid w:val="690760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qFormat/>
    <w:uiPriority w:val="0"/>
  </w:style>
  <w:style w:type="table" w:default="1" w:styleId="4">
    <w:name w:val="Normal Table"/>
    <w:qFormat/>
    <w:uiPriority w:val="0"/>
    <w:tblPr>
      <w:tblCellMar>
        <w:top w:w="0" w:type="dxa"/>
        <w:left w:w="108" w:type="dxa"/>
        <w:bottom w:w="0" w:type="dxa"/>
        <w:right w:w="108" w:type="dxa"/>
      </w:tblCellMar>
    </w:tblPr>
  </w:style>
  <w:style w:type="paragraph" w:styleId="2">
    <w:name w:val="Body Text"/>
    <w:basedOn w:val="1"/>
    <w:qFormat/>
    <w:uiPriority w:val="0"/>
    <w:pPr>
      <w:jc w:val="center"/>
    </w:pPr>
    <w:rPr>
      <w:b/>
      <w:color w:val="FF0000"/>
      <w:w w:val="90"/>
      <w:position w:val="4"/>
      <w:sz w:val="96"/>
      <w:szCs w:val="60"/>
    </w:rPr>
  </w:style>
  <w:style w:type="paragraph" w:styleId="3">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customStyle="1" w:styleId="6">
    <w:name w:val=" Char Char"/>
    <w:basedOn w:val="5"/>
    <w:link w:val="7"/>
    <w:qFormat/>
    <w:uiPriority w:val="0"/>
    <w:rPr>
      <w:rFonts w:ascii="Times New Roman" w:hAnsi="Times New Roman" w:eastAsia="宋体" w:cs="Times New Roman"/>
      <w:kern w:val="2"/>
      <w:sz w:val="18"/>
      <w:szCs w:val="18"/>
    </w:rPr>
  </w:style>
  <w:style w:type="paragraph" w:customStyle="1" w:styleId="7">
    <w:name w:val="页眉 New"/>
    <w:basedOn w:val="1"/>
    <w:link w:val="6"/>
    <w:qFormat/>
    <w:uiPriority w:val="0"/>
    <w:pPr>
      <w:pBdr>
        <w:bottom w:val="single" w:color="auto" w:sz="6" w:space="1"/>
      </w:pBdr>
      <w:tabs>
        <w:tab w:val="center" w:pos="4153"/>
        <w:tab w:val="right" w:pos="8306"/>
      </w:tabs>
      <w:snapToGrid w:val="0"/>
      <w:jc w:val="center"/>
    </w:pPr>
    <w:rPr>
      <w:kern w:val="2"/>
      <w:sz w:val="18"/>
      <w:szCs w:val="18"/>
    </w:rPr>
  </w:style>
  <w:style w:type="character" w:customStyle="1" w:styleId="8">
    <w:name w:val="页码 New"/>
    <w:basedOn w:val="5"/>
    <w:qFormat/>
    <w:uiPriority w:val="0"/>
    <w:rPr>
      <w:rFonts w:ascii="Times New Roman" w:hAnsi="Times New Roman" w:eastAsia="宋体" w:cs="Times New Roman"/>
    </w:rPr>
  </w:style>
  <w:style w:type="paragraph" w:customStyle="1" w:styleId="9">
    <w:name w:val="正文 New"/>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
    <w:name w:val="纯文本 New"/>
    <w:basedOn w:val="1"/>
    <w:qFormat/>
    <w:uiPriority w:val="0"/>
    <w:rPr>
      <w:rFonts w:ascii="宋体" w:hAnsi="Courier New" w:cs="Courier New"/>
      <w:szCs w:val="21"/>
    </w:rPr>
  </w:style>
  <w:style w:type="paragraph" w:customStyle="1" w:styleId="11">
    <w:name w:val="页脚 New"/>
    <w:basedOn w:val="1"/>
    <w:qFormat/>
    <w:uiPriority w:val="0"/>
    <w:pPr>
      <w:tabs>
        <w:tab w:val="center" w:pos="4153"/>
        <w:tab w:val="right" w:pos="8306"/>
      </w:tabs>
      <w:snapToGrid w:val="0"/>
      <w:jc w:val="left"/>
    </w:pPr>
    <w:rPr>
      <w:sz w:val="18"/>
      <w:szCs w:val="18"/>
    </w:rPr>
  </w:style>
  <w:style w:type="character" w:customStyle="1" w:styleId="12">
    <w:name w:val="font112"/>
    <w:basedOn w:val="5"/>
    <w:qFormat/>
    <w:uiPriority w:val="0"/>
    <w:rPr>
      <w:rFonts w:hint="eastAsia" w:ascii="宋体" w:hAnsi="宋体" w:eastAsia="宋体" w:cs="宋体"/>
      <w:color w:val="000000"/>
      <w:sz w:val="12"/>
      <w:szCs w:val="12"/>
      <w:u w:val="none"/>
    </w:rPr>
  </w:style>
  <w:style w:type="character" w:customStyle="1" w:styleId="13">
    <w:name w:val="font121"/>
    <w:basedOn w:val="5"/>
    <w:qFormat/>
    <w:uiPriority w:val="0"/>
    <w:rPr>
      <w:rFonts w:hint="eastAsia" w:ascii="宋体" w:hAnsi="宋体" w:eastAsia="宋体" w:cs="宋体"/>
      <w:color w:val="000000"/>
      <w:sz w:val="12"/>
      <w:szCs w:val="12"/>
      <w:u w:val="none"/>
    </w:rPr>
  </w:style>
  <w:style w:type="character" w:customStyle="1" w:styleId="14">
    <w:name w:val="font101"/>
    <w:basedOn w:val="5"/>
    <w:qFormat/>
    <w:uiPriority w:val="0"/>
    <w:rPr>
      <w:rFonts w:hint="eastAsia" w:ascii="宋体" w:hAnsi="宋体" w:eastAsia="宋体" w:cs="宋体"/>
      <w:color w:val="000000"/>
      <w:sz w:val="12"/>
      <w:szCs w:val="12"/>
      <w:u w:val="none"/>
    </w:rPr>
  </w:style>
  <w:style w:type="character" w:customStyle="1" w:styleId="15">
    <w:name w:val="font91"/>
    <w:basedOn w:val="5"/>
    <w:qFormat/>
    <w:uiPriority w:val="0"/>
    <w:rPr>
      <w:rFonts w:hint="eastAsia" w:ascii="宋体" w:hAnsi="宋体" w:eastAsia="宋体" w:cs="宋体"/>
      <w:color w:val="000000"/>
      <w:sz w:val="12"/>
      <w:szCs w:val="12"/>
      <w:u w:val="none"/>
    </w:rPr>
  </w:style>
  <w:style w:type="character" w:customStyle="1" w:styleId="16">
    <w:name w:val="font11"/>
    <w:basedOn w:val="5"/>
    <w:qFormat/>
    <w:uiPriority w:val="0"/>
    <w:rPr>
      <w:rFonts w:hint="eastAsia" w:ascii="宋体" w:hAnsi="宋体" w:eastAsia="宋体" w:cs="宋体"/>
      <w:color w:val="000000"/>
      <w:sz w:val="12"/>
      <w:szCs w:val="12"/>
      <w:u w:val="none"/>
    </w:rPr>
  </w:style>
  <w:style w:type="character" w:customStyle="1" w:styleId="17">
    <w:name w:val="font01"/>
    <w:basedOn w:val="5"/>
    <w:qFormat/>
    <w:uiPriority w:val="0"/>
    <w:rPr>
      <w:rFonts w:hint="eastAsia" w:ascii="宋体" w:hAnsi="宋体" w:eastAsia="宋体" w:cs="宋体"/>
      <w:color w:val="000000"/>
      <w:sz w:val="12"/>
      <w:szCs w:val="12"/>
      <w:u w:val="none"/>
    </w:rPr>
  </w:style>
</w:styles>
</file>

<file path=word/_rels/document.xml.rels><?xml version="1.0" encoding="UTF-8" standalone="yes"?>
<Relationships xmlns="http://schemas.openxmlformats.org/package/2006/relationships"><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52</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2022-02-09T03:02:00Z</dcterms:created>
  <dc:creator>admin</dc:creator>
  <cp:lastModifiedBy>刘美晨</cp:lastModifiedBy>
  <dcterms:modified xsi:type="dcterms:W3CDTF">2022-04-07T08:49:44Z</dcterms:modified>
  <dc:title>国家税务总局云浮市税务局   云浮市住房和城乡建设局关于发布云浮市2016-2018年土地增值税工程造价核定扣除标准的公告</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