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仿宋_GB2312" w:eastAsia="仿宋_GB2312"/>
          <w:sz w:val="30"/>
          <w:szCs w:val="30"/>
        </w:rPr>
      </w:pPr>
      <w:bookmarkStart w:id="0" w:name="_GoBack"/>
      <w:bookmarkEnd w:id="0"/>
      <w:r>
        <w:rPr>
          <w:rFonts w:hint="eastAsia" w:ascii="方正小标宋简体" w:eastAsia="方正小标宋简体" w:cs="方正小标宋简体"/>
          <w:b/>
          <w:bCs/>
          <w:sz w:val="44"/>
          <w:szCs w:val="44"/>
        </w:rPr>
        <w:t>受疫情影响较大的困难行业企业2020年度发生的亏损最长结转年限延长至8年</w:t>
      </w:r>
    </w:p>
    <w:p>
      <w:pPr>
        <w:ind w:firstLine="480" w:firstLineChars="150"/>
        <w:jc w:val="left"/>
        <w:rPr>
          <w:rFonts w:hint="eastAsia" w:ascii="黑体" w:eastAsia="黑体" w:cs="黑体"/>
          <w:sz w:val="32"/>
          <w:szCs w:val="32"/>
        </w:rPr>
      </w:pPr>
    </w:p>
    <w:p>
      <w:pPr>
        <w:ind w:firstLine="480" w:firstLineChars="150"/>
        <w:jc w:val="left"/>
        <w:rPr>
          <w:rFonts w:ascii="黑体" w:eastAsia="黑体"/>
          <w:sz w:val="32"/>
          <w:szCs w:val="32"/>
        </w:rPr>
      </w:pPr>
      <w:r>
        <w:rPr>
          <w:rFonts w:hint="eastAsia" w:ascii="黑体" w:eastAsia="黑体" w:cs="黑体"/>
          <w:sz w:val="32"/>
          <w:szCs w:val="32"/>
        </w:rPr>
        <w:t>一、政策描述</w:t>
      </w:r>
    </w:p>
    <w:p>
      <w:pPr>
        <w:ind w:firstLine="480" w:firstLineChars="150"/>
        <w:jc w:val="left"/>
        <w:rPr>
          <w:rFonts w:ascii="仿宋_GB2312" w:hAnsi="仿宋" w:eastAsia="仿宋_GB2312"/>
          <w:color w:val="222222"/>
          <w:sz w:val="32"/>
          <w:szCs w:val="32"/>
          <w:shd w:val="clear" w:color="auto" w:fill="F8F8F8"/>
        </w:rPr>
      </w:pPr>
      <w:r>
        <w:rPr>
          <w:rFonts w:hint="eastAsia" w:ascii="仿宋_GB2312" w:hAnsi="仿宋" w:eastAsia="仿宋_GB2312" w:cs="仿宋_GB2312"/>
          <w:color w:val="222222"/>
          <w:sz w:val="32"/>
          <w:szCs w:val="32"/>
          <w:shd w:val="clear" w:color="auto" w:fill="F8F8F8"/>
        </w:rPr>
        <w:t>受疫情影响较大的困难行业企业</w:t>
      </w:r>
      <w:r>
        <w:rPr>
          <w:rFonts w:ascii="仿宋_GB2312" w:hAnsi="仿宋" w:eastAsia="仿宋_GB2312" w:cs="仿宋_GB2312"/>
          <w:color w:val="222222"/>
          <w:sz w:val="32"/>
          <w:szCs w:val="32"/>
          <w:shd w:val="clear" w:color="auto" w:fill="F8F8F8"/>
        </w:rPr>
        <w:t>2020</w:t>
      </w:r>
      <w:r>
        <w:rPr>
          <w:rFonts w:hint="eastAsia" w:ascii="仿宋_GB2312" w:hAnsi="仿宋" w:eastAsia="仿宋_GB2312" w:cs="仿宋_GB2312"/>
          <w:color w:val="222222"/>
          <w:sz w:val="32"/>
          <w:szCs w:val="32"/>
          <w:shd w:val="clear" w:color="auto" w:fill="F8F8F8"/>
        </w:rPr>
        <w:t>年度发生的亏损，最长结转年限由</w:t>
      </w:r>
      <w:r>
        <w:rPr>
          <w:rFonts w:ascii="仿宋_GB2312" w:hAnsi="仿宋" w:eastAsia="仿宋_GB2312" w:cs="仿宋_GB2312"/>
          <w:color w:val="222222"/>
          <w:sz w:val="32"/>
          <w:szCs w:val="32"/>
          <w:shd w:val="clear" w:color="auto" w:fill="F8F8F8"/>
        </w:rPr>
        <w:t>5</w:t>
      </w:r>
      <w:r>
        <w:rPr>
          <w:rFonts w:hint="eastAsia" w:ascii="仿宋_GB2312" w:hAnsi="仿宋" w:eastAsia="仿宋_GB2312" w:cs="仿宋_GB2312"/>
          <w:color w:val="222222"/>
          <w:sz w:val="32"/>
          <w:szCs w:val="32"/>
          <w:shd w:val="clear" w:color="auto" w:fill="F8F8F8"/>
        </w:rPr>
        <w:t>年延长至</w:t>
      </w:r>
      <w:r>
        <w:rPr>
          <w:rFonts w:ascii="仿宋_GB2312" w:hAnsi="仿宋" w:eastAsia="仿宋_GB2312" w:cs="仿宋_GB2312"/>
          <w:color w:val="222222"/>
          <w:sz w:val="32"/>
          <w:szCs w:val="32"/>
          <w:shd w:val="clear" w:color="auto" w:fill="F8F8F8"/>
        </w:rPr>
        <w:t>8</w:t>
      </w:r>
      <w:r>
        <w:rPr>
          <w:rFonts w:hint="eastAsia" w:ascii="仿宋_GB2312" w:hAnsi="仿宋" w:eastAsia="仿宋_GB2312" w:cs="仿宋_GB2312"/>
          <w:color w:val="222222"/>
          <w:sz w:val="32"/>
          <w:szCs w:val="32"/>
          <w:shd w:val="clear" w:color="auto" w:fill="F8F8F8"/>
        </w:rPr>
        <w:t>年。</w:t>
      </w:r>
    </w:p>
    <w:p>
      <w:pPr>
        <w:ind w:firstLine="480" w:firstLineChars="150"/>
        <w:jc w:val="left"/>
        <w:rPr>
          <w:rFonts w:hint="eastAsia" w:ascii="黑体" w:hAnsi="仿宋" w:eastAsia="黑体" w:cs="黑体"/>
          <w:color w:val="000000"/>
          <w:sz w:val="32"/>
          <w:szCs w:val="32"/>
        </w:rPr>
      </w:pPr>
      <w:r>
        <w:rPr>
          <w:rFonts w:hint="eastAsia" w:ascii="黑体" w:hAnsi="仿宋" w:eastAsia="黑体" w:cs="黑体"/>
          <w:color w:val="000000"/>
          <w:sz w:val="32"/>
          <w:szCs w:val="32"/>
        </w:rPr>
        <w:t>二、主要内容</w:t>
      </w:r>
    </w:p>
    <w:p>
      <w:pPr>
        <w:ind w:firstLine="480" w:firstLineChars="150"/>
        <w:jc w:val="left"/>
        <w:rPr>
          <w:rFonts w:hint="eastAsia" w:ascii="仿宋_GB2312" w:hAnsi="仿宋" w:eastAsia="仿宋_GB2312" w:cs="仿宋_GB2312"/>
          <w:color w:val="222222"/>
          <w:sz w:val="32"/>
          <w:szCs w:val="32"/>
          <w:shd w:val="clear" w:color="auto" w:fill="F8F8F8"/>
        </w:rPr>
      </w:pPr>
      <w:r>
        <w:rPr>
          <w:rFonts w:hint="eastAsia" w:ascii="仿宋_GB2312" w:hAnsi="仿宋" w:eastAsia="仿宋_GB2312" w:cs="黑体"/>
          <w:color w:val="000000"/>
          <w:sz w:val="32"/>
          <w:szCs w:val="32"/>
        </w:rPr>
        <w:t>（一）享受主体</w:t>
      </w:r>
      <w:r>
        <w:rPr>
          <w:rFonts w:hint="eastAsia" w:ascii="仿宋_GB2312" w:hAnsi="仿宋" w:eastAsia="仿宋_GB2312"/>
          <w:color w:val="000000"/>
          <w:sz w:val="32"/>
          <w:szCs w:val="32"/>
        </w:rPr>
        <w:t>为</w:t>
      </w:r>
      <w:r>
        <w:rPr>
          <w:rFonts w:hint="eastAsia" w:ascii="仿宋_GB2312" w:hAnsi="仿宋" w:eastAsia="仿宋_GB2312" w:cs="仿宋_GB2312"/>
          <w:color w:val="222222"/>
          <w:sz w:val="32"/>
          <w:szCs w:val="32"/>
          <w:shd w:val="clear" w:color="auto" w:fill="F8F8F8"/>
        </w:rPr>
        <w:t>交通运输、餐饮、住宿、旅游（指旅行社及相关服务、游览景区管理两类）四大类企业。</w:t>
      </w:r>
    </w:p>
    <w:p>
      <w:pPr>
        <w:ind w:firstLine="480" w:firstLineChars="150"/>
        <w:jc w:val="left"/>
        <w:rPr>
          <w:rFonts w:hint="eastAsia" w:ascii="仿宋_GB2312" w:eastAsia="仿宋_GB2312" w:cs="仿宋_GB2312"/>
          <w:color w:val="222222"/>
          <w:sz w:val="32"/>
          <w:szCs w:val="32"/>
        </w:rPr>
      </w:pPr>
      <w:r>
        <w:rPr>
          <w:rFonts w:hint="eastAsia" w:ascii="仿宋_GB2312" w:hAnsi="仿宋" w:eastAsia="仿宋_GB2312" w:cs="仿宋_GB2312"/>
          <w:color w:val="222222"/>
          <w:sz w:val="32"/>
          <w:szCs w:val="32"/>
          <w:shd w:val="clear" w:color="auto" w:fill="F8F8F8"/>
        </w:rPr>
        <w:t>（二）</w:t>
      </w:r>
      <w:r>
        <w:rPr>
          <w:rFonts w:hint="eastAsia" w:ascii="仿宋_GB2312" w:eastAsia="仿宋_GB2312" w:cs="仿宋_GB2312"/>
          <w:color w:val="222222"/>
          <w:sz w:val="32"/>
          <w:szCs w:val="32"/>
        </w:rPr>
        <w:t>困难行业企业，包括交通运输、餐饮、住宿、旅游（指旅行社及相关服务、游览景区管理两类）四大类，具体判断标准按照现行《国民经济行业分类》执行。</w:t>
      </w:r>
    </w:p>
    <w:p>
      <w:pPr>
        <w:ind w:firstLine="480" w:firstLineChars="150"/>
        <w:jc w:val="left"/>
        <w:rPr>
          <w:rFonts w:hint="eastAsia" w:ascii="仿宋_GB2312" w:eastAsia="仿宋_GB2312" w:cs="仿宋_GB2312"/>
          <w:color w:val="222222"/>
          <w:sz w:val="32"/>
          <w:szCs w:val="32"/>
        </w:rPr>
      </w:pPr>
      <w:r>
        <w:rPr>
          <w:rFonts w:hint="eastAsia" w:ascii="仿宋_GB2312" w:eastAsia="仿宋_GB2312" w:cs="仿宋_GB2312"/>
          <w:color w:val="222222"/>
          <w:sz w:val="32"/>
          <w:szCs w:val="32"/>
        </w:rPr>
        <w:t>（三）困难行业企业</w:t>
      </w:r>
      <w:r>
        <w:rPr>
          <w:rFonts w:ascii="仿宋_GB2312" w:eastAsia="仿宋_GB2312" w:cs="仿宋_GB2312"/>
          <w:color w:val="222222"/>
          <w:sz w:val="32"/>
          <w:szCs w:val="32"/>
        </w:rPr>
        <w:t>2020</w:t>
      </w:r>
      <w:r>
        <w:rPr>
          <w:rFonts w:hint="eastAsia" w:ascii="仿宋_GB2312" w:eastAsia="仿宋_GB2312" w:cs="仿宋_GB2312"/>
          <w:color w:val="222222"/>
          <w:sz w:val="32"/>
          <w:szCs w:val="32"/>
        </w:rPr>
        <w:t>年度主营业务收入须占收入总额（剔除不征税收入和投资收益）的</w:t>
      </w:r>
      <w:r>
        <w:rPr>
          <w:rFonts w:ascii="仿宋_GB2312" w:eastAsia="仿宋_GB2312" w:cs="仿宋_GB2312"/>
          <w:color w:val="222222"/>
          <w:sz w:val="32"/>
          <w:szCs w:val="32"/>
        </w:rPr>
        <w:t>50%</w:t>
      </w:r>
      <w:r>
        <w:rPr>
          <w:rFonts w:hint="eastAsia" w:ascii="仿宋_GB2312" w:eastAsia="仿宋_GB2312" w:cs="仿宋_GB2312"/>
          <w:color w:val="222222"/>
          <w:sz w:val="32"/>
          <w:szCs w:val="32"/>
        </w:rPr>
        <w:t>以上。</w:t>
      </w:r>
    </w:p>
    <w:p>
      <w:pPr>
        <w:ind w:firstLine="480" w:firstLineChars="150"/>
        <w:jc w:val="left"/>
        <w:rPr>
          <w:rFonts w:ascii="仿宋_GB2312" w:hAnsi="仿宋" w:eastAsia="仿宋_GB2312"/>
          <w:color w:val="000000"/>
          <w:sz w:val="32"/>
          <w:szCs w:val="32"/>
        </w:rPr>
      </w:pPr>
      <w:r>
        <w:rPr>
          <w:rFonts w:hint="eastAsia" w:ascii="仿宋_GB2312" w:eastAsia="仿宋_GB2312" w:cs="仿宋_GB2312"/>
          <w:color w:val="222222"/>
          <w:sz w:val="32"/>
          <w:szCs w:val="32"/>
        </w:rPr>
        <w:t>（四）受疫情影响较大的困难行业企业</w:t>
      </w:r>
      <w:r>
        <w:rPr>
          <w:rFonts w:ascii="仿宋_GB2312" w:eastAsia="仿宋_GB2312" w:cs="仿宋_GB2312"/>
          <w:color w:val="222222"/>
          <w:sz w:val="32"/>
          <w:szCs w:val="32"/>
        </w:rPr>
        <w:t>2020</w:t>
      </w:r>
      <w:r>
        <w:rPr>
          <w:rFonts w:hint="eastAsia" w:ascii="仿宋_GB2312" w:eastAsia="仿宋_GB2312" w:cs="仿宋_GB2312"/>
          <w:color w:val="222222"/>
          <w:sz w:val="32"/>
          <w:szCs w:val="32"/>
        </w:rPr>
        <w:t>年度发生的亏损，最长结转年限由</w:t>
      </w:r>
      <w:r>
        <w:rPr>
          <w:rFonts w:ascii="仿宋_GB2312" w:eastAsia="仿宋_GB2312" w:cs="仿宋_GB2312"/>
          <w:color w:val="222222"/>
          <w:sz w:val="32"/>
          <w:szCs w:val="32"/>
        </w:rPr>
        <w:t>5</w:t>
      </w:r>
      <w:r>
        <w:rPr>
          <w:rFonts w:hint="eastAsia" w:ascii="仿宋_GB2312" w:eastAsia="仿宋_GB2312" w:cs="仿宋_GB2312"/>
          <w:color w:val="222222"/>
          <w:sz w:val="32"/>
          <w:szCs w:val="32"/>
        </w:rPr>
        <w:t>年延长至</w:t>
      </w:r>
      <w:r>
        <w:rPr>
          <w:rFonts w:ascii="仿宋_GB2312" w:eastAsia="仿宋_GB2312" w:cs="仿宋_GB2312"/>
          <w:color w:val="222222"/>
          <w:sz w:val="32"/>
          <w:szCs w:val="32"/>
        </w:rPr>
        <w:t>8</w:t>
      </w:r>
      <w:r>
        <w:rPr>
          <w:rFonts w:hint="eastAsia" w:ascii="仿宋_GB2312" w:eastAsia="仿宋_GB2312" w:cs="仿宋_GB2312"/>
          <w:color w:val="222222"/>
          <w:sz w:val="32"/>
          <w:szCs w:val="32"/>
        </w:rPr>
        <w:t>年。</w:t>
      </w:r>
    </w:p>
    <w:p>
      <w:pPr>
        <w:ind w:firstLine="600"/>
        <w:jc w:val="left"/>
        <w:rPr>
          <w:rFonts w:ascii="黑体" w:hAnsi="仿宋" w:eastAsia="黑体" w:cs="仿宋"/>
          <w:color w:val="000000"/>
          <w:sz w:val="32"/>
          <w:szCs w:val="32"/>
        </w:rPr>
      </w:pPr>
      <w:r>
        <w:rPr>
          <w:rFonts w:hint="eastAsia" w:ascii="黑体" w:hAnsi="仿宋" w:eastAsia="黑体" w:cs="仿宋"/>
          <w:color w:val="000000"/>
          <w:sz w:val="32"/>
          <w:szCs w:val="32"/>
        </w:rPr>
        <w:t xml:space="preserve">三、 </w:t>
      </w:r>
      <w:r>
        <w:rPr>
          <w:rFonts w:hint="eastAsia" w:ascii="黑体" w:hAnsi="仿宋" w:eastAsia="黑体" w:cs="仿宋"/>
          <w:color w:val="000000"/>
          <w:kern w:val="0"/>
          <w:sz w:val="32"/>
          <w:szCs w:val="32"/>
        </w:rPr>
        <w:t>执行期限</w:t>
      </w:r>
    </w:p>
    <w:p>
      <w:pPr>
        <w:snapToGrid w:val="0"/>
        <w:spacing w:line="360" w:lineRule="auto"/>
        <w:ind w:firstLine="645"/>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自2020年1月1日起实施，截止日期视疫情情况另行公告。</w:t>
      </w:r>
    </w:p>
    <w:p>
      <w:pPr>
        <w:ind w:firstLine="640" w:firstLineChars="200"/>
        <w:jc w:val="left"/>
        <w:rPr>
          <w:rFonts w:ascii="黑体" w:hAnsi="仿宋" w:eastAsia="黑体"/>
          <w:color w:val="000000"/>
          <w:sz w:val="32"/>
          <w:szCs w:val="32"/>
        </w:rPr>
      </w:pPr>
      <w:r>
        <w:rPr>
          <w:rFonts w:hint="eastAsia" w:ascii="黑体" w:hAnsi="仿宋" w:eastAsia="黑体" w:cs="黑体"/>
          <w:color w:val="000000"/>
          <w:sz w:val="32"/>
          <w:szCs w:val="32"/>
        </w:rPr>
        <w:t>四、政策依据</w:t>
      </w:r>
    </w:p>
    <w:p>
      <w:pPr>
        <w:snapToGrid w:val="0"/>
        <w:spacing w:line="360" w:lineRule="auto"/>
        <w:ind w:firstLine="480" w:firstLineChars="150"/>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（一）《财政部</w:t>
      </w:r>
      <w:r>
        <w:rPr>
          <w:rFonts w:ascii="仿宋_GB2312" w:hAnsi="仿宋" w:eastAsia="仿宋_GB2312" w:cs="仿宋_GB2312"/>
          <w:color w:val="000000"/>
          <w:kern w:val="0"/>
          <w:sz w:val="32"/>
          <w:szCs w:val="32"/>
        </w:rPr>
        <w:t xml:space="preserve"> </w:t>
      </w:r>
      <w:r>
        <w:rPr>
          <w:rFonts w:hint="eastAsia" w:ascii="仿宋_GB2312" w:hAnsi="仿宋" w:eastAsia="仿宋_GB2312" w:cs="仿宋_GB2312"/>
          <w:color w:val="000000"/>
          <w:kern w:val="0"/>
          <w:sz w:val="32"/>
          <w:szCs w:val="32"/>
        </w:rPr>
        <w:t>税务总局关于支持新型冠状病毒感染的肺炎疫情防控有关税收政策的公告》（财政部</w:t>
      </w:r>
      <w:r>
        <w:rPr>
          <w:rFonts w:ascii="仿宋_GB2312" w:hAnsi="仿宋" w:eastAsia="仿宋_GB2312" w:cs="仿宋_GB2312"/>
          <w:color w:val="000000"/>
          <w:kern w:val="0"/>
          <w:sz w:val="32"/>
          <w:szCs w:val="32"/>
        </w:rPr>
        <w:t xml:space="preserve"> </w:t>
      </w:r>
      <w:r>
        <w:rPr>
          <w:rFonts w:hint="eastAsia" w:ascii="仿宋_GB2312" w:hAnsi="仿宋" w:eastAsia="仿宋_GB2312" w:cs="仿宋_GB2312"/>
          <w:color w:val="000000"/>
          <w:kern w:val="0"/>
          <w:sz w:val="32"/>
          <w:szCs w:val="32"/>
        </w:rPr>
        <w:t>税务总局公告</w:t>
      </w:r>
      <w:r>
        <w:rPr>
          <w:rFonts w:ascii="仿宋_GB2312" w:hAnsi="仿宋" w:eastAsia="仿宋_GB2312" w:cs="仿宋_GB2312"/>
          <w:color w:val="000000"/>
          <w:kern w:val="0"/>
          <w:sz w:val="32"/>
          <w:szCs w:val="32"/>
        </w:rPr>
        <w:t>2020</w:t>
      </w:r>
      <w:r>
        <w:rPr>
          <w:rFonts w:hint="eastAsia" w:ascii="仿宋_GB2312" w:hAnsi="仿宋" w:eastAsia="仿宋_GB2312" w:cs="仿宋_GB2312"/>
          <w:color w:val="000000"/>
          <w:kern w:val="0"/>
          <w:sz w:val="32"/>
          <w:szCs w:val="32"/>
        </w:rPr>
        <w:t>年第</w:t>
      </w:r>
      <w:r>
        <w:rPr>
          <w:rFonts w:ascii="仿宋_GB2312" w:hAnsi="仿宋" w:eastAsia="仿宋_GB2312" w:cs="仿宋_GB2312"/>
          <w:color w:val="000000"/>
          <w:kern w:val="0"/>
          <w:sz w:val="32"/>
          <w:szCs w:val="32"/>
        </w:rPr>
        <w:t>8</w:t>
      </w:r>
      <w:r>
        <w:rPr>
          <w:rFonts w:hint="eastAsia" w:ascii="仿宋_GB2312" w:hAnsi="仿宋" w:eastAsia="仿宋_GB2312" w:cs="仿宋_GB2312"/>
          <w:color w:val="000000"/>
          <w:kern w:val="0"/>
          <w:sz w:val="32"/>
          <w:szCs w:val="32"/>
        </w:rPr>
        <w:t>号）</w:t>
      </w:r>
    </w:p>
    <w:p>
      <w:pPr>
        <w:snapToGrid w:val="0"/>
        <w:spacing w:line="360" w:lineRule="auto"/>
        <w:ind w:firstLine="480" w:firstLineChars="150"/>
        <w:rPr>
          <w:rFonts w:ascii="仿宋_GB2312" w:hAnsi="仿宋" w:eastAsia="仿宋_GB2312"/>
          <w:color w:val="000000"/>
          <w:sz w:val="32"/>
          <w:szCs w:val="32"/>
        </w:rPr>
      </w:pPr>
      <w:r>
        <w:rPr>
          <w:rFonts w:hint="eastAsia" w:ascii="仿宋_GB2312" w:hAnsi="仿宋" w:eastAsia="仿宋_GB2312" w:cs="仿宋_GB2312"/>
          <w:color w:val="000000"/>
          <w:kern w:val="0"/>
          <w:sz w:val="32"/>
          <w:szCs w:val="32"/>
        </w:rPr>
        <w:t>（二）</w:t>
      </w:r>
      <w:r>
        <w:rPr>
          <w:rFonts w:hint="eastAsia" w:ascii="仿宋_GB2312" w:hAnsi="仿宋" w:eastAsia="仿宋_GB2312" w:cs="仿宋_GB2312"/>
          <w:color w:val="000000"/>
          <w:sz w:val="32"/>
          <w:szCs w:val="32"/>
        </w:rPr>
        <w:t>《国家税务总局关于支持新型冠状病毒感染的肺炎疫情防控有关税收征收管理事项的公告》（国家税务总局公告</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年第</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号）</w:t>
      </w:r>
    </w:p>
    <w:p>
      <w:pPr>
        <w:snapToGrid w:val="0"/>
        <w:spacing w:line="360" w:lineRule="auto"/>
        <w:ind w:firstLine="640" w:firstLineChars="200"/>
        <w:rPr>
          <w:rFonts w:ascii="黑体" w:hAnsi="仿宋" w:eastAsia="黑体"/>
          <w:color w:val="000000"/>
          <w:kern w:val="0"/>
          <w:sz w:val="32"/>
          <w:szCs w:val="32"/>
        </w:rPr>
      </w:pPr>
      <w:r>
        <w:rPr>
          <w:rFonts w:hint="eastAsia" w:ascii="黑体" w:hAnsi="仿宋" w:eastAsia="黑体" w:cs="黑体"/>
          <w:color w:val="000000"/>
          <w:kern w:val="0"/>
          <w:sz w:val="32"/>
          <w:szCs w:val="32"/>
        </w:rPr>
        <w:t>五、办理流程</w:t>
      </w:r>
    </w:p>
    <w:p>
      <w:pPr>
        <w:snapToGrid w:val="0"/>
        <w:spacing w:line="360" w:lineRule="auto"/>
        <w:ind w:firstLine="600"/>
        <w:rPr>
          <w:rFonts w:ascii="仿宋_GB2312" w:hAnsi="仿宋" w:eastAsia="仿宋_GB2312"/>
          <w:color w:val="000000"/>
          <w:sz w:val="32"/>
          <w:szCs w:val="32"/>
        </w:rPr>
      </w:pPr>
      <w:r>
        <w:rPr>
          <w:rFonts w:hint="eastAsia" w:ascii="仿宋_GB2312" w:hAnsi="仿宋" w:eastAsia="仿宋_GB2312" w:cs="仿宋_GB2312"/>
          <w:color w:val="000000"/>
          <w:sz w:val="32"/>
          <w:szCs w:val="32"/>
        </w:rPr>
        <w:t>企业享受所得税优惠事项采取“自行判断、申报享受、相关资料留存备查”的办理方式。</w:t>
      </w:r>
    </w:p>
    <w:p>
      <w:pPr>
        <w:snapToGrid w:val="0"/>
        <w:spacing w:line="360" w:lineRule="auto"/>
        <w:ind w:firstLine="474" w:firstLineChars="148"/>
        <w:rPr>
          <w:rFonts w:ascii="黑体" w:hAnsi="仿宋" w:eastAsia="黑体"/>
          <w:color w:val="000000"/>
          <w:sz w:val="32"/>
          <w:szCs w:val="32"/>
        </w:rPr>
      </w:pPr>
      <w:r>
        <w:rPr>
          <w:rFonts w:hint="eastAsia" w:ascii="黑体" w:hAnsi="仿宋" w:eastAsia="黑体" w:cs="黑体"/>
          <w:color w:val="000000"/>
          <w:sz w:val="32"/>
          <w:szCs w:val="32"/>
        </w:rPr>
        <w:t>六、备查资料</w:t>
      </w:r>
    </w:p>
    <w:p>
      <w:pPr>
        <w:snapToGrid w:val="0"/>
        <w:spacing w:line="360" w:lineRule="auto"/>
        <w:rPr>
          <w:rFonts w:ascii="仿宋_GB2312" w:hAnsi="仿宋" w:eastAsia="仿宋_GB2312"/>
          <w:color w:val="000000"/>
          <w:sz w:val="32"/>
          <w:szCs w:val="32"/>
        </w:rPr>
      </w:pP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与业务相关的证明材料。</w:t>
      </w:r>
    </w:p>
    <w:p>
      <w:pPr>
        <w:snapToGrid w:val="0"/>
        <w:spacing w:line="360" w:lineRule="auto"/>
        <w:ind w:firstLine="480" w:firstLineChars="150"/>
        <w:rPr>
          <w:rFonts w:ascii="黑体" w:hAnsi="仿宋" w:eastAsia="黑体"/>
          <w:color w:val="000000"/>
          <w:kern w:val="0"/>
          <w:sz w:val="32"/>
          <w:szCs w:val="32"/>
        </w:rPr>
      </w:pPr>
      <w:r>
        <w:rPr>
          <w:rFonts w:hint="eastAsia" w:ascii="黑体" w:hAnsi="仿宋" w:eastAsia="黑体" w:cs="黑体"/>
          <w:color w:val="000000"/>
          <w:kern w:val="0"/>
          <w:sz w:val="32"/>
          <w:szCs w:val="32"/>
        </w:rPr>
        <w:t>七、申报指引</w:t>
      </w:r>
    </w:p>
    <w:p>
      <w:pPr>
        <w:snapToGrid w:val="0"/>
        <w:spacing w:line="360" w:lineRule="auto"/>
        <w:ind w:firstLine="320" w:firstLineChars="100"/>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（一）根据《国家税务总局关于支持新型冠状病毒感染的肺炎疫情防控有关税收征收管理事项的公告》（国家税务总局公告</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年第</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号）第十条的规定：受疫情影响较大的困难行业企业按照</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号公告第四条规定，适用延长亏损结转年限政策的，应当在</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年度企业所得税汇算清缴时，通过电子税务局提交《适用延长亏损结转年限政策声明》。</w:t>
      </w:r>
    </w:p>
    <w:p>
      <w:pPr>
        <w:spacing w:afterLines="50"/>
        <w:jc w:val="center"/>
        <w:rPr>
          <w:rFonts w:ascii="方正小标宋简体" w:eastAsia="方正小标宋简体"/>
          <w:sz w:val="36"/>
          <w:szCs w:val="36"/>
        </w:rPr>
      </w:pPr>
      <w:r>
        <w:rPr>
          <w:rFonts w:hint="eastAsia" w:ascii="方正小标宋简体" w:eastAsia="方正小标宋简体" w:cs="方正小标宋简体"/>
          <w:sz w:val="36"/>
          <w:szCs w:val="36"/>
        </w:rPr>
        <w:t>适用延长亏损结转年限政策声明</w:t>
      </w:r>
    </w:p>
    <w:p>
      <w:pPr>
        <w:spacing w:line="360" w:lineRule="auto"/>
        <w:ind w:firstLine="600" w:firstLineChars="200"/>
        <w:rPr>
          <w:rFonts w:ascii="仿宋_GB2312" w:hAnsi="仿宋" w:eastAsia="仿宋_GB2312" w:cs="仿宋_GB2312"/>
          <w:sz w:val="30"/>
          <w:szCs w:val="30"/>
          <w:u w:val="single"/>
        </w:rPr>
      </w:pPr>
      <w:r>
        <w:rPr>
          <w:rFonts w:hint="eastAsia" w:ascii="仿宋_GB2312" w:hAnsi="仿宋" w:eastAsia="仿宋_GB2312" w:cs="仿宋_GB2312"/>
          <w:sz w:val="30"/>
          <w:szCs w:val="30"/>
        </w:rPr>
        <w:t>纳税人名称：</w:t>
      </w:r>
      <w:r>
        <w:rPr>
          <w:rFonts w:ascii="仿宋_GB2312" w:hAnsi="仿宋" w:eastAsia="仿宋_GB2312" w:cs="仿宋_GB2312"/>
          <w:sz w:val="30"/>
          <w:szCs w:val="30"/>
          <w:u w:val="single"/>
        </w:rPr>
        <w:t xml:space="preserve">                </w:t>
      </w:r>
    </w:p>
    <w:p>
      <w:pPr>
        <w:spacing w:line="360" w:lineRule="auto"/>
        <w:ind w:firstLine="588"/>
        <w:rPr>
          <w:rFonts w:ascii="仿宋_GB2312" w:hAnsi="仿宋" w:eastAsia="仿宋_GB2312" w:cs="仿宋_GB2312"/>
          <w:sz w:val="30"/>
          <w:szCs w:val="30"/>
        </w:rPr>
      </w:pPr>
      <w:r>
        <w:rPr>
          <w:rFonts w:hint="eastAsia" w:ascii="仿宋_GB2312" w:hAnsi="仿宋" w:eastAsia="仿宋_GB2312" w:cs="仿宋_GB2312"/>
          <w:sz w:val="30"/>
          <w:szCs w:val="30"/>
        </w:rPr>
        <w:t>纳税人识别号（统一社会信用代码）：</w:t>
      </w:r>
      <w:r>
        <w:rPr>
          <w:rFonts w:ascii="仿宋_GB2312" w:hAnsi="仿宋" w:eastAsia="仿宋_GB2312" w:cs="仿宋_GB2312"/>
          <w:sz w:val="30"/>
          <w:szCs w:val="30"/>
          <w:u w:val="single"/>
        </w:rPr>
        <w:t xml:space="preserve">                 </w:t>
      </w:r>
      <w:r>
        <w:rPr>
          <w:rFonts w:ascii="仿宋_GB2312" w:hAnsi="仿宋" w:eastAsia="仿宋_GB2312" w:cs="仿宋_GB2312"/>
          <w:sz w:val="30"/>
          <w:szCs w:val="30"/>
        </w:rPr>
        <w:t xml:space="preserve"> </w:t>
      </w:r>
    </w:p>
    <w:p>
      <w:pPr>
        <w:spacing w:beforeLines="50" w:afterLines="50" w:line="360" w:lineRule="auto"/>
        <w:ind w:firstLine="600" w:firstLineChars="200"/>
        <w:rPr>
          <w:rFonts w:ascii="仿宋_GB2312" w:hAnsi="仿宋" w:eastAsia="仿宋_GB2312"/>
          <w:sz w:val="30"/>
          <w:szCs w:val="30"/>
        </w:rPr>
      </w:pPr>
      <w:r>
        <w:rPr>
          <w:rFonts w:hint="eastAsia" w:ascii="仿宋_GB2312" w:hAnsi="仿宋" w:eastAsia="仿宋_GB2312" w:cs="仿宋_GB2312"/>
          <w:sz w:val="30"/>
          <w:szCs w:val="30"/>
        </w:rPr>
        <w:t>本纳税人</w:t>
      </w:r>
      <w:r>
        <w:rPr>
          <w:rFonts w:hint="eastAsia" w:ascii="仿宋_GB2312" w:eastAsia="仿宋_GB2312" w:cs="仿宋_GB2312"/>
          <w:sz w:val="30"/>
          <w:szCs w:val="30"/>
        </w:rPr>
        <w:t>符合《</w:t>
      </w:r>
      <w:r>
        <w:rPr>
          <w:rFonts w:hint="eastAsia" w:ascii="仿宋_GB2312" w:hAnsi="Verdana" w:eastAsia="仿宋_GB2312" w:cs="仿宋_GB2312"/>
          <w:sz w:val="30"/>
          <w:szCs w:val="30"/>
        </w:rPr>
        <w:t>财政部</w:t>
      </w:r>
      <w:r>
        <w:rPr>
          <w:rFonts w:ascii="仿宋_GB2312" w:hAnsi="Verdana" w:eastAsia="仿宋_GB2312" w:cs="仿宋_GB2312"/>
          <w:sz w:val="30"/>
          <w:szCs w:val="30"/>
        </w:rPr>
        <w:t xml:space="preserve"> </w:t>
      </w:r>
      <w:r>
        <w:rPr>
          <w:rFonts w:hint="eastAsia" w:ascii="仿宋_GB2312" w:hAnsi="Verdana" w:eastAsia="仿宋_GB2312" w:cs="仿宋_GB2312"/>
          <w:sz w:val="30"/>
          <w:szCs w:val="30"/>
        </w:rPr>
        <w:t>税务总局关于支持新型冠状病毒感染的肺炎疫情防控有关税收政策的公告</w:t>
      </w:r>
      <w:r>
        <w:rPr>
          <w:rFonts w:hint="eastAsia" w:ascii="仿宋_GB2312" w:eastAsia="仿宋_GB2312" w:cs="仿宋_GB2312"/>
          <w:sz w:val="30"/>
          <w:szCs w:val="30"/>
        </w:rPr>
        <w:t>》（</w:t>
      </w:r>
      <w:r>
        <w:rPr>
          <w:rFonts w:ascii="仿宋_GB2312" w:eastAsia="仿宋_GB2312" w:cs="仿宋_GB2312"/>
          <w:sz w:val="30"/>
          <w:szCs w:val="30"/>
        </w:rPr>
        <w:t>2020</w:t>
      </w:r>
      <w:r>
        <w:rPr>
          <w:rFonts w:hint="eastAsia" w:ascii="仿宋_GB2312" w:eastAsia="仿宋_GB2312" w:cs="仿宋_GB2312"/>
          <w:sz w:val="30"/>
          <w:szCs w:val="30"/>
        </w:rPr>
        <w:t>年第</w:t>
      </w:r>
      <w:r>
        <w:rPr>
          <w:rFonts w:ascii="仿宋_GB2312" w:eastAsia="仿宋_GB2312" w:cs="仿宋_GB2312"/>
          <w:sz w:val="30"/>
          <w:szCs w:val="30"/>
        </w:rPr>
        <w:t>8</w:t>
      </w:r>
      <w:r>
        <w:rPr>
          <w:rFonts w:hint="eastAsia" w:ascii="仿宋_GB2312" w:eastAsia="仿宋_GB2312" w:cs="仿宋_GB2312"/>
          <w:sz w:val="30"/>
          <w:szCs w:val="30"/>
        </w:rPr>
        <w:t>号）规定，</w:t>
      </w:r>
      <w:r>
        <w:rPr>
          <w:rFonts w:hint="eastAsia" w:ascii="仿宋_GB2312" w:hAnsi="仿宋" w:eastAsia="仿宋_GB2312" w:cs="仿宋_GB2312"/>
          <w:sz w:val="30"/>
          <w:szCs w:val="30"/>
        </w:rPr>
        <w:t>且主营业务收入占比符合要求，</w:t>
      </w:r>
      <w:r>
        <w:rPr>
          <w:rFonts w:hint="eastAsia" w:ascii="仿宋_GB2312" w:eastAsia="仿宋_GB2312" w:cs="仿宋_GB2312"/>
          <w:sz w:val="30"/>
          <w:szCs w:val="30"/>
        </w:rPr>
        <w:t>确定适用延长亏损结转年限政策</w:t>
      </w:r>
      <w:r>
        <w:rPr>
          <w:rFonts w:hint="eastAsia" w:ascii="仿宋_GB2312" w:hAnsi="仿宋" w:eastAsia="仿宋_GB2312" w:cs="仿宋_GB2312"/>
          <w:sz w:val="30"/>
          <w:szCs w:val="30"/>
        </w:rPr>
        <w:t>。行业属于（请从下表勾选，只能选择其一）：</w:t>
      </w:r>
    </w:p>
    <w:tbl>
      <w:tblPr>
        <w:tblW w:w="8007"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236"/>
        <w:gridCol w:w="2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52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行业</w:t>
            </w:r>
          </w:p>
        </w:tc>
        <w:tc>
          <w:tcPr>
            <w:tcW w:w="27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7"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olor w:val="000000"/>
                <w:kern w:val="0"/>
              </w:rPr>
            </w:pPr>
            <w:r>
              <w:rPr>
                <w:rFonts w:hint="eastAsia" w:ascii="仿宋_GB2312" w:hAnsi="宋体" w:eastAsia="仿宋_GB2312" w:cs="仿宋_GB2312"/>
                <w:color w:val="000000"/>
                <w:kern w:val="0"/>
              </w:rPr>
              <w:t>交通运输</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olor w:val="000000"/>
                <w:kern w:val="0"/>
              </w:rPr>
            </w:pPr>
            <w:r>
              <w:rPr>
                <w:rFonts w:hint="eastAsia" w:ascii="仿宋_GB2312" w:hAnsi="宋体" w:eastAsia="仿宋_GB2312" w:cs="仿宋_GB2312"/>
                <w:color w:val="000000"/>
                <w:kern w:val="0"/>
              </w:rPr>
              <w:t>餐饮</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olor w:val="000000"/>
                <w:kern w:val="0"/>
              </w:rPr>
            </w:pPr>
            <w:r>
              <w:rPr>
                <w:rFonts w:hint="eastAsia" w:ascii="仿宋_GB2312" w:hAnsi="宋体" w:eastAsia="仿宋_GB2312" w:cs="仿宋_GB2312"/>
                <w:color w:val="000000"/>
                <w:kern w:val="0"/>
              </w:rPr>
              <w:t>住宿</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olor w:val="000000"/>
                <w:kern w:val="0"/>
              </w:rPr>
            </w:pPr>
            <w:r>
              <w:rPr>
                <w:rFonts w:hint="eastAsia" w:ascii="仿宋_GB2312" w:hAnsi="宋体" w:eastAsia="仿宋_GB2312" w:cs="仿宋_GB2312"/>
                <w:color w:val="000000"/>
                <w:kern w:val="0"/>
              </w:rPr>
              <w:t>旅游</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000000"/>
                <w:kern w:val="0"/>
              </w:rPr>
            </w:pPr>
            <w:r>
              <w:rPr>
                <w:rFonts w:ascii="仿宋_GB2312" w:hAnsi="宋体" w:eastAsia="仿宋_GB2312" w:cs="仿宋_GB2312"/>
                <w:color w:val="000000"/>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olor w:val="000000"/>
                <w:kern w:val="0"/>
              </w:rPr>
            </w:pPr>
            <w:r>
              <w:rPr>
                <w:rFonts w:ascii="仿宋_GB2312" w:hAnsi="宋体" w:eastAsia="仿宋_GB2312" w:cs="仿宋_GB2312"/>
                <w:color w:val="000000"/>
                <w:kern w:val="0"/>
              </w:rPr>
              <w:t xml:space="preserve">   </w:t>
            </w:r>
            <w:r>
              <w:rPr>
                <w:rFonts w:hint="eastAsia" w:ascii="仿宋_GB2312" w:hAnsi="宋体" w:eastAsia="仿宋_GB2312" w:cs="仿宋_GB2312"/>
                <w:color w:val="000000"/>
                <w:kern w:val="0"/>
              </w:rPr>
              <w:t>旅行社及相关服务</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olor w:val="000000"/>
                <w:kern w:val="0"/>
              </w:rPr>
            </w:pPr>
            <w:r>
              <w:rPr>
                <w:rFonts w:ascii="仿宋_GB2312" w:hAnsi="宋体" w:eastAsia="仿宋_GB2312" w:cs="仿宋_GB2312"/>
                <w:color w:val="000000"/>
                <w:kern w:val="0"/>
              </w:rPr>
              <w:t xml:space="preserve">   </w:t>
            </w:r>
            <w:r>
              <w:rPr>
                <w:rFonts w:hint="eastAsia" w:ascii="仿宋_GB2312" w:hAnsi="宋体" w:eastAsia="仿宋_GB2312" w:cs="仿宋_GB2312"/>
                <w:color w:val="000000"/>
                <w:kern w:val="0"/>
              </w:rPr>
              <w:t>游览景区管理</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000000"/>
                <w:kern w:val="0"/>
              </w:rPr>
            </w:pPr>
          </w:p>
        </w:tc>
      </w:tr>
    </w:tbl>
    <w:p>
      <w:pPr>
        <w:spacing w:beforeLines="50" w:line="360" w:lineRule="auto"/>
        <w:ind w:firstLine="600" w:firstLineChars="200"/>
        <w:rPr>
          <w:rFonts w:ascii="仿宋_GB2312" w:hAnsi="仿宋" w:eastAsia="仿宋_GB2312"/>
          <w:sz w:val="30"/>
          <w:szCs w:val="30"/>
        </w:rPr>
      </w:pPr>
      <w:r>
        <w:rPr>
          <w:rFonts w:hint="eastAsia" w:ascii="仿宋_GB2312" w:hAnsi="仿宋" w:eastAsia="仿宋_GB2312" w:cs="仿宋_GB2312"/>
          <w:sz w:val="30"/>
          <w:szCs w:val="30"/>
        </w:rPr>
        <w:t>以上声明根据实际经营情况作出，我确定它是真实的、准确的、完整的。</w:t>
      </w:r>
    </w:p>
    <w:p>
      <w:pPr>
        <w:spacing w:line="360" w:lineRule="auto"/>
        <w:ind w:firstLine="600" w:firstLineChars="200"/>
        <w:rPr>
          <w:rFonts w:ascii="仿宋_GB2312" w:hAnsi="仿宋" w:eastAsia="仿宋_GB2312"/>
          <w:sz w:val="30"/>
          <w:szCs w:val="30"/>
        </w:rPr>
      </w:pPr>
    </w:p>
    <w:p>
      <w:pPr>
        <w:spacing w:line="360" w:lineRule="auto"/>
        <w:ind w:firstLine="5100" w:firstLineChars="1700"/>
        <w:rPr>
          <w:rFonts w:ascii="仿宋_GB2312" w:hAnsi="仿宋" w:eastAsia="仿宋_GB2312"/>
          <w:sz w:val="30"/>
          <w:szCs w:val="30"/>
        </w:rPr>
      </w:pPr>
      <w:r>
        <w:rPr>
          <w:rFonts w:hint="eastAsia" w:ascii="仿宋_GB2312" w:hAnsi="仿宋" w:eastAsia="仿宋_GB2312" w:cs="仿宋_GB2312"/>
          <w:sz w:val="30"/>
          <w:szCs w:val="30"/>
        </w:rPr>
        <w:t>年</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月</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日</w:t>
      </w:r>
    </w:p>
    <w:p>
      <w:pPr>
        <w:spacing w:line="360" w:lineRule="auto"/>
        <w:ind w:firstLine="5250" w:firstLineChars="1750"/>
        <w:rPr>
          <w:rFonts w:ascii="仿宋_GB2312" w:hAnsi="仿宋" w:eastAsia="仿宋_GB2312"/>
          <w:sz w:val="30"/>
          <w:szCs w:val="30"/>
        </w:rPr>
      </w:pPr>
      <w:r>
        <w:rPr>
          <w:rFonts w:ascii="仿宋_GB2312" w:hAnsi="仿宋" w:eastAsia="仿宋_GB2312" w:cs="仿宋_GB2312"/>
          <w:sz w:val="30"/>
          <w:szCs w:val="30"/>
        </w:rPr>
        <w:t>(</w:t>
      </w:r>
      <w:r>
        <w:rPr>
          <w:rFonts w:hint="eastAsia" w:ascii="仿宋_GB2312" w:hAnsi="仿宋" w:eastAsia="仿宋_GB2312" w:cs="仿宋_GB2312"/>
          <w:sz w:val="30"/>
          <w:szCs w:val="30"/>
        </w:rPr>
        <w:t>纳税人签章</w:t>
      </w:r>
      <w:r>
        <w:rPr>
          <w:rFonts w:ascii="仿宋_GB2312" w:hAnsi="仿宋" w:eastAsia="仿宋_GB2312" w:cs="仿宋_GB2312"/>
          <w:sz w:val="30"/>
          <w:szCs w:val="30"/>
        </w:rPr>
        <w:t>)</w:t>
      </w:r>
    </w:p>
    <w:p>
      <w:pPr>
        <w:snapToGrid w:val="0"/>
        <w:spacing w:line="360" w:lineRule="auto"/>
        <w:ind w:firstLine="320" w:firstLineChars="100"/>
        <w:rPr>
          <w:rFonts w:ascii="仿宋_GB2312" w:hAnsi="仿宋" w:eastAsia="仿宋_GB2312"/>
          <w:color w:val="000000"/>
          <w:sz w:val="32"/>
          <w:szCs w:val="32"/>
        </w:rPr>
      </w:pPr>
    </w:p>
    <w:p>
      <w:pPr>
        <w:snapToGrid w:val="0"/>
        <w:spacing w:line="360" w:lineRule="auto"/>
        <w:ind w:firstLine="645"/>
        <w:rPr>
          <w:rFonts w:ascii="黑体" w:hAnsi="仿宋" w:eastAsia="黑体"/>
          <w:color w:val="000000"/>
          <w:sz w:val="32"/>
          <w:szCs w:val="32"/>
        </w:rPr>
      </w:pPr>
      <w:r>
        <w:rPr>
          <w:rFonts w:hint="eastAsia" w:ascii="黑体" w:hAnsi="仿宋" w:eastAsia="黑体" w:cs="黑体"/>
          <w:color w:val="000000"/>
          <w:sz w:val="32"/>
          <w:szCs w:val="32"/>
        </w:rPr>
        <w:t>八、即问即答</w:t>
      </w:r>
    </w:p>
    <w:p>
      <w:pPr>
        <w:snapToGrid w:val="0"/>
        <w:spacing w:line="360" w:lineRule="auto"/>
        <w:ind w:firstLine="645"/>
        <w:rPr>
          <w:rFonts w:ascii="仿宋_GB2312" w:hAnsi="仿宋" w:eastAsia="仿宋_GB2312" w:cs="仿宋_GB2312"/>
          <w:b/>
          <w:bCs/>
          <w:color w:val="000000"/>
          <w:sz w:val="32"/>
          <w:szCs w:val="32"/>
        </w:rPr>
      </w:pPr>
      <w:r>
        <w:rPr>
          <w:rFonts w:hint="eastAsia" w:ascii="仿宋_GB2312" w:hAnsi="仿宋" w:eastAsia="仿宋_GB2312" w:cs="仿宋_GB2312"/>
          <w:b/>
          <w:bCs/>
          <w:color w:val="000000"/>
          <w:sz w:val="32"/>
          <w:szCs w:val="32"/>
        </w:rPr>
        <w:t>（一）受疫情影响较大的困难行业企业包括哪几类</w:t>
      </w:r>
      <w:r>
        <w:rPr>
          <w:rFonts w:ascii="仿宋_GB2312" w:hAnsi="仿宋" w:eastAsia="仿宋_GB2312" w:cs="仿宋_GB2312"/>
          <w:b/>
          <w:bCs/>
          <w:color w:val="000000"/>
          <w:sz w:val="32"/>
          <w:szCs w:val="32"/>
        </w:rPr>
        <w:t>?</w:t>
      </w:r>
    </w:p>
    <w:p>
      <w:pPr>
        <w:snapToGrid w:val="0"/>
        <w:spacing w:line="360" w:lineRule="auto"/>
        <w:ind w:firstLine="645"/>
        <w:rPr>
          <w:rFonts w:ascii="仿宋_GB2312" w:hAnsi="仿宋" w:eastAsia="仿宋_GB2312"/>
          <w:color w:val="000000"/>
          <w:sz w:val="32"/>
          <w:szCs w:val="32"/>
        </w:rPr>
      </w:pPr>
      <w:r>
        <w:rPr>
          <w:rFonts w:hint="eastAsia" w:ascii="仿宋_GB2312" w:hAnsi="仿宋" w:eastAsia="仿宋_GB2312" w:cs="仿宋_GB2312"/>
          <w:color w:val="000000"/>
          <w:sz w:val="32"/>
          <w:szCs w:val="32"/>
        </w:rPr>
        <w:t>答：这次政策规定，困难行业企业，包括交通运输、餐饮、住宿、旅游</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指旅行社及相关服务、游览景区管理两类</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四大类，具体判断标准按照现行《国民经济行业分类》执行。在政策执行过程中，企业可参考《国民经济行业分类》</w:t>
      </w:r>
      <w:r>
        <w:rPr>
          <w:rFonts w:ascii="仿宋_GB2312" w:hAnsi="仿宋" w:eastAsia="仿宋_GB2312" w:cs="仿宋_GB2312"/>
          <w:color w:val="000000"/>
          <w:sz w:val="32"/>
          <w:szCs w:val="32"/>
        </w:rPr>
        <w:t>(GB/T 4754-2017)</w:t>
      </w:r>
      <w:r>
        <w:rPr>
          <w:rFonts w:hint="eastAsia" w:ascii="仿宋_GB2312" w:hAnsi="仿宋" w:eastAsia="仿宋_GB2312" w:cs="仿宋_GB2312"/>
          <w:color w:val="000000"/>
          <w:sz w:val="32"/>
          <w:szCs w:val="32"/>
        </w:rPr>
        <w:t>中的行业分类标准进行判定。</w:t>
      </w:r>
    </w:p>
    <w:p>
      <w:pPr>
        <w:snapToGrid w:val="0"/>
        <w:spacing w:line="360" w:lineRule="auto"/>
        <w:ind w:firstLine="645"/>
        <w:rPr>
          <w:rFonts w:ascii="仿宋_GB2312" w:hAnsi="仿宋" w:eastAsia="仿宋_GB2312" w:cs="仿宋_GB2312"/>
          <w:b/>
          <w:bCs/>
          <w:color w:val="000000"/>
          <w:sz w:val="32"/>
          <w:szCs w:val="32"/>
        </w:rPr>
      </w:pPr>
      <w:r>
        <w:rPr>
          <w:rFonts w:hint="eastAsia" w:ascii="仿宋_GB2312" w:hAnsi="仿宋" w:eastAsia="仿宋_GB2312" w:cs="仿宋_GB2312"/>
          <w:b/>
          <w:bCs/>
          <w:color w:val="000000"/>
          <w:sz w:val="32"/>
          <w:szCs w:val="32"/>
        </w:rPr>
        <w:t>（二）对困难行业企业主营业务收入占比有何要求</w:t>
      </w:r>
      <w:r>
        <w:rPr>
          <w:rFonts w:ascii="仿宋_GB2312" w:hAnsi="仿宋" w:eastAsia="仿宋_GB2312" w:cs="仿宋_GB2312"/>
          <w:b/>
          <w:bCs/>
          <w:color w:val="000000"/>
          <w:sz w:val="32"/>
          <w:szCs w:val="32"/>
        </w:rPr>
        <w:t>?</w:t>
      </w:r>
    </w:p>
    <w:p>
      <w:pPr>
        <w:snapToGrid w:val="0"/>
        <w:spacing w:line="360" w:lineRule="auto"/>
        <w:ind w:firstLine="645"/>
        <w:rPr>
          <w:rFonts w:ascii="仿宋_GB2312" w:hAnsi="仿宋" w:eastAsia="仿宋_GB2312"/>
          <w:color w:val="000000"/>
          <w:sz w:val="32"/>
          <w:szCs w:val="32"/>
        </w:rPr>
      </w:pPr>
      <w:r>
        <w:rPr>
          <w:rFonts w:hint="eastAsia" w:ascii="仿宋_GB2312" w:hAnsi="仿宋" w:eastAsia="仿宋_GB2312" w:cs="仿宋_GB2312"/>
          <w:color w:val="000000"/>
          <w:sz w:val="32"/>
          <w:szCs w:val="32"/>
        </w:rPr>
        <w:t>答：困难行业企业享受此项政策的，</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年主营收入占收入总额扣除不征税收入和投资收益后余额的比例，应在</w:t>
      </w:r>
      <w:r>
        <w:rPr>
          <w:rFonts w:ascii="仿宋_GB2312" w:hAnsi="仿宋" w:eastAsia="仿宋_GB2312" w:cs="仿宋_GB2312"/>
          <w:color w:val="000000"/>
          <w:sz w:val="32"/>
          <w:szCs w:val="32"/>
        </w:rPr>
        <w:t>50%(</w:t>
      </w:r>
      <w:r>
        <w:rPr>
          <w:rFonts w:hint="eastAsia" w:ascii="仿宋_GB2312" w:hAnsi="仿宋" w:eastAsia="仿宋_GB2312" w:cs="仿宋_GB2312"/>
          <w:color w:val="000000"/>
          <w:sz w:val="32"/>
          <w:szCs w:val="32"/>
        </w:rPr>
        <w:t>不含</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以上。</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Arial Unicode MS"/>
    <w:panose1 w:val="00000000000000000000"/>
    <w:charset w:val="86"/>
    <w:family w:val="auto"/>
    <w:pitch w:val="default"/>
    <w:sig w:usb0="00000001" w:usb1="080E0000" w:usb2="00000010" w:usb3="00000000" w:csb0="00040000" w:csb1="00000000"/>
  </w:font>
  <w:font w:name="Verdana">
    <w:panose1 w:val="020B0604030504040204"/>
    <w:charset w:val="00"/>
    <w:family w:val="auto"/>
    <w:pitch w:val="default"/>
    <w:sig w:usb0="00000287" w:usb1="00000000" w:usb2="00000000" w:usb3="00000000" w:csb0="2000019F" w:csb1="00000000"/>
  </w:font>
  <w:font w:name="Cambria">
    <w:altName w:val="Palatino Linotype"/>
    <w:panose1 w:val="02040503050406030204"/>
    <w:charset w:val="00"/>
    <w:family w:val="auto"/>
    <w:pitch w:val="default"/>
    <w:sig w:usb0="A00002EF" w:usb1="4000004B" w:usb2="00000000" w:usb3="00000000" w:csb0="0000009F" w:csb1="00000000"/>
  </w:font>
  <w:font w:name="Calibri">
    <w:altName w:val="Century Gothic"/>
    <w:panose1 w:val="020F0502020204030204"/>
    <w:charset w:val="00"/>
    <w:family w:val="auto"/>
    <w:pitch w:val="default"/>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paragraph" w:styleId="2">
    <w:name w:val="Balloon Text"/>
    <w:basedOn w:val="1"/>
    <w:link w:val="11"/>
    <w:semiHidden/>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
    <w:name w:val="List Paragraph"/>
    <w:basedOn w:val="1"/>
    <w:qFormat/>
    <w:uiPriority w:val="99"/>
    <w:pPr>
      <w:ind w:firstLine="420" w:firstLineChars="200"/>
    </w:pPr>
  </w:style>
  <w:style w:type="paragraph" w:customStyle="1" w:styleId="8">
    <w:name w:val="Char Char Char"/>
    <w:basedOn w:val="1"/>
    <w:uiPriority w:val="99"/>
    <w:rPr>
      <w:rFonts w:ascii="Tahoma" w:hAnsi="Tahoma" w:cs="Tahoma"/>
      <w:sz w:val="24"/>
      <w:szCs w:val="24"/>
    </w:rPr>
  </w:style>
  <w:style w:type="character" w:customStyle="1" w:styleId="9">
    <w:name w:val="页眉 Char"/>
    <w:basedOn w:val="6"/>
    <w:link w:val="4"/>
    <w:locked/>
    <w:uiPriority w:val="99"/>
    <w:rPr>
      <w:kern w:val="2"/>
      <w:sz w:val="18"/>
      <w:szCs w:val="18"/>
    </w:rPr>
  </w:style>
  <w:style w:type="character" w:customStyle="1" w:styleId="10">
    <w:name w:val="页脚 Char"/>
    <w:basedOn w:val="6"/>
    <w:link w:val="3"/>
    <w:locked/>
    <w:uiPriority w:val="99"/>
    <w:rPr>
      <w:kern w:val="2"/>
      <w:sz w:val="18"/>
      <w:szCs w:val="18"/>
    </w:rPr>
  </w:style>
  <w:style w:type="character" w:customStyle="1" w:styleId="11">
    <w:name w:val="批注框文本 Char"/>
    <w:basedOn w:val="6"/>
    <w:link w:val="2"/>
    <w:locked/>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阳江货劳</Company>
  <Pages>3</Pages>
  <Words>183</Words>
  <Characters>1049</Characters>
  <Lines>8</Lines>
  <Paragraphs>2</Paragraphs>
  <TotalTime>0</TotalTime>
  <ScaleCrop>false</ScaleCrop>
  <LinksUpToDate>false</LinksUpToDate>
  <CharactersWithSpaces>0</CharactersWithSpaces>
  <Application>WPS Office 个人版_9.1.0.4555_{F1E327BC-269C-435d-A152-05C5408002CA}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2020-02-19T10:04:00Z</dcterms:created>
  <dc:creator>梁海慧</dc:creator>
  <cp:lastModifiedBy>Administrator</cp:lastModifiedBy>
  <dcterms:modified xsi:type="dcterms:W3CDTF">2020-02-22T05:16:11Z</dcterms:modified>
  <dc:title>受疫情影响较大的困难行业企业2020年度发生的亏损最长结转年限延长至8年</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2052-9.1.0.4555</vt:lpwstr>
  </property>
</Properties>
</file>