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bidi w:val="0"/>
        <w:spacing w:line="600" w:lineRule="exact"/>
        <w:jc w:val="center"/>
        <w:rPr>
          <w:rFonts w:hint="eastAsia" w:ascii="方正小标宋简体" w:hAnsi="方正小标宋简体" w:eastAsia="方正小标宋简体" w:cs="方正小标宋简体"/>
          <w:color w:val="000000" w:themeColor="text1"/>
          <w:sz w:val="44"/>
          <w:szCs w:val="44"/>
          <w:highlight w:val="none"/>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highlight w:val="none"/>
          <w14:textFill>
            <w14:solidFill>
              <w14:schemeClr w14:val="tx1"/>
            </w14:solidFill>
          </w14:textFill>
        </w:rPr>
        <w:t>阳江</w:t>
      </w:r>
      <w:r>
        <w:rPr>
          <w:rFonts w:hint="eastAsia" w:ascii="方正小标宋简体" w:hAnsi="方正小标宋简体" w:eastAsia="方正小标宋简体" w:cs="方正小标宋简体"/>
          <w:color w:val="000000" w:themeColor="text1"/>
          <w:sz w:val="44"/>
          <w:szCs w:val="44"/>
          <w:highlight w:val="none"/>
          <w:lang w:eastAsia="zh-CN"/>
          <w14:textFill>
            <w14:solidFill>
              <w14:schemeClr w14:val="tx1"/>
            </w14:solidFill>
          </w14:textFill>
        </w:rPr>
        <w:t>市</w:t>
      </w:r>
      <w:r>
        <w:rPr>
          <w:rFonts w:hint="eastAsia" w:ascii="方正小标宋简体" w:hAnsi="方正小标宋简体" w:eastAsia="方正小标宋简体" w:cs="方正小标宋简体"/>
          <w:color w:val="000000" w:themeColor="text1"/>
          <w:sz w:val="44"/>
          <w:szCs w:val="44"/>
          <w:highlight w:val="none"/>
          <w14:textFill>
            <w14:solidFill>
              <w14:schemeClr w14:val="tx1"/>
            </w14:solidFill>
          </w14:textFill>
        </w:rPr>
        <w:t>202</w:t>
      </w:r>
      <w:r>
        <w:rPr>
          <w:rFonts w:hint="eastAsia" w:ascii="方正小标宋简体" w:hAnsi="方正小标宋简体" w:eastAsia="方正小标宋简体" w:cs="方正小标宋简体"/>
          <w:color w:val="000000" w:themeColor="text1"/>
          <w:sz w:val="44"/>
          <w:szCs w:val="44"/>
          <w:highlight w:val="none"/>
          <w:lang w:val="en-US" w:eastAsia="zh-CN"/>
          <w14:textFill>
            <w14:solidFill>
              <w14:schemeClr w14:val="tx1"/>
            </w14:solidFill>
          </w14:textFill>
        </w:rPr>
        <w:t>4</w:t>
      </w:r>
      <w:r>
        <w:rPr>
          <w:rFonts w:hint="eastAsia" w:ascii="方正小标宋简体" w:hAnsi="方正小标宋简体" w:eastAsia="方正小标宋简体" w:cs="方正小标宋简体"/>
          <w:color w:val="000000" w:themeColor="text1"/>
          <w:sz w:val="44"/>
          <w:szCs w:val="44"/>
          <w:highlight w:val="none"/>
          <w14:textFill>
            <w14:solidFill>
              <w14:schemeClr w14:val="tx1"/>
            </w14:solidFill>
          </w14:textFill>
        </w:rPr>
        <w:t>年税收营商环境白皮书</w:t>
      </w:r>
    </w:p>
    <w:p>
      <w:pPr>
        <w:keepNext w:val="0"/>
        <w:keepLines w:val="0"/>
        <w:pageBreakBefore w:val="0"/>
        <w:widowControl/>
        <w:kinsoku/>
        <w:wordWrap/>
        <w:overflowPunct/>
        <w:topLinePunct w:val="0"/>
        <w:bidi w:val="0"/>
        <w:spacing w:line="600" w:lineRule="exact"/>
        <w:jc w:val="center"/>
        <w:rPr>
          <w:rFonts w:hint="eastAsia" w:ascii="仿宋_GB2312" w:hAnsi="仿宋_GB2312" w:eastAsia="仿宋_GB2312" w:cs="仿宋_GB2312"/>
          <w:color w:val="000000" w:themeColor="text1"/>
          <w:sz w:val="32"/>
          <w:szCs w:val="32"/>
          <w:highlight w:val="none"/>
          <w14:textFill>
            <w14:solidFill>
              <w14:schemeClr w14:val="tx1"/>
            </w14:solidFill>
          </w14:textFill>
        </w:rPr>
      </w:pPr>
    </w:p>
    <w:p>
      <w:pPr>
        <w:keepNext w:val="0"/>
        <w:keepLines w:val="0"/>
        <w:pageBreakBefore w:val="0"/>
        <w:widowControl/>
        <w:kinsoku/>
        <w:wordWrap/>
        <w:overflowPunct/>
        <w:topLinePunct w:val="0"/>
        <w:bidi w:val="0"/>
        <w:spacing w:line="600" w:lineRule="exact"/>
        <w:jc w:val="center"/>
        <w:rPr>
          <w:rFonts w:hint="eastAsia"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国家税务总局阳江市税务局</w:t>
      </w:r>
    </w:p>
    <w:p>
      <w:pPr>
        <w:keepNext w:val="0"/>
        <w:keepLines w:val="0"/>
        <w:pageBreakBefore w:val="0"/>
        <w:widowControl/>
        <w:kinsoku/>
        <w:wordWrap/>
        <w:overflowPunct/>
        <w:topLinePunct w:val="0"/>
        <w:bidi w:val="0"/>
        <w:spacing w:line="600" w:lineRule="exact"/>
        <w:jc w:val="center"/>
        <w:rPr>
          <w:rFonts w:hint="eastAsia" w:ascii="仿宋_GB2312" w:hAnsi="仿宋_GB2312" w:eastAsia="仿宋_GB2312" w:cs="仿宋_GB2312"/>
          <w:color w:val="000000" w:themeColor="text1"/>
          <w:sz w:val="32"/>
          <w:szCs w:val="32"/>
          <w:highlight w:val="none"/>
          <w14:textFill>
            <w14:solidFill>
              <w14:schemeClr w14:val="tx1"/>
            </w14:solidFill>
          </w14:textFill>
        </w:rPr>
      </w:pPr>
    </w:p>
    <w:p>
      <w:pPr>
        <w:keepNext w:val="0"/>
        <w:keepLines w:val="0"/>
        <w:pageBreakBefore w:val="0"/>
        <w:widowControl/>
        <w:kinsoku/>
        <w:wordWrap/>
        <w:overflowPunct/>
        <w:topLinePunct w:val="0"/>
        <w:bidi w:val="0"/>
        <w:spacing w:line="600" w:lineRule="exact"/>
        <w:jc w:val="center"/>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序言</w:t>
      </w:r>
    </w:p>
    <w:p>
      <w:pPr>
        <w:pStyle w:val="7"/>
        <w:keepNext w:val="0"/>
        <w:keepLines w:val="0"/>
        <w:pageBreakBefore w:val="0"/>
        <w:widowControl/>
        <w:kinsoku/>
        <w:wordWrap/>
        <w:overflowPunct/>
        <w:topLinePunct w:val="0"/>
        <w:autoSpaceDE w:val="0"/>
        <w:autoSpaceDN w:val="0"/>
        <w:bidi w:val="0"/>
        <w:adjustRightInd w:val="0"/>
        <w:snapToGrid w:val="0"/>
        <w:spacing w:line="600" w:lineRule="exact"/>
        <w:jc w:val="both"/>
        <w:textAlignment w:val="baseline"/>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shd w:val="clear" w:color="auto" w:fill="auto"/>
          <w14:textFill>
            <w14:solidFill>
              <w14:schemeClr w14:val="tx1"/>
            </w14:solidFill>
          </w14:textFill>
        </w:rPr>
        <w:t>202</w:t>
      </w:r>
      <w:r>
        <w:rPr>
          <w:rFonts w:hint="eastAsia" w:ascii="仿宋_GB2312" w:hAnsi="仿宋_GB2312" w:eastAsia="仿宋_GB2312" w:cs="仿宋_GB2312"/>
          <w:b w:val="0"/>
          <w:bCs w:val="0"/>
          <w:color w:val="000000" w:themeColor="text1"/>
          <w:sz w:val="32"/>
          <w:szCs w:val="32"/>
          <w:highlight w:val="none"/>
          <w:shd w:val="clear" w:color="auto" w:fill="auto"/>
          <w:lang w:val="en-US" w:eastAsia="zh-CN"/>
          <w14:textFill>
            <w14:solidFill>
              <w14:schemeClr w14:val="tx1"/>
            </w14:solidFill>
          </w14:textFill>
        </w:rPr>
        <w:t>4</w:t>
      </w:r>
      <w:r>
        <w:rPr>
          <w:rFonts w:hint="eastAsia" w:ascii="仿宋_GB2312" w:hAnsi="仿宋_GB2312" w:eastAsia="仿宋_GB2312" w:cs="仿宋_GB2312"/>
          <w:b w:val="0"/>
          <w:bCs w:val="0"/>
          <w:color w:val="000000" w:themeColor="text1"/>
          <w:sz w:val="32"/>
          <w:szCs w:val="32"/>
          <w:highlight w:val="none"/>
          <w:shd w:val="clear" w:color="auto" w:fill="auto"/>
          <w14:textFill>
            <w14:solidFill>
              <w14:schemeClr w14:val="tx1"/>
            </w14:solidFill>
          </w14:textFill>
        </w:rPr>
        <w:t>年以来，</w:t>
      </w:r>
      <w:r>
        <w:rPr>
          <w:rFonts w:hint="eastAsia" w:ascii="仿宋_GB2312" w:hAnsi="仿宋_GB2312" w:eastAsia="仿宋_GB2312" w:cs="仿宋_GB2312"/>
          <w:b w:val="0"/>
          <w:bCs w:val="0"/>
          <w:color w:val="000000" w:themeColor="text1"/>
          <w:sz w:val="32"/>
          <w:szCs w:val="32"/>
          <w:highlight w:val="none"/>
          <w:shd w:val="clear" w:color="auto" w:fill="auto"/>
          <w:lang w:eastAsia="zh-CN"/>
          <w14:textFill>
            <w14:solidFill>
              <w14:schemeClr w14:val="tx1"/>
            </w14:solidFill>
          </w14:textFill>
        </w:rPr>
        <w:t>阳江市税务局</w:t>
      </w:r>
      <w:r>
        <w:rPr>
          <w:rFonts w:hint="eastAsia" w:ascii="仿宋_GB2312" w:hAnsi="仿宋_GB2312" w:eastAsia="仿宋_GB2312" w:cs="仿宋_GB2312"/>
          <w:b w:val="0"/>
          <w:bCs w:val="0"/>
          <w:color w:val="000000" w:themeColor="text1"/>
          <w:sz w:val="32"/>
          <w:szCs w:val="32"/>
          <w:highlight w:val="none"/>
          <w:shd w:val="clear" w:color="auto" w:fill="auto"/>
          <w14:textFill>
            <w14:solidFill>
              <w14:schemeClr w14:val="tx1"/>
            </w14:solidFill>
          </w14:textFill>
        </w:rPr>
        <w:t>深入学习贯彻习近平总书记关于优化营商环境的重要论述</w:t>
      </w:r>
      <w:r>
        <w:rPr>
          <w:rFonts w:hint="eastAsia" w:ascii="仿宋_GB2312" w:hAnsi="仿宋_GB2312" w:cs="仿宋_GB2312"/>
          <w:b w:val="0"/>
          <w:bCs w:val="0"/>
          <w:color w:val="000000" w:themeColor="text1"/>
          <w:sz w:val="32"/>
          <w:szCs w:val="32"/>
          <w:highlight w:val="none"/>
          <w:shd w:val="clear" w:color="auto" w:fill="auto"/>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highlight w:val="none"/>
          <w:lang w:val="en-US" w:eastAsia="zh-CN"/>
          <w14:textFill>
            <w14:solidFill>
              <w14:schemeClr w14:val="tx1"/>
            </w14:solidFill>
          </w14:textFill>
        </w:rPr>
        <w:t>在广东省税务局和阳江市委市政府的正确领导下，</w:t>
      </w:r>
      <w:r>
        <w:rPr>
          <w:rFonts w:hint="eastAsia" w:ascii="仿宋_GB2312" w:hAnsi="仿宋_GB2312" w:eastAsia="仿宋_GB2312" w:cs="仿宋_GB2312"/>
          <w:b w:val="0"/>
          <w:bCs w:val="0"/>
          <w:i w:val="0"/>
          <w:iCs w:val="0"/>
          <w:caps w:val="0"/>
          <w:strike w:val="0"/>
          <w:dstrike w:val="0"/>
          <w:color w:val="000000" w:themeColor="text1"/>
          <w:spacing w:val="0"/>
          <w:kern w:val="2"/>
          <w:sz w:val="32"/>
          <w:szCs w:val="32"/>
          <w:highlight w:val="none"/>
          <w:u w:val="none" w:color="auto"/>
          <w:shd w:val="clear" w:color="auto" w:fill="auto"/>
          <w:lang w:val="en-US" w:eastAsia="zh-CN" w:bidi="ar-SA"/>
          <w14:textFill>
            <w14:solidFill>
              <w14:schemeClr w14:val="tx1"/>
            </w14:solidFill>
          </w14:textFill>
        </w:rPr>
        <w:t>瞄准高质量发展目标任务，</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落实市委、市政府持续提升纳税服务便利度的工作要求，</w:t>
      </w:r>
      <w:r>
        <w:rPr>
          <w:rFonts w:hint="eastAsia" w:ascii="仿宋_GB2312" w:hAnsi="仿宋_GB2312" w:eastAsia="仿宋_GB2312" w:cs="仿宋_GB2312"/>
          <w:b w:val="0"/>
          <w:bCs w:val="0"/>
          <w:i w:val="0"/>
          <w:iCs w:val="0"/>
          <w:caps w:val="0"/>
          <w:strike w:val="0"/>
          <w:dstrike w:val="0"/>
          <w:color w:val="000000" w:themeColor="text1"/>
          <w:spacing w:val="0"/>
          <w:kern w:val="2"/>
          <w:sz w:val="32"/>
          <w:szCs w:val="32"/>
          <w:highlight w:val="none"/>
          <w:u w:val="none" w:color="auto"/>
          <w:shd w:val="clear" w:color="auto" w:fill="auto"/>
          <w:lang w:val="en-US" w:eastAsia="zh-CN" w:bidi="ar-SA"/>
          <w14:textFill>
            <w14:solidFill>
              <w14:schemeClr w14:val="tx1"/>
            </w14:solidFill>
          </w14:textFill>
        </w:rPr>
        <w:t>制定《</w:t>
      </w:r>
      <w:r>
        <w:rPr>
          <w:rFonts w:hint="eastAsia" w:ascii="仿宋_GB2312" w:hAnsi="仿宋_GB2312" w:eastAsia="仿宋_GB2312" w:cs="仿宋_GB2312"/>
          <w:b w:val="0"/>
          <w:bCs w:val="0"/>
          <w:color w:val="000000" w:themeColor="text1"/>
          <w:sz w:val="32"/>
          <w:szCs w:val="32"/>
          <w:highlight w:val="none"/>
          <w:shd w:val="clear" w:color="auto" w:fill="auto"/>
          <w:lang w:eastAsia="zh-CN"/>
          <w14:textFill>
            <w14:solidFill>
              <w14:schemeClr w14:val="tx1"/>
            </w14:solidFill>
          </w14:textFill>
        </w:rPr>
        <w:t>2024年度优化税收营商环境促进高质量发展工作方案</w:t>
      </w:r>
      <w:r>
        <w:rPr>
          <w:rFonts w:hint="eastAsia" w:ascii="仿宋_GB2312" w:hAnsi="仿宋_GB2312" w:eastAsia="仿宋_GB2312" w:cs="仿宋_GB2312"/>
          <w:b w:val="0"/>
          <w:bCs w:val="0"/>
          <w:i w:val="0"/>
          <w:iCs w:val="0"/>
          <w:caps w:val="0"/>
          <w:strike w:val="0"/>
          <w:dstrike w:val="0"/>
          <w:color w:val="000000" w:themeColor="text1"/>
          <w:spacing w:val="0"/>
          <w:kern w:val="2"/>
          <w:sz w:val="32"/>
          <w:szCs w:val="32"/>
          <w:highlight w:val="none"/>
          <w:u w:val="none" w:color="auto"/>
          <w:shd w:val="clear" w:color="auto" w:fill="auto"/>
          <w:lang w:val="en-US" w:eastAsia="zh-CN" w:bidi="ar-SA"/>
          <w14:textFill>
            <w14:solidFill>
              <w14:schemeClr w14:val="tx1"/>
            </w14:solidFill>
          </w14:textFill>
        </w:rPr>
        <w:t>》，</w:t>
      </w:r>
      <w:r>
        <w:rPr>
          <w:rFonts w:hint="eastAsia" w:ascii="仿宋_GB2312" w:hAnsi="仿宋_GB2312" w:eastAsia="仿宋_GB2312" w:cs="仿宋_GB2312"/>
          <w:b w:val="0"/>
          <w:bCs w:val="0"/>
          <w:color w:val="000000" w:themeColor="text1"/>
          <w:sz w:val="32"/>
          <w:szCs w:val="32"/>
          <w:highlight w:val="none"/>
          <w:shd w:val="clear" w:color="auto" w:fill="auto"/>
          <w:lang w:eastAsia="zh-CN"/>
          <w14:textFill>
            <w14:solidFill>
              <w14:schemeClr w14:val="tx1"/>
            </w14:solidFill>
          </w14:textFill>
        </w:rPr>
        <w:t>聚焦经营主体关切，狠抓整改落实，持续创新服务举措</w:t>
      </w:r>
      <w:r>
        <w:rPr>
          <w:rFonts w:hint="eastAsia" w:ascii="仿宋_GB2312" w:hAnsi="仿宋_GB2312" w:eastAsia="仿宋_GB2312" w:cs="仿宋_GB2312"/>
          <w:b w:val="0"/>
          <w:bCs w:val="0"/>
          <w:color w:val="000000" w:themeColor="text1"/>
          <w:sz w:val="32"/>
          <w:szCs w:val="32"/>
          <w:highlight w:val="none"/>
          <w:shd w:val="clear" w:color="auto" w:fill="auto"/>
          <w14:textFill>
            <w14:solidFill>
              <w14:schemeClr w14:val="tx1"/>
            </w14:solidFill>
          </w14:textFill>
        </w:rPr>
        <w:t>，推动</w:t>
      </w:r>
      <w:r>
        <w:rPr>
          <w:rFonts w:hint="eastAsia" w:ascii="仿宋_GB2312" w:hAnsi="仿宋_GB2312" w:eastAsia="仿宋_GB2312" w:cs="仿宋_GB2312"/>
          <w:b w:val="0"/>
          <w:bCs w:val="0"/>
          <w:color w:val="000000" w:themeColor="text1"/>
          <w:sz w:val="32"/>
          <w:szCs w:val="32"/>
          <w:highlight w:val="none"/>
          <w:shd w:val="clear" w:color="auto" w:fill="auto"/>
          <w:lang w:eastAsia="zh-CN"/>
          <w14:textFill>
            <w14:solidFill>
              <w14:schemeClr w14:val="tx1"/>
            </w14:solidFill>
          </w14:textFill>
        </w:rPr>
        <w:t>“高效办成一件事”、跨部门税费争议调解等</w:t>
      </w:r>
      <w:r>
        <w:rPr>
          <w:rFonts w:hint="eastAsia" w:ascii="仿宋_GB2312" w:hAnsi="仿宋_GB2312" w:eastAsia="仿宋_GB2312" w:cs="仿宋_GB2312"/>
          <w:b w:val="0"/>
          <w:bCs w:val="0"/>
          <w:color w:val="000000" w:themeColor="text1"/>
          <w:sz w:val="32"/>
          <w:szCs w:val="32"/>
          <w:highlight w:val="none"/>
          <w:lang w:val="en-US" w:eastAsia="zh-CN"/>
          <w14:textFill>
            <w14:solidFill>
              <w14:schemeClr w14:val="tx1"/>
            </w14:solidFill>
          </w14:textFill>
        </w:rPr>
        <w:t>重点领域</w:t>
      </w:r>
      <w:r>
        <w:rPr>
          <w:rFonts w:hint="eastAsia" w:ascii="仿宋_GB2312" w:hAnsi="仿宋_GB2312" w:eastAsia="仿宋_GB2312" w:cs="仿宋_GB2312"/>
          <w:b w:val="0"/>
          <w:bCs w:val="0"/>
          <w:color w:val="000000" w:themeColor="text1"/>
          <w:sz w:val="32"/>
          <w:szCs w:val="32"/>
          <w:highlight w:val="none"/>
          <w:shd w:val="clear" w:color="auto" w:fill="auto"/>
          <w14:textFill>
            <w14:solidFill>
              <w14:schemeClr w14:val="tx1"/>
            </w14:solidFill>
          </w14:textFill>
        </w:rPr>
        <w:t>实现新突破</w:t>
      </w:r>
      <w:r>
        <w:rPr>
          <w:rFonts w:hint="eastAsia" w:ascii="仿宋_GB2312" w:hAnsi="仿宋_GB2312" w:eastAsia="仿宋_GB2312" w:cs="仿宋_GB2312"/>
          <w:b w:val="0"/>
          <w:bCs w:val="0"/>
          <w:color w:val="000000" w:themeColor="text1"/>
          <w:sz w:val="32"/>
          <w:szCs w:val="32"/>
          <w:highlight w:val="none"/>
          <w:shd w:val="clear" w:color="auto" w:fill="auto"/>
          <w:lang w:eastAsia="zh-CN"/>
          <w14:textFill>
            <w14:solidFill>
              <w14:schemeClr w14:val="tx1"/>
            </w14:solidFill>
          </w14:textFill>
        </w:rPr>
        <w:t>。</w:t>
      </w:r>
      <w:r>
        <w:rPr>
          <w:rFonts w:hint="eastAsia" w:ascii="仿宋_GB2312" w:hAnsi="仿宋_GB2312" w:cs="仿宋_GB2312"/>
          <w:b w:val="0"/>
          <w:bCs w:val="0"/>
          <w:snapToGrid w:val="0"/>
          <w:color w:val="000000" w:themeColor="text1"/>
          <w:kern w:val="0"/>
          <w:sz w:val="32"/>
          <w:szCs w:val="32"/>
          <w:highlight w:val="none"/>
          <w:shd w:val="clear" w:color="auto" w:fill="auto"/>
          <w:lang w:val="en-US" w:eastAsia="zh-CN" w:bidi="ar-SA"/>
          <w14:textFill>
            <w14:solidFill>
              <w14:schemeClr w14:val="tx1"/>
            </w14:solidFill>
          </w14:textFill>
        </w:rPr>
        <w:t>在全省</w:t>
      </w:r>
      <w:r>
        <w:rPr>
          <w:rFonts w:hint="eastAsia" w:ascii="仿宋_GB2312" w:hAnsi="仿宋_GB2312" w:eastAsia="仿宋_GB2312" w:cs="仿宋_GB2312"/>
          <w:b w:val="0"/>
          <w:bCs w:val="0"/>
          <w:snapToGrid w:val="0"/>
          <w:color w:val="000000" w:themeColor="text1"/>
          <w:kern w:val="0"/>
          <w:sz w:val="32"/>
          <w:szCs w:val="32"/>
          <w:highlight w:val="none"/>
          <w:shd w:val="clear" w:color="auto" w:fill="auto"/>
          <w:lang w:val="en-US" w:eastAsia="zh-CN" w:bidi="ar-SA"/>
          <w14:textFill>
            <w14:solidFill>
              <w14:schemeClr w14:val="tx1"/>
            </w14:solidFill>
          </w14:textFill>
        </w:rPr>
        <w:t>营商环境评价</w:t>
      </w:r>
      <w:r>
        <w:rPr>
          <w:rFonts w:hint="eastAsia" w:ascii="仿宋_GB2312" w:hAnsi="仿宋_GB2312" w:cs="仿宋_GB2312"/>
          <w:b w:val="0"/>
          <w:bCs w:val="0"/>
          <w:snapToGrid w:val="0"/>
          <w:color w:val="000000" w:themeColor="text1"/>
          <w:kern w:val="0"/>
          <w:sz w:val="32"/>
          <w:szCs w:val="32"/>
          <w:highlight w:val="none"/>
          <w:shd w:val="clear" w:color="auto" w:fill="auto"/>
          <w:lang w:val="en-US" w:eastAsia="zh-CN" w:bidi="ar-SA"/>
          <w14:textFill>
            <w14:solidFill>
              <w14:schemeClr w14:val="tx1"/>
            </w14:solidFill>
          </w14:textFill>
        </w:rPr>
        <w:t>中，阳江</w:t>
      </w:r>
      <w:r>
        <w:rPr>
          <w:rFonts w:hint="eastAsia" w:ascii="仿宋_GB2312" w:hAnsi="仿宋_GB2312" w:eastAsia="仿宋_GB2312" w:cs="仿宋_GB2312"/>
          <w:b w:val="0"/>
          <w:bCs w:val="0"/>
          <w:snapToGrid w:val="0"/>
          <w:color w:val="000000" w:themeColor="text1"/>
          <w:kern w:val="0"/>
          <w:sz w:val="32"/>
          <w:szCs w:val="32"/>
          <w:highlight w:val="none"/>
          <w:shd w:val="clear" w:color="auto" w:fill="auto"/>
          <w:lang w:val="en-US" w:eastAsia="zh-CN" w:bidi="ar-SA"/>
          <w14:textFill>
            <w14:solidFill>
              <w14:schemeClr w14:val="tx1"/>
            </w14:solidFill>
          </w14:textFill>
        </w:rPr>
        <w:t>“纳税”指标排名连续三年取得突破性成绩，</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推动税收营商环境持续向新向好，</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让企业和群众办事更方便、更顺畅、更舒心，</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为奋力谱写中国式现代化阳江新篇章贡献新的税务力量。</w:t>
      </w:r>
    </w:p>
    <w:p>
      <w:pPr>
        <w:pStyle w:val="7"/>
        <w:keepNext w:val="0"/>
        <w:keepLines w:val="0"/>
        <w:pageBreakBefore w:val="0"/>
        <w:widowControl/>
        <w:kinsoku/>
        <w:wordWrap/>
        <w:overflowPunct/>
        <w:topLinePunct w:val="0"/>
        <w:autoSpaceDE w:val="0"/>
        <w:autoSpaceDN w:val="0"/>
        <w:bidi w:val="0"/>
        <w:adjustRightInd w:val="0"/>
        <w:snapToGrid w:val="0"/>
        <w:spacing w:line="600" w:lineRule="exact"/>
        <w:jc w:val="both"/>
        <w:textAlignment w:val="baseline"/>
        <w:rPr>
          <w:rFonts w:hint="eastAsia" w:ascii="仿宋_GB2312" w:hAnsi="仿宋_GB2312" w:eastAsia="仿宋_GB2312" w:cs="仿宋_GB2312"/>
          <w:b w:val="0"/>
          <w:bCs w:val="0"/>
          <w:snapToGrid w:val="0"/>
          <w:color w:val="000000" w:themeColor="text1"/>
          <w:kern w:val="0"/>
          <w:sz w:val="32"/>
          <w:szCs w:val="32"/>
          <w:highlight w:val="none"/>
          <w:shd w:val="clear" w:color="auto" w:fill="auto"/>
          <w:lang w:val="en-US" w:eastAsia="zh-CN" w:bidi="ar-SA"/>
          <w14:textFill>
            <w14:solidFill>
              <w14:schemeClr w14:val="tx1"/>
            </w14:solidFill>
          </w14:textFill>
        </w:rPr>
      </w:pPr>
    </w:p>
    <w:p>
      <w:pPr>
        <w:keepNext w:val="0"/>
        <w:keepLines w:val="0"/>
        <w:pageBreakBefore w:val="0"/>
        <w:widowControl/>
        <w:kinsoku/>
        <w:wordWrap/>
        <w:overflowPunct/>
        <w:topLinePunct w:val="0"/>
        <w:bidi w:val="0"/>
        <w:spacing w:line="600" w:lineRule="exact"/>
        <w:jc w:val="both"/>
        <w:rPr>
          <w:rFonts w:hint="eastAsia" w:ascii="仿宋_GB2312" w:hAnsi="仿宋_GB2312" w:eastAsia="仿宋_GB2312" w:cs="仿宋_GB2312"/>
          <w:color w:val="000000" w:themeColor="text1"/>
          <w:sz w:val="32"/>
          <w:szCs w:val="32"/>
          <w:highlight w:val="none"/>
          <w14:textFill>
            <w14:solidFill>
              <w14:schemeClr w14:val="tx1"/>
            </w14:solidFill>
          </w14:textFill>
        </w:rPr>
      </w:pPr>
    </w:p>
    <w:p>
      <w:pPr>
        <w:keepNext w:val="0"/>
        <w:keepLines w:val="0"/>
        <w:pageBreakBefore w:val="0"/>
        <w:widowControl/>
        <w:kinsoku/>
        <w:wordWrap/>
        <w:overflowPunct/>
        <w:topLinePunct w:val="0"/>
        <w:bidi w:val="0"/>
        <w:spacing w:line="600" w:lineRule="exact"/>
        <w:jc w:val="both"/>
        <w:rPr>
          <w:rFonts w:hint="eastAsia" w:ascii="仿宋_GB2312" w:hAnsi="仿宋_GB2312" w:eastAsia="仿宋_GB2312" w:cs="仿宋_GB2312"/>
          <w:color w:val="000000" w:themeColor="text1"/>
          <w:sz w:val="32"/>
          <w:szCs w:val="32"/>
          <w:highlight w:val="none"/>
          <w14:textFill>
            <w14:solidFill>
              <w14:schemeClr w14:val="tx1"/>
            </w14:solidFill>
          </w14:textFill>
        </w:rPr>
      </w:pPr>
    </w:p>
    <w:p>
      <w:pPr>
        <w:keepNext w:val="0"/>
        <w:keepLines w:val="0"/>
        <w:pageBreakBefore w:val="0"/>
        <w:widowControl/>
        <w:kinsoku/>
        <w:wordWrap/>
        <w:overflowPunct/>
        <w:topLinePunct w:val="0"/>
        <w:bidi w:val="0"/>
        <w:spacing w:line="600" w:lineRule="exact"/>
        <w:jc w:val="both"/>
        <w:rPr>
          <w:rFonts w:hint="eastAsia" w:ascii="仿宋_GB2312" w:hAnsi="仿宋_GB2312" w:eastAsia="仿宋_GB2312" w:cs="仿宋_GB2312"/>
          <w:color w:val="000000" w:themeColor="text1"/>
          <w:sz w:val="32"/>
          <w:szCs w:val="32"/>
          <w:highlight w:val="none"/>
          <w14:textFill>
            <w14:solidFill>
              <w14:schemeClr w14:val="tx1"/>
            </w14:solidFill>
          </w14:textFill>
        </w:rPr>
      </w:pPr>
    </w:p>
    <w:p>
      <w:pPr>
        <w:keepNext w:val="0"/>
        <w:keepLines w:val="0"/>
        <w:pageBreakBefore w:val="0"/>
        <w:widowControl/>
        <w:kinsoku/>
        <w:wordWrap/>
        <w:overflowPunct/>
        <w:topLinePunct w:val="0"/>
        <w:bidi w:val="0"/>
        <w:spacing w:line="600" w:lineRule="exact"/>
        <w:jc w:val="both"/>
        <w:rPr>
          <w:rFonts w:hint="eastAsia" w:ascii="仿宋_GB2312" w:hAnsi="仿宋_GB2312" w:eastAsia="仿宋_GB2312" w:cs="仿宋_GB2312"/>
          <w:color w:val="000000" w:themeColor="text1"/>
          <w:sz w:val="32"/>
          <w:szCs w:val="32"/>
          <w:highlight w:val="none"/>
          <w14:textFill>
            <w14:solidFill>
              <w14:schemeClr w14:val="tx1"/>
            </w14:solidFill>
          </w14:textFill>
        </w:rPr>
      </w:pPr>
    </w:p>
    <w:p>
      <w:pPr>
        <w:keepNext w:val="0"/>
        <w:keepLines w:val="0"/>
        <w:pageBreakBefore w:val="0"/>
        <w:widowControl/>
        <w:kinsoku/>
        <w:wordWrap/>
        <w:overflowPunct/>
        <w:topLinePunct w:val="0"/>
        <w:bidi w:val="0"/>
        <w:spacing w:line="600" w:lineRule="exact"/>
        <w:jc w:val="both"/>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br w:type="page"/>
      </w:r>
    </w:p>
    <w:p>
      <w:pPr>
        <w:keepNext w:val="0"/>
        <w:keepLines w:val="0"/>
        <w:pageBreakBefore w:val="0"/>
        <w:widowControl/>
        <w:numPr>
          <w:ilvl w:val="0"/>
          <w:numId w:val="0"/>
        </w:numPr>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黑体" w:hAnsi="黑体" w:eastAsia="黑体" w:cs="黑体"/>
          <w:color w:val="000000" w:themeColor="text1"/>
          <w:sz w:val="32"/>
          <w:szCs w:val="32"/>
          <w:highlight w:val="none"/>
          <w:lang w:eastAsia="zh-CN"/>
          <w14:textFill>
            <w14:solidFill>
              <w14:schemeClr w14:val="tx1"/>
            </w14:solidFill>
          </w14:textFill>
        </w:rPr>
        <w:t>一、服务发展大局</w:t>
      </w:r>
      <w:r>
        <w:rPr>
          <w:rFonts w:hint="eastAsia" w:ascii="仿宋_GB2312" w:hAnsi="仿宋_GB2312" w:eastAsia="仿宋_GB2312" w:cs="仿宋_GB2312"/>
          <w:color w:val="000000" w:themeColor="text1"/>
          <w:sz w:val="32"/>
          <w:szCs w:val="32"/>
          <w:highlight w:val="none"/>
          <w14:textFill>
            <w14:solidFill>
              <w14:schemeClr w14:val="tx1"/>
            </w14:solidFill>
          </w14:textFill>
        </w:rPr>
        <w:t> </w:t>
      </w:r>
    </w:p>
    <w:p>
      <w:pPr>
        <w:keepNext w:val="0"/>
        <w:keepLines w:val="0"/>
        <w:pageBreakBefore w:val="0"/>
        <w:widowControl/>
        <w:numPr>
          <w:ilvl w:val="0"/>
          <w:numId w:val="0"/>
        </w:numPr>
        <w:kinsoku/>
        <w:wordWrap/>
        <w:overflowPunct/>
        <w:topLinePunct w:val="0"/>
        <w:bidi w:val="0"/>
        <w:spacing w:line="600" w:lineRule="exact"/>
        <w:ind w:firstLine="643" w:firstLineChars="200"/>
        <w:jc w:val="both"/>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（一）</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服务经济发展</w:t>
      </w:r>
    </w:p>
    <w:p>
      <w:pPr>
        <w:keepNext w:val="0"/>
        <w:keepLines w:val="0"/>
        <w:pageBreakBefore w:val="0"/>
        <w:widowControl/>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全市税务系统</w:t>
      </w:r>
      <w:r>
        <w:rPr>
          <w:rFonts w:hint="eastAsia" w:ascii="仿宋_GB2312" w:hAnsi="仿宋_GB2312" w:eastAsia="仿宋_GB2312" w:cs="仿宋_GB2312"/>
          <w:color w:val="000000" w:themeColor="text1"/>
          <w:sz w:val="32"/>
          <w:szCs w:val="32"/>
          <w:highlight w:val="none"/>
          <w14:textFill>
            <w14:solidFill>
              <w14:schemeClr w14:val="tx1"/>
            </w14:solidFill>
          </w14:textFill>
        </w:rPr>
        <w:t>组织税费收入</w:t>
      </w:r>
      <w:r>
        <w:rPr>
          <w:rFonts w:hint="eastAsia" w:ascii="仿宋_GB2312" w:hAnsi="仿宋_GB2312" w:eastAsia="仿宋_GB2312" w:cs="仿宋_GB2312"/>
          <w:color w:val="000000" w:themeColor="text1"/>
          <w:spacing w:val="0"/>
          <w:kern w:val="2"/>
          <w:sz w:val="32"/>
          <w:szCs w:val="32"/>
          <w:highlight w:val="none"/>
          <w:u w:val="none" w:color="auto"/>
          <w:lang w:val="en-US" w:eastAsia="zh-CN" w:bidi="ar"/>
          <w14:textFill>
            <w14:solidFill>
              <w14:schemeClr w14:val="tx1"/>
            </w14:solidFill>
          </w14:textFill>
        </w:rPr>
        <w:t>307</w:t>
      </w:r>
      <w:r>
        <w:rPr>
          <w:rFonts w:hint="eastAsia" w:ascii="仿宋_GB2312" w:hAnsi="仿宋_GB2312" w:cs="仿宋_GB2312"/>
          <w:color w:val="000000" w:themeColor="text1"/>
          <w:spacing w:val="0"/>
          <w:kern w:val="2"/>
          <w:sz w:val="32"/>
          <w:szCs w:val="32"/>
          <w:highlight w:val="none"/>
          <w:u w:val="none" w:color="auto"/>
          <w:lang w:val="en-US" w:eastAsia="zh-CN" w:bidi="ar"/>
          <w14:textFill>
            <w14:solidFill>
              <w14:schemeClr w14:val="tx1"/>
            </w14:solidFill>
          </w14:textFill>
        </w:rPr>
        <w:t>.1亿</w:t>
      </w:r>
      <w:r>
        <w:rPr>
          <w:rFonts w:hint="eastAsia" w:ascii="仿宋_GB2312" w:hAnsi="仿宋_GB2312" w:eastAsia="仿宋_GB2312" w:cs="仿宋_GB2312"/>
          <w:color w:val="000000" w:themeColor="text1"/>
          <w:sz w:val="32"/>
          <w:szCs w:val="32"/>
          <w:highlight w:val="none"/>
          <w14:textFill>
            <w14:solidFill>
              <w14:schemeClr w14:val="tx1"/>
            </w14:solidFill>
          </w14:textFill>
        </w:rPr>
        <w:t>元</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，剔除政策性及免抵调库减收因素后，可比增长7.1%，高于全省平均水平3.7个百分点，增速全省第七，</w:t>
      </w:r>
      <w:r>
        <w:rPr>
          <w:rFonts w:hint="eastAsia" w:ascii="仿宋_GB2312" w:hAnsi="仿宋_GB2312" w:eastAsia="仿宋_GB2312" w:cs="仿宋_GB2312"/>
          <w:color w:val="000000" w:themeColor="text1"/>
          <w:sz w:val="32"/>
          <w:szCs w:val="32"/>
          <w:highlight w:val="none"/>
          <w:u w:val="none" w:color="auto"/>
          <w:lang w:val="en-US" w:eastAsia="zh-CN"/>
          <w14:textFill>
            <w14:solidFill>
              <w14:schemeClr w14:val="tx1"/>
            </w14:solidFill>
          </w14:textFill>
        </w:rPr>
        <w:t>办理出口退（免）税17.</w:t>
      </w:r>
      <w:r>
        <w:rPr>
          <w:rFonts w:hint="eastAsia" w:ascii="仿宋_GB2312" w:hAnsi="仿宋_GB2312" w:cs="仿宋_GB2312"/>
          <w:color w:val="000000" w:themeColor="text1"/>
          <w:sz w:val="32"/>
          <w:szCs w:val="32"/>
          <w:highlight w:val="none"/>
          <w:u w:val="none" w:color="auto"/>
          <w:lang w:val="en-US" w:eastAsia="zh-CN"/>
          <w14:textFill>
            <w14:solidFill>
              <w14:schemeClr w14:val="tx1"/>
            </w14:solidFill>
          </w14:textFill>
        </w:rPr>
        <w:t>9</w:t>
      </w:r>
      <w:r>
        <w:rPr>
          <w:rFonts w:hint="eastAsia" w:ascii="仿宋_GB2312" w:hAnsi="仿宋_GB2312" w:eastAsia="仿宋_GB2312" w:cs="仿宋_GB2312"/>
          <w:color w:val="000000" w:themeColor="text1"/>
          <w:sz w:val="32"/>
          <w:szCs w:val="32"/>
          <w:highlight w:val="none"/>
          <w:u w:val="none" w:color="auto"/>
          <w:lang w:val="en-US" w:eastAsia="zh-CN"/>
          <w14:textFill>
            <w14:solidFill>
              <w14:schemeClr w14:val="tx1"/>
            </w14:solidFill>
          </w14:textFill>
        </w:rPr>
        <w:t>亿元</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切实</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发挥税收职能作用，</w:t>
      </w:r>
      <w:r>
        <w:rPr>
          <w:rFonts w:hint="eastAsia" w:ascii="仿宋_GB2312" w:hAnsi="仿宋_GB2312" w:eastAsia="仿宋_GB2312" w:cs="仿宋_GB2312"/>
          <w:color w:val="000000" w:themeColor="text1"/>
          <w:sz w:val="32"/>
          <w:szCs w:val="32"/>
          <w:highlight w:val="none"/>
          <w14:textFill>
            <w14:solidFill>
              <w14:schemeClr w14:val="tx1"/>
            </w14:solidFill>
          </w14:textFill>
        </w:rPr>
        <w:t>扛起落实组合式税费支持政策的政治责任。</w:t>
      </w:r>
      <w:r>
        <w:rPr>
          <w:rFonts w:hint="eastAsia" w:ascii="仿宋_GB2312" w:hAnsi="仿宋_GB2312" w:eastAsia="仿宋_GB2312" w:cs="仿宋_GB2312"/>
          <w:color w:val="000000" w:themeColor="text1"/>
          <w:sz w:val="32"/>
          <w:szCs w:val="32"/>
          <w:highlight w:val="none"/>
          <w14:textFill>
            <w14:solidFill>
              <w14:schemeClr w14:val="tx1"/>
            </w14:solidFill>
          </w14:textFill>
        </w:rPr>
        <w:br w:type="textWrapping"/>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（二）</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服务</w:t>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党政决策</w:t>
      </w:r>
    </w:p>
    <w:p>
      <w:pPr>
        <w:keepNext w:val="0"/>
        <w:keepLines w:val="0"/>
        <w:pageBreakBefore w:val="0"/>
        <w:widowControl/>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黑体" w:eastAsia="仿宋_GB2312" w:cs="Times New Roman"/>
          <w:color w:val="000000" w:themeColor="text1"/>
          <w:kern w:val="2"/>
          <w:sz w:val="32"/>
          <w:szCs w:val="32"/>
          <w:highlight w:val="none"/>
          <w:u w:val="none" w:color="auto"/>
          <w:lang w:val="en-US" w:eastAsia="zh-CN" w:bidi="ar-SA"/>
          <w14:textFill>
            <w14:solidFill>
              <w14:schemeClr w14:val="tx1"/>
            </w14:solidFill>
          </w14:textFill>
        </w:rPr>
        <w:t>贯彻落实党中央决策部署和省委“1310”具体部署和市委“433”工作安排</w:t>
      </w:r>
      <w:r>
        <w:rPr>
          <w:rFonts w:hint="eastAsia" w:ascii="仿宋_GB2312" w:hAnsi="仿宋_GB2312" w:eastAsia="仿宋_GB2312" w:cs="仿宋_GB2312"/>
          <w:color w:val="000000" w:themeColor="text1"/>
          <w:spacing w:val="0"/>
          <w:kern w:val="2"/>
          <w:sz w:val="32"/>
          <w:szCs w:val="32"/>
          <w:highlight w:val="none"/>
          <w:u w:val="none" w:color="auto"/>
          <w:lang w:val="en-US" w:eastAsia="zh-CN" w:bidi="ar"/>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坚持以纳税人缴费人为中心，提升满意度、提高便利度，全力打造一流税收营商环境。连续第11年开展“便民办税春风行动”，推出36条新措施；落实“高效办成一件事”部署，推进办税缴费服务窗口进驻地方政务服务中心，全市3个办税服务厅完全进驻当地政务服务中心，全面推行关联业务“一窗办理”模式。</w:t>
      </w:r>
    </w:p>
    <w:p>
      <w:pPr>
        <w:keepNext w:val="0"/>
        <w:keepLines w:val="0"/>
        <w:pageBreakBefore w:val="0"/>
        <w:widowControl/>
        <w:kinsoku/>
        <w:wordWrap/>
        <w:overflowPunct/>
        <w:topLinePunct w:val="0"/>
        <w:bidi w:val="0"/>
        <w:spacing w:line="600" w:lineRule="exact"/>
        <w:ind w:firstLine="640" w:firstLineChars="200"/>
        <w:jc w:val="both"/>
        <w:rPr>
          <w:rFonts w:hint="default"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（三）</w:t>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服务</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征管改革</w:t>
      </w:r>
    </w:p>
    <w:p>
      <w:pPr>
        <w:keepNext w:val="0"/>
        <w:keepLines w:val="0"/>
        <w:pageBreakBefore w:val="0"/>
        <w:widowControl/>
        <w:kinsoku/>
        <w:wordWrap/>
        <w:overflowPunct/>
        <w:topLinePunct w:val="0"/>
        <w:bidi w:val="0"/>
        <w:spacing w:line="600" w:lineRule="exact"/>
        <w:ind w:firstLine="640" w:firstLineChars="200"/>
        <w:jc w:val="both"/>
        <w:rPr>
          <w:rFonts w:hint="eastAsia" w:ascii="仿宋_GB2312" w:hAnsi="Calibri" w:eastAsia="仿宋_GB2312" w:cs="Times New Roman"/>
          <w:color w:val="000000" w:themeColor="text1"/>
          <w:kern w:val="0"/>
          <w:sz w:val="32"/>
          <w:szCs w:val="32"/>
          <w:highlight w:val="none"/>
          <w:u w:val="none" w:color="auto"/>
          <w:lang w:val="en-US" w:eastAsia="zh-CN" w:bidi="ar-SA"/>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连续四年实施“点亮阳税”微改革微创新，统筹推进240项提升行动改革措施，四年来改革任务全部完成。进一步转变基层税费征管方式，推进全市23个税源管理机构征管职能转变。持续深化智慧税务建设，稳步推进数电票、新电子税务局、慧办平台、乐企平台推广，数电票金额开票率97.6%，位居全省前列</w:t>
      </w:r>
      <w:r>
        <w:rPr>
          <w:rFonts w:hint="eastAsia" w:ascii="仿宋_GB2312" w:hAnsi="仿宋_GB2312" w:eastAsia="仿宋_GB2312" w:cs="仿宋_GB2312"/>
          <w:color w:val="000000" w:themeColor="text1"/>
          <w:sz w:val="32"/>
          <w:szCs w:val="32"/>
          <w:highlight w:val="none"/>
          <w:lang w:val="en"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新电子税务局网上办理率超过97%。推动税费治理进一步向数字化、智能化、场景化跨越升级。</w:t>
      </w:r>
    </w:p>
    <w:p>
      <w:pPr>
        <w:keepNext w:val="0"/>
        <w:keepLines w:val="0"/>
        <w:pageBreakBefore w:val="0"/>
        <w:widowControl/>
        <w:numPr>
          <w:ilvl w:val="0"/>
          <w:numId w:val="0"/>
        </w:numPr>
        <w:kinsoku/>
        <w:wordWrap/>
        <w:overflowPunct/>
        <w:topLinePunct w:val="0"/>
        <w:bidi w:val="0"/>
        <w:spacing w:line="600" w:lineRule="exact"/>
        <w:ind w:leftChars="266"/>
        <w:jc w:val="both"/>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黑体" w:hAnsi="黑体" w:eastAsia="黑体" w:cs="黑体"/>
          <w:color w:val="000000" w:themeColor="text1"/>
          <w:sz w:val="32"/>
          <w:szCs w:val="32"/>
          <w:highlight w:val="none"/>
          <w:lang w:eastAsia="zh-CN"/>
          <w14:textFill>
            <w14:solidFill>
              <w14:schemeClr w14:val="tx1"/>
            </w14:solidFill>
          </w14:textFill>
        </w:rPr>
        <w:t>二</w:t>
      </w:r>
      <w:r>
        <w:rPr>
          <w:rFonts w:hint="eastAsia" w:ascii="黑体" w:hAnsi="黑体" w:eastAsia="黑体" w:cs="黑体"/>
          <w:color w:val="000000" w:themeColor="text1"/>
          <w:sz w:val="32"/>
          <w:szCs w:val="32"/>
          <w:highlight w:val="none"/>
          <w:lang w:val="en-US" w:eastAsia="zh-CN"/>
          <w14:textFill>
            <w14:solidFill>
              <w14:schemeClr w14:val="tx1"/>
            </w14:solidFill>
          </w14:textFill>
        </w:rPr>
        <w:t>、</w:t>
      </w:r>
      <w:r>
        <w:rPr>
          <w:rFonts w:hint="eastAsia" w:ascii="黑体" w:hAnsi="黑体" w:eastAsia="黑体" w:cs="黑体"/>
          <w:color w:val="000000" w:themeColor="text1"/>
          <w:sz w:val="32"/>
          <w:szCs w:val="32"/>
          <w:highlight w:val="none"/>
          <w:lang w:eastAsia="zh-CN"/>
          <w14:textFill>
            <w14:solidFill>
              <w14:schemeClr w14:val="tx1"/>
            </w14:solidFill>
          </w14:textFill>
        </w:rPr>
        <w:t>规范税收执法</w:t>
      </w:r>
      <w:r>
        <w:rPr>
          <w:rFonts w:hint="eastAsia" w:ascii="黑体" w:hAnsi="黑体" w:eastAsia="黑体" w:cs="黑体"/>
          <w:color w:val="000000" w:themeColor="text1"/>
          <w:sz w:val="32"/>
          <w:szCs w:val="32"/>
          <w:highlight w:val="none"/>
          <w14:textFill>
            <w14:solidFill>
              <w14:schemeClr w14:val="tx1"/>
            </w14:solidFill>
          </w14:textFill>
        </w:rPr>
        <w:t> </w:t>
      </w:r>
      <w:r>
        <w:rPr>
          <w:rFonts w:hint="eastAsia" w:ascii="仿宋_GB2312" w:hAnsi="仿宋_GB2312" w:eastAsia="仿宋_GB2312" w:cs="仿宋_GB2312"/>
          <w:color w:val="000000" w:themeColor="text1"/>
          <w:sz w:val="32"/>
          <w:szCs w:val="32"/>
          <w:highlight w:val="none"/>
          <w14:textFill>
            <w14:solidFill>
              <w14:schemeClr w14:val="tx1"/>
            </w14:solidFill>
          </w14:textFill>
        </w:rPr>
        <w:br w:type="textWrapping"/>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（一）提高</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税收法律法规的透明度</w:t>
      </w:r>
    </w:p>
    <w:p>
      <w:pPr>
        <w:keepNext w:val="0"/>
        <w:keepLines w:val="0"/>
        <w:pageBreakBefore w:val="0"/>
        <w:widowControl/>
        <w:numPr>
          <w:ilvl w:val="0"/>
          <w:numId w:val="0"/>
        </w:numPr>
        <w:kinsoku/>
        <w:wordWrap/>
        <w:overflowPunct/>
        <w:topLinePunct w:val="0"/>
        <w:bidi w:val="0"/>
        <w:spacing w:line="600" w:lineRule="exact"/>
        <w:ind w:leftChars="266"/>
        <w:jc w:val="both"/>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1.</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公开一般税收指引</w:t>
      </w:r>
    </w:p>
    <w:p>
      <w:pPr>
        <w:keepNext w:val="0"/>
        <w:keepLines w:val="0"/>
        <w:pageBreakBefore w:val="0"/>
        <w:widowControl/>
        <w:numPr>
          <w:ilvl w:val="0"/>
          <w:numId w:val="0"/>
        </w:numPr>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通过12366热线、税务网站、两微一端等线上线下渠道开展税收宣传</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；针对不同税费业务场景，通过公众号“春风税课”“宣辅园地”栏目制发“操作指引”系列推文</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7</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个。</w:t>
      </w:r>
      <w:r>
        <w:rPr>
          <w:rFonts w:hint="eastAsia" w:ascii="仿宋_GB2312" w:hAnsi="仿宋_GB2312" w:eastAsia="仿宋_GB2312" w:cs="仿宋_GB2312"/>
          <w:color w:val="000000" w:themeColor="text1"/>
          <w:sz w:val="32"/>
          <w:szCs w:val="32"/>
          <w:highlight w:val="none"/>
          <w:shd w:val="clear" w:color="auto" w:fill="auto"/>
          <w:lang w:val="en-US" w:eastAsia="zh-CN"/>
          <w14:textFill>
            <w14:solidFill>
              <w14:schemeClr w14:val="tx1"/>
            </w14:solidFill>
          </w14:textFill>
        </w:rPr>
        <w:t>编制《税费宣传资料清单》，印发</w:t>
      </w:r>
      <w:r>
        <w:rPr>
          <w:rFonts w:hint="eastAsia" w:ascii="仿宋_GB2312" w:hAnsi="仿宋_GB2312" w:eastAsia="仿宋_GB2312" w:cs="仿宋_GB2312"/>
          <w:color w:val="000000" w:themeColor="text1"/>
          <w:sz w:val="32"/>
          <w:szCs w:val="32"/>
          <w:highlight w:val="none"/>
          <w:shd w:val="clear" w:color="auto" w:fill="auto"/>
          <w14:textFill>
            <w14:solidFill>
              <w14:schemeClr w14:val="tx1"/>
            </w14:solidFill>
          </w14:textFill>
        </w:rPr>
        <w:t>《优化营商环境》宣传海报</w:t>
      </w:r>
      <w:r>
        <w:rPr>
          <w:rFonts w:hint="eastAsia" w:ascii="仿宋_GB2312" w:hAnsi="仿宋_GB2312" w:eastAsia="仿宋_GB2312" w:cs="仿宋_GB2312"/>
          <w:color w:val="000000" w:themeColor="text1"/>
          <w:sz w:val="32"/>
          <w:szCs w:val="32"/>
          <w:highlight w:val="none"/>
          <w:shd w:val="clear" w:color="auto" w:fill="auto"/>
          <w:lang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shd w:val="clear" w:color="auto" w:fill="auto"/>
          <w:lang w:val="en-US" w:eastAsia="zh-CN"/>
          <w14:textFill>
            <w14:solidFill>
              <w14:schemeClr w14:val="tx1"/>
            </w14:solidFill>
          </w14:textFill>
        </w:rPr>
        <w:t>《医保缴费不用跑、在家门口就能办》、《一文读懂2023年个税汇算申报指引》、</w:t>
      </w:r>
      <w:r>
        <w:rPr>
          <w:rFonts w:hint="eastAsia" w:ascii="仿宋_GB2312" w:hAnsi="仿宋_GB2312" w:eastAsia="仿宋_GB2312" w:cs="仿宋_GB2312"/>
          <w:color w:val="000000" w:themeColor="text1"/>
          <w:sz w:val="32"/>
          <w:szCs w:val="32"/>
          <w:highlight w:val="none"/>
          <w:shd w:val="clear" w:color="auto" w:fill="auto"/>
          <w14:textFill>
            <w14:solidFill>
              <w14:schemeClr w14:val="tx1"/>
            </w14:solidFill>
          </w14:textFill>
        </w:rPr>
        <w:t>《</w:t>
      </w:r>
      <w:r>
        <w:rPr>
          <w:rFonts w:hint="eastAsia" w:ascii="仿宋_GB2312" w:hAnsi="仿宋_GB2312" w:eastAsia="仿宋_GB2312" w:cs="仿宋_GB2312"/>
          <w:color w:val="000000" w:themeColor="text1"/>
          <w:sz w:val="32"/>
          <w:szCs w:val="32"/>
          <w:highlight w:val="none"/>
          <w:shd w:val="clear" w:color="auto" w:fill="auto"/>
          <w:lang w:eastAsia="zh-CN"/>
          <w14:textFill>
            <w14:solidFill>
              <w14:schemeClr w14:val="tx1"/>
            </w14:solidFill>
          </w14:textFill>
        </w:rPr>
        <w:t>增值税小规模纳税人、个体工商户全流程办税攻略</w:t>
      </w:r>
      <w:r>
        <w:rPr>
          <w:rFonts w:hint="eastAsia" w:ascii="仿宋_GB2312" w:hAnsi="仿宋_GB2312" w:eastAsia="仿宋_GB2312" w:cs="仿宋_GB2312"/>
          <w:color w:val="000000" w:themeColor="text1"/>
          <w:sz w:val="32"/>
          <w:szCs w:val="32"/>
          <w:highlight w:val="none"/>
          <w:shd w:val="clear" w:color="auto" w:fill="auto"/>
          <w14:textFill>
            <w14:solidFill>
              <w14:schemeClr w14:val="tx1"/>
            </w14:solidFill>
          </w14:textFill>
        </w:rPr>
        <w:t>》</w:t>
      </w:r>
      <w:r>
        <w:rPr>
          <w:rFonts w:hint="eastAsia" w:ascii="仿宋_GB2312" w:hAnsi="仿宋_GB2312" w:eastAsia="仿宋_GB2312" w:cs="仿宋_GB2312"/>
          <w:color w:val="000000" w:themeColor="text1"/>
          <w:sz w:val="32"/>
          <w:szCs w:val="32"/>
          <w:highlight w:val="none"/>
          <w:shd w:val="clear" w:color="auto" w:fill="auto"/>
          <w:lang w:val="en-US" w:eastAsia="zh-CN"/>
          <w14:textFill>
            <w14:solidFill>
              <w14:schemeClr w14:val="tx1"/>
            </w14:solidFill>
          </w14:textFill>
        </w:rPr>
        <w:t>等</w:t>
      </w:r>
      <w:r>
        <w:rPr>
          <w:rFonts w:hint="eastAsia" w:ascii="仿宋_GB2312" w:hAnsi="仿宋_GB2312" w:eastAsia="仿宋_GB2312" w:cs="仿宋_GB2312"/>
          <w:color w:val="000000" w:themeColor="text1"/>
          <w:sz w:val="32"/>
          <w:szCs w:val="32"/>
          <w:highlight w:val="none"/>
          <w:shd w:val="clear" w:color="auto" w:fill="auto"/>
          <w14:textFill>
            <w14:solidFill>
              <w14:schemeClr w14:val="tx1"/>
            </w14:solidFill>
          </w14:textFill>
        </w:rPr>
        <w:t>操作指引</w:t>
      </w:r>
      <w:r>
        <w:rPr>
          <w:rFonts w:hint="eastAsia" w:ascii="仿宋_GB2312" w:hAnsi="仿宋_GB2312" w:eastAsia="仿宋_GB2312" w:cs="仿宋_GB2312"/>
          <w:color w:val="000000" w:themeColor="text1"/>
          <w:sz w:val="32"/>
          <w:szCs w:val="32"/>
          <w:highlight w:val="none"/>
          <w:shd w:val="clear" w:color="auto" w:fill="auto"/>
          <w:lang w:val="en-US" w:eastAsia="zh-CN"/>
          <w14:textFill>
            <w14:solidFill>
              <w14:schemeClr w14:val="tx1"/>
            </w14:solidFill>
          </w14:textFill>
        </w:rPr>
        <w:t>共4万份。</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br w:type="textWrapping"/>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2.公开内部税收指引</w:t>
      </w:r>
    </w:p>
    <w:p>
      <w:pPr>
        <w:keepNext w:val="0"/>
        <w:keepLines w:val="0"/>
        <w:pageBreakBefore w:val="0"/>
        <w:widowControl w:val="0"/>
        <w:numPr>
          <w:ilvl w:val="0"/>
          <w:numId w:val="0"/>
        </w:numPr>
        <w:kinsoku/>
        <w:wordWrap/>
        <w:topLinePunct w:val="0"/>
        <w:autoSpaceDN/>
        <w:bidi w:val="0"/>
        <w:adjustRightInd w:val="0"/>
        <w:snapToGrid w:val="0"/>
        <w:spacing w:line="600" w:lineRule="exact"/>
        <w:ind w:firstLine="640" w:firstLineChars="200"/>
        <w:jc w:val="both"/>
        <w:rPr>
          <w:rFonts w:hint="eastAsia" w:ascii="仿宋_GB2312" w:hAnsi="仿宋_GB2312" w:eastAsia="仿宋_GB2312" w:cs="仿宋_GB2312"/>
          <w:color w:val="000000" w:themeColor="text1"/>
          <w:sz w:val="32"/>
          <w:szCs w:val="32"/>
          <w:highlight w:val="none"/>
          <w:shd w:val="clear" w:color="auto" w:fill="auto"/>
          <w:lang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线下</w:t>
      </w:r>
      <w:r>
        <w:rPr>
          <w:rFonts w:hint="eastAsia" w:ascii="仿宋_GB2312" w:hAnsi="仿宋_GB2312" w:eastAsia="仿宋_GB2312" w:cs="仿宋_GB2312"/>
          <w:color w:val="000000" w:themeColor="text1"/>
          <w:sz w:val="32"/>
          <w:szCs w:val="32"/>
          <w:highlight w:val="none"/>
          <w14:textFill>
            <w14:solidFill>
              <w14:schemeClr w14:val="tx1"/>
            </w14:solidFill>
          </w14:textFill>
        </w:rPr>
        <w:t>在办税服务厅</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对外公布</w:t>
      </w:r>
      <w:r>
        <w:rPr>
          <w:rFonts w:hint="eastAsia" w:ascii="仿宋_GB2312" w:hAnsi="仿宋_GB2312" w:eastAsia="仿宋_GB2312" w:cs="仿宋_GB2312"/>
          <w:color w:val="000000" w:themeColor="text1"/>
          <w:sz w:val="32"/>
          <w:szCs w:val="32"/>
          <w:highlight w:val="none"/>
          <w14:textFill>
            <w14:solidFill>
              <w14:schemeClr w14:val="tx1"/>
            </w14:solidFill>
          </w14:textFill>
        </w:rPr>
        <w:t>《纳税服务规范》</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。线上通过</w:t>
      </w:r>
      <w:r>
        <w:rPr>
          <w:rFonts w:hint="eastAsia" w:ascii="仿宋_GB2312" w:hAnsi="仿宋_GB2312" w:eastAsia="仿宋_GB2312" w:cs="仿宋_GB2312"/>
          <w:color w:val="000000" w:themeColor="text1"/>
          <w:sz w:val="32"/>
          <w:szCs w:val="32"/>
          <w:highlight w:val="none"/>
          <w:shd w:val="clear" w:color="auto" w:fill="auto"/>
          <w:lang w:eastAsia="zh-CN"/>
          <w14:textFill>
            <w14:solidFill>
              <w14:schemeClr w14:val="tx1"/>
            </w14:solidFill>
          </w14:textFill>
        </w:rPr>
        <w:t>门户</w:t>
      </w:r>
      <w:r>
        <w:rPr>
          <w:rFonts w:hint="eastAsia" w:ascii="仿宋_GB2312" w:hAnsi="仿宋_GB2312" w:eastAsia="仿宋_GB2312" w:cs="仿宋_GB2312"/>
          <w:color w:val="000000" w:themeColor="text1"/>
          <w:sz w:val="32"/>
          <w:szCs w:val="32"/>
          <w:highlight w:val="none"/>
          <w:shd w:val="clear" w:color="auto" w:fill="auto"/>
          <w14:textFill>
            <w14:solidFill>
              <w14:schemeClr w14:val="tx1"/>
            </w14:solidFill>
          </w14:textFill>
        </w:rPr>
        <w:t>网站</w:t>
      </w:r>
      <w:r>
        <w:rPr>
          <w:rFonts w:hint="eastAsia" w:ascii="仿宋_GB2312" w:hAnsi="仿宋_GB2312" w:eastAsia="仿宋_GB2312" w:cs="仿宋_GB2312"/>
          <w:color w:val="000000" w:themeColor="text1"/>
          <w:sz w:val="32"/>
          <w:szCs w:val="32"/>
          <w:highlight w:val="none"/>
          <w:shd w:val="clear" w:color="auto" w:fill="auto"/>
          <w:lang w:eastAsia="zh-CN"/>
          <w14:textFill>
            <w14:solidFill>
              <w14:schemeClr w14:val="tx1"/>
            </w14:solidFill>
          </w14:textFill>
        </w:rPr>
        <w:t>设置“政策文件”栏目，公开“非接触式”办税缴费事项清单，</w:t>
      </w:r>
      <w:r>
        <w:rPr>
          <w:rFonts w:hint="eastAsia" w:ascii="仿宋_GB2312" w:hAnsi="仿宋_GB2312" w:eastAsia="仿宋_GB2312" w:cs="仿宋_GB2312"/>
          <w:color w:val="000000" w:themeColor="text1"/>
          <w:sz w:val="32"/>
          <w:szCs w:val="32"/>
          <w:highlight w:val="none"/>
          <w:shd w:val="clear" w:color="auto" w:fill="auto"/>
          <w:lang w:val="en-US" w:eastAsia="zh-CN"/>
          <w14:textFill>
            <w14:solidFill>
              <w14:schemeClr w14:val="tx1"/>
            </w14:solidFill>
          </w14:textFill>
        </w:rPr>
        <w:t>233项</w:t>
      </w:r>
      <w:r>
        <w:rPr>
          <w:rFonts w:hint="eastAsia" w:ascii="仿宋_GB2312" w:hAnsi="仿宋_GB2312" w:eastAsia="仿宋_GB2312" w:cs="仿宋_GB2312"/>
          <w:color w:val="000000" w:themeColor="text1"/>
          <w:sz w:val="32"/>
          <w:szCs w:val="32"/>
          <w:highlight w:val="none"/>
          <w:shd w:val="clear" w:color="auto" w:fill="auto"/>
          <w:lang w:eastAsia="zh-CN"/>
          <w14:textFill>
            <w14:solidFill>
              <w14:schemeClr w14:val="tx1"/>
            </w14:solidFill>
          </w14:textFill>
        </w:rPr>
        <w:t>。设置“办税指南”栏目，</w:t>
      </w:r>
      <w:r>
        <w:rPr>
          <w:rFonts w:hint="eastAsia" w:ascii="仿宋_GB2312" w:hAnsi="仿宋_GB2312" w:eastAsia="仿宋_GB2312" w:cs="仿宋_GB2312"/>
          <w:color w:val="000000" w:themeColor="text1"/>
          <w:sz w:val="32"/>
          <w:szCs w:val="32"/>
          <w:highlight w:val="none"/>
          <w:shd w:val="clear" w:color="auto" w:fill="auto"/>
          <w14:textFill>
            <w14:solidFill>
              <w14:schemeClr w14:val="tx1"/>
            </w14:solidFill>
          </w14:textFill>
        </w:rPr>
        <w:t>公开</w:t>
      </w:r>
      <w:r>
        <w:rPr>
          <w:rFonts w:hint="eastAsia" w:ascii="仿宋_GB2312" w:hAnsi="仿宋_GB2312" w:eastAsia="仿宋_GB2312" w:cs="仿宋_GB2312"/>
          <w:color w:val="000000" w:themeColor="text1"/>
          <w:sz w:val="32"/>
          <w:szCs w:val="32"/>
          <w:highlight w:val="none"/>
          <w:shd w:val="clear" w:color="auto" w:fill="auto"/>
          <w:lang w:eastAsia="zh-CN"/>
          <w14:textFill>
            <w14:solidFill>
              <w14:schemeClr w14:val="tx1"/>
            </w14:solidFill>
          </w14:textFill>
        </w:rPr>
        <w:t>办理税费业务</w:t>
      </w:r>
      <w:r>
        <w:rPr>
          <w:rFonts w:hint="eastAsia" w:ascii="仿宋_GB2312" w:hAnsi="仿宋_GB2312" w:eastAsia="仿宋_GB2312" w:cs="仿宋_GB2312"/>
          <w:color w:val="000000" w:themeColor="text1"/>
          <w:sz w:val="32"/>
          <w:szCs w:val="32"/>
          <w:highlight w:val="none"/>
          <w:shd w:val="clear" w:color="auto" w:fill="auto"/>
          <w14:textFill>
            <w14:solidFill>
              <w14:schemeClr w14:val="tx1"/>
            </w14:solidFill>
          </w14:textFill>
        </w:rPr>
        <w:t>操作指南</w:t>
      </w:r>
      <w:r>
        <w:rPr>
          <w:rFonts w:hint="eastAsia" w:ascii="仿宋_GB2312" w:hAnsi="仿宋_GB2312" w:eastAsia="仿宋_GB2312" w:cs="仿宋_GB2312"/>
          <w:color w:val="000000" w:themeColor="text1"/>
          <w:sz w:val="32"/>
          <w:szCs w:val="32"/>
          <w:highlight w:val="none"/>
          <w:shd w:val="clear" w:color="auto" w:fill="auto"/>
          <w:lang w:eastAsia="zh-CN"/>
          <w14:textFill>
            <w14:solidFill>
              <w14:schemeClr w14:val="tx1"/>
            </w14:solidFill>
          </w14:textFill>
        </w:rPr>
        <w:t>共3</w:t>
      </w:r>
      <w:r>
        <w:rPr>
          <w:rFonts w:hint="eastAsia" w:ascii="仿宋_GB2312" w:hAnsi="仿宋_GB2312" w:eastAsia="仿宋_GB2312" w:cs="仿宋_GB2312"/>
          <w:color w:val="000000" w:themeColor="text1"/>
          <w:sz w:val="32"/>
          <w:szCs w:val="32"/>
          <w:highlight w:val="none"/>
          <w:shd w:val="clear" w:color="auto" w:fill="auto"/>
          <w:lang w:val="en-US" w:eastAsia="zh-CN"/>
          <w14:textFill>
            <w14:solidFill>
              <w14:schemeClr w14:val="tx1"/>
            </w14:solidFill>
          </w14:textFill>
        </w:rPr>
        <w:t>6</w:t>
      </w:r>
      <w:r>
        <w:rPr>
          <w:rFonts w:hint="eastAsia" w:ascii="仿宋_GB2312" w:hAnsi="仿宋_GB2312" w:eastAsia="仿宋_GB2312" w:cs="仿宋_GB2312"/>
          <w:color w:val="000000" w:themeColor="text1"/>
          <w:sz w:val="32"/>
          <w:szCs w:val="32"/>
          <w:highlight w:val="none"/>
          <w:shd w:val="clear" w:color="auto" w:fill="auto"/>
          <w:lang w:eastAsia="zh-CN"/>
          <w14:textFill>
            <w14:solidFill>
              <w14:schemeClr w14:val="tx1"/>
            </w14:solidFill>
          </w14:textFill>
        </w:rPr>
        <w:t>5项，其中办税</w:t>
      </w:r>
      <w:r>
        <w:rPr>
          <w:rFonts w:hint="eastAsia" w:ascii="仿宋_GB2312" w:hAnsi="仿宋_GB2312" w:eastAsia="仿宋_GB2312" w:cs="仿宋_GB2312"/>
          <w:color w:val="000000" w:themeColor="text1"/>
          <w:sz w:val="32"/>
          <w:szCs w:val="32"/>
          <w:highlight w:val="none"/>
          <w:shd w:val="clear" w:color="auto" w:fill="auto"/>
          <w:lang w:val="en-US" w:eastAsia="zh-CN"/>
          <w14:textFill>
            <w14:solidFill>
              <w14:schemeClr w14:val="tx1"/>
            </w14:solidFill>
          </w14:textFill>
        </w:rPr>
        <w:t>315项</w:t>
      </w:r>
      <w:r>
        <w:rPr>
          <w:rFonts w:hint="eastAsia" w:ascii="仿宋_GB2312" w:hAnsi="仿宋_GB2312" w:eastAsia="仿宋_GB2312" w:cs="仿宋_GB2312"/>
          <w:color w:val="000000" w:themeColor="text1"/>
          <w:sz w:val="32"/>
          <w:szCs w:val="32"/>
          <w:highlight w:val="none"/>
          <w:shd w:val="clear" w:color="auto" w:fill="auto"/>
          <w:lang w:eastAsia="zh-CN"/>
          <w14:textFill>
            <w14:solidFill>
              <w14:schemeClr w14:val="tx1"/>
            </w14:solidFill>
          </w14:textFill>
        </w:rPr>
        <w:t>，缴费</w:t>
      </w:r>
      <w:r>
        <w:rPr>
          <w:rFonts w:hint="eastAsia" w:ascii="仿宋_GB2312" w:hAnsi="仿宋_GB2312" w:eastAsia="仿宋_GB2312" w:cs="仿宋_GB2312"/>
          <w:color w:val="000000" w:themeColor="text1"/>
          <w:sz w:val="32"/>
          <w:szCs w:val="32"/>
          <w:highlight w:val="none"/>
          <w:shd w:val="clear" w:color="auto" w:fill="auto"/>
          <w:lang w:val="en-US" w:eastAsia="zh-CN"/>
          <w14:textFill>
            <w14:solidFill>
              <w14:schemeClr w14:val="tx1"/>
            </w14:solidFill>
          </w14:textFill>
        </w:rPr>
        <w:t>50项</w:t>
      </w:r>
      <w:r>
        <w:rPr>
          <w:rFonts w:hint="eastAsia" w:ascii="仿宋_GB2312" w:hAnsi="仿宋_GB2312" w:eastAsia="仿宋_GB2312" w:cs="仿宋_GB2312"/>
          <w:color w:val="000000" w:themeColor="text1"/>
          <w:sz w:val="32"/>
          <w:szCs w:val="32"/>
          <w:highlight w:val="none"/>
          <w:shd w:val="clear" w:color="auto" w:fill="auto"/>
          <w:lang w:eastAsia="zh-CN"/>
          <w14:textFill>
            <w14:solidFill>
              <w14:schemeClr w14:val="tx1"/>
            </w14:solidFill>
          </w14:textFill>
        </w:rPr>
        <w:t>。</w:t>
      </w:r>
    </w:p>
    <w:p>
      <w:pPr>
        <w:keepNext w:val="0"/>
        <w:keepLines w:val="0"/>
        <w:pageBreakBefore w:val="0"/>
        <w:widowControl/>
        <w:kinsoku/>
        <w:wordWrap/>
        <w:overflowPunct/>
        <w:topLinePunct w:val="0"/>
        <w:bidi w:val="0"/>
        <w:spacing w:line="600" w:lineRule="exact"/>
        <w:ind w:firstLine="643" w:firstLineChars="200"/>
        <w:jc w:val="both"/>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3.大企业税收事前裁定服务</w:t>
      </w:r>
    </w:p>
    <w:p>
      <w:pPr>
        <w:keepNext w:val="0"/>
        <w:keepLines w:val="0"/>
        <w:pageBreakBefore w:val="0"/>
        <w:widowControl/>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完善制定《大企业税收事先裁定工作规程》，</w:t>
      </w:r>
      <w:r>
        <w:rPr>
          <w:rFonts w:hint="eastAsia" w:ascii="仿宋_GB2312" w:hAnsi="仿宋_GB2312" w:eastAsia="仿宋_GB2312" w:cs="仿宋_GB2312"/>
          <w:color w:val="000000" w:themeColor="text1"/>
          <w:kern w:val="2"/>
          <w:sz w:val="32"/>
          <w:szCs w:val="32"/>
          <w:highlight w:val="none"/>
          <w:lang w:val="en-US" w:eastAsia="zh-CN" w:bidi="ar-SA"/>
          <w14:textFill>
            <w14:solidFill>
              <w14:schemeClr w14:val="tx1"/>
            </w14:solidFill>
          </w14:textFill>
        </w:rPr>
        <w:t>通过门户网站广泛宣传《税收个案批复和事项裁定典型案例》。进一步加强推广TCCS系统服务，为330户大企业提供风险预警服务，为4户大企业提供一企一策定制服务</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加强推广TCCS系统服务和“一企一策”专属服务。</w:t>
      </w:r>
    </w:p>
    <w:p>
      <w:pPr>
        <w:keepNext w:val="0"/>
        <w:keepLines w:val="0"/>
        <w:pageBreakBefore w:val="0"/>
        <w:widowControl/>
        <w:kinsoku/>
        <w:wordWrap/>
        <w:overflowPunct/>
        <w:topLinePunct w:val="0"/>
        <w:bidi w:val="0"/>
        <w:spacing w:line="600" w:lineRule="exact"/>
        <w:ind w:firstLine="643" w:firstLineChars="200"/>
        <w:jc w:val="both"/>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4.健全完善税收制度建设</w:t>
      </w:r>
    </w:p>
    <w:p>
      <w:pPr>
        <w:keepNext w:val="0"/>
        <w:keepLines w:val="0"/>
        <w:pageBreakBefore w:val="0"/>
        <w:widowControl/>
        <w:kinsoku/>
        <w:wordWrap/>
        <w:overflowPunct/>
        <w:topLinePunct w:val="0"/>
        <w:bidi w:val="0"/>
        <w:spacing w:line="600" w:lineRule="exact"/>
        <w:ind w:firstLine="640" w:firstLineChars="200"/>
        <w:jc w:val="both"/>
        <w:rPr>
          <w:rFonts w:hint="eastAsia"/>
          <w:color w:val="000000" w:themeColor="text1"/>
          <w:highlight w:val="none"/>
          <w:lang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开展税务规范性文件清理工作，下发《关于开展全市税务系统规范性文件清理工作的通知》，健全完善工作机制，按规定制发规范性文件1份。翻印《税收个案批复工作规程》，细化制定工作指引，明晰岗责、明确受理流程等措施。针对税费政策执行口径不一，可能发生的税收个案批复等复杂税费事项，制定了《税费政策执行确定性会商协调机制》，形成有效的执行口径会商机制。</w:t>
      </w:r>
    </w:p>
    <w:p>
      <w:pPr>
        <w:keepNext w:val="0"/>
        <w:keepLines w:val="0"/>
        <w:pageBreakBefore w:val="0"/>
        <w:widowControl/>
        <w:numPr>
          <w:ilvl w:val="0"/>
          <w:numId w:val="0"/>
        </w:numPr>
        <w:kinsoku/>
        <w:wordWrap/>
        <w:overflowPunct/>
        <w:topLinePunct w:val="0"/>
        <w:bidi w:val="0"/>
        <w:spacing w:line="600" w:lineRule="exact"/>
        <w:ind w:firstLine="643" w:firstLineChars="200"/>
        <w:jc w:val="both"/>
        <w:rPr>
          <w:rFonts w:hint="eastAsia"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（二）</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落实落细税费优惠政策 </w:t>
      </w:r>
    </w:p>
    <w:p>
      <w:pPr>
        <w:keepNext w:val="0"/>
        <w:keepLines w:val="0"/>
        <w:pageBreakBefore w:val="0"/>
        <w:widowControl/>
        <w:kinsoku/>
        <w:wordWrap/>
        <w:overflowPunct/>
        <w:topLinePunct w:val="0"/>
        <w:bidi w:val="0"/>
        <w:spacing w:line="600" w:lineRule="exact"/>
        <w:ind w:firstLine="643" w:firstLineChars="200"/>
        <w:jc w:val="both"/>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1.精准推送支持企业发展</w:t>
      </w:r>
    </w:p>
    <w:p>
      <w:pPr>
        <w:keepNext w:val="0"/>
        <w:keepLines w:val="0"/>
        <w:pageBreakBefore w:val="0"/>
        <w:widowControl/>
        <w:kinsoku/>
        <w:wordWrap/>
        <w:overflowPunct/>
        <w:topLinePunct w:val="0"/>
        <w:bidi w:val="0"/>
        <w:spacing w:line="600" w:lineRule="exact"/>
        <w:ind w:firstLine="640" w:firstLineChars="200"/>
        <w:jc w:val="both"/>
        <w:rPr>
          <w:rFonts w:hint="eastAsia"/>
          <w:color w:val="000000" w:themeColor="text1"/>
          <w:highlight w:val="none"/>
          <w14:textFill>
            <w14:solidFill>
              <w14:schemeClr w14:val="tx1"/>
            </w14:solidFill>
          </w14:textFill>
        </w:rPr>
      </w:pPr>
      <w:r>
        <w:rPr>
          <w:rFonts w:hint="eastAsia" w:ascii="仿宋_GB2312" w:eastAsia="仿宋_GB2312"/>
          <w:color w:val="000000" w:themeColor="text1"/>
          <w:sz w:val="32"/>
          <w:szCs w:val="32"/>
          <w:highlight w:val="none"/>
          <w:lang w:val="en-US" w:eastAsia="zh-CN"/>
          <w14:textFill>
            <w14:solidFill>
              <w14:schemeClr w14:val="tx1"/>
            </w14:solidFill>
          </w14:textFill>
        </w:rPr>
        <w:t>系统梳理2024年到期的减税降费政策，</w:t>
      </w:r>
      <w:r>
        <w:rPr>
          <w:rFonts w:hint="eastAsia" w:ascii="仿宋_GB2312" w:eastAsia="仿宋_GB2312"/>
          <w:color w:val="000000" w:themeColor="text1"/>
          <w:sz w:val="32"/>
          <w:szCs w:val="32"/>
          <w:highlight w:val="none"/>
          <w:lang w:eastAsia="zh-CN"/>
          <w14:textFill>
            <w14:solidFill>
              <w14:schemeClr w14:val="tx1"/>
            </w14:solidFill>
          </w14:textFill>
        </w:rPr>
        <w:t>制定《</w:t>
      </w:r>
      <w:r>
        <w:rPr>
          <w:rFonts w:hint="eastAsia" w:ascii="仿宋_GB2312" w:eastAsia="仿宋_GB2312"/>
          <w:color w:val="000000" w:themeColor="text1"/>
          <w:sz w:val="32"/>
          <w:szCs w:val="32"/>
          <w:highlight w:val="none"/>
          <w14:textFill>
            <w14:solidFill>
              <w14:schemeClr w14:val="tx1"/>
            </w14:solidFill>
          </w14:textFill>
        </w:rPr>
        <w:t>阳江市税务局2024年落实减税降费政策重点工作清单</w:t>
      </w:r>
      <w:r>
        <w:rPr>
          <w:rFonts w:hint="eastAsia" w:ascii="仿宋_GB2312" w:eastAsia="仿宋_GB2312"/>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b w:val="0"/>
          <w:snapToGrid/>
          <w:color w:val="000000" w:themeColor="text1"/>
          <w:sz w:val="32"/>
          <w:szCs w:val="32"/>
          <w:highlight w:val="none"/>
          <w14:textFill>
            <w14:solidFill>
              <w14:schemeClr w14:val="tx1"/>
            </w14:solidFill>
          </w14:textFill>
        </w:rPr>
        <w:t>明确分工</w:t>
      </w:r>
      <w:r>
        <w:rPr>
          <w:rFonts w:hint="eastAsia" w:ascii="仿宋_GB2312" w:hAnsi="仿宋_GB2312" w:eastAsia="仿宋_GB2312" w:cs="仿宋_GB2312"/>
          <w:b w:val="0"/>
          <w:snapToGrid/>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b w:val="0"/>
          <w:snapToGrid/>
          <w:color w:val="000000" w:themeColor="text1"/>
          <w:sz w:val="32"/>
          <w:szCs w:val="32"/>
          <w:highlight w:val="none"/>
          <w14:textFill>
            <w14:solidFill>
              <w14:schemeClr w14:val="tx1"/>
            </w14:solidFill>
          </w14:textFill>
        </w:rPr>
        <w:t>细化目标和责任，确保减税降费各项工作落到实处</w:t>
      </w:r>
      <w:r>
        <w:rPr>
          <w:rFonts w:hint="eastAsia" w:ascii="仿宋_GB2312" w:hAnsi="仿宋_GB2312" w:eastAsia="仿宋_GB2312" w:cs="仿宋_GB2312"/>
          <w:b w:val="0"/>
          <w:snapToGrid/>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落实延续优化完善的税费优惠政策，</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共向全市约</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254.2</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万户次的纳税人进行了</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47项</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优惠政策的的推送，成功推送信息</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347.8</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万条。</w:t>
      </w:r>
      <w:r>
        <w:rPr>
          <w:rFonts w:hint="eastAsia" w:ascii="仿宋_GB2312" w:hAnsi="仿宋_GB2312" w:eastAsia="仿宋_GB2312" w:cs="仿宋_GB2312"/>
          <w:color w:val="000000" w:themeColor="text1"/>
          <w:sz w:val="32"/>
          <w:szCs w:val="32"/>
          <w:highlight w:val="none"/>
          <w14:textFill>
            <w14:solidFill>
              <w14:schemeClr w14:val="tx1"/>
            </w14:solidFill>
          </w14:textFill>
        </w:rPr>
        <w:t>全市</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支持科技创新和制造业发展减税降费及退税超</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22.7亿元</w:t>
      </w:r>
      <w:r>
        <w:rPr>
          <w:rFonts w:hint="eastAsia" w:ascii="仿宋_GB2312" w:hAnsi="仿宋_GB2312" w:eastAsia="仿宋_GB2312" w:cs="仿宋_GB2312"/>
          <w:color w:val="000000" w:themeColor="text1"/>
          <w:sz w:val="32"/>
          <w:szCs w:val="32"/>
          <w:highlight w:val="none"/>
          <w14:textFill>
            <w14:solidFill>
              <w14:schemeClr w14:val="tx1"/>
            </w14:solidFill>
          </w14:textFill>
        </w:rPr>
        <w:t>，有效助力稳定市场预期、提振市场信心、激发市场活力。</w:t>
      </w:r>
    </w:p>
    <w:p>
      <w:pPr>
        <w:keepNext w:val="0"/>
        <w:keepLines w:val="0"/>
        <w:pageBreakBefore w:val="0"/>
        <w:widowControl/>
        <w:numPr>
          <w:ilvl w:val="0"/>
          <w:numId w:val="0"/>
        </w:numPr>
        <w:kinsoku/>
        <w:wordWrap/>
        <w:overflowPunct/>
        <w:topLinePunct w:val="0"/>
        <w:bidi w:val="0"/>
        <w:spacing w:line="600" w:lineRule="exact"/>
        <w:ind w:leftChars="266"/>
        <w:jc w:val="both"/>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bookmarkStart w:id="0" w:name="_GoBack"/>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2.</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税费政策支持绿色发展</w:t>
      </w:r>
    </w:p>
    <w:bookmarkEnd w:id="0"/>
    <w:p>
      <w:pPr>
        <w:keepNext w:val="0"/>
        <w:keepLines w:val="0"/>
        <w:pageBreakBefore w:val="0"/>
        <w:widowControl/>
        <w:numPr>
          <w:ilvl w:val="0"/>
          <w:numId w:val="0"/>
        </w:numPr>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联合生态环境、自然资源等部门建立常态化协作机制，举行以“全面推进美丽中国建设”为主题的2024年世界环境日系列宣传活动，通过推广线下宣传渠道向企业和群众派发宣传资料、对重点税源纳税人开展“一对一”上门辅导、现场答疑等形式，加强纳税人自主申报和信息填报辅导，确保减排税收优惠和环境保护税政策落实到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000000" w:themeColor="text1"/>
          <w:kern w:val="2"/>
          <w:sz w:val="32"/>
          <w:szCs w:val="32"/>
          <w:highlight w:val="none"/>
          <w:lang w:val="en-US" w:eastAsia="zh-CN" w:bidi="ar"/>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积极协调联合财政、水务部门，联合开展水资源税改革试点工作，</w:t>
      </w:r>
      <w:r>
        <w:rPr>
          <w:rFonts w:hint="eastAsia" w:ascii="仿宋_GB2312" w:hAnsi="仿宋_GB2312" w:eastAsia="仿宋_GB2312" w:cs="仿宋_GB2312"/>
          <w:b w:val="0"/>
          <w:bCs w:val="0"/>
          <w:color w:val="000000" w:themeColor="text1"/>
          <w:sz w:val="32"/>
          <w:szCs w:val="32"/>
          <w:highlight w:val="none"/>
          <w:lang w:val="en-US" w:eastAsia="zh-CN"/>
          <w14:textFill>
            <w14:solidFill>
              <w14:schemeClr w14:val="tx1"/>
            </w14:solidFill>
          </w14:textFill>
        </w:rPr>
        <w:t>扎实做好水资源税征</w:t>
      </w:r>
      <w:r>
        <w:rPr>
          <w:rFonts w:hint="eastAsia" w:ascii="仿宋_GB2312" w:hAnsi="仿宋_GB2312" w:eastAsia="仿宋_GB2312" w:cs="仿宋_GB2312"/>
          <w:color w:val="000000" w:themeColor="text1"/>
          <w:kern w:val="2"/>
          <w:sz w:val="32"/>
          <w:szCs w:val="32"/>
          <w:highlight w:val="none"/>
          <w:lang w:val="en-US" w:eastAsia="zh-CN" w:bidi="ar"/>
          <w14:textFill>
            <w14:solidFill>
              <w14:schemeClr w14:val="tx1"/>
            </w14:solidFill>
          </w14:textFill>
        </w:rPr>
        <w:t>管衔接工作，与水务部门共享存量取水许可信息等数据并完成水资源税纳税人识别工作，联合开展宣传辅导，确保我市水资源费改税工作顺利平稳过渡。</w:t>
      </w:r>
    </w:p>
    <w:p>
      <w:pPr>
        <w:keepNext w:val="0"/>
        <w:keepLines w:val="0"/>
        <w:pageBreakBefore w:val="0"/>
        <w:widowControl/>
        <w:numPr>
          <w:ilvl w:val="0"/>
          <w:numId w:val="0"/>
        </w:numPr>
        <w:kinsoku/>
        <w:wordWrap/>
        <w:overflowPunct/>
        <w:topLinePunct w:val="0"/>
        <w:bidi w:val="0"/>
        <w:spacing w:line="600" w:lineRule="exact"/>
        <w:ind w:firstLine="643" w:firstLineChars="200"/>
        <w:jc w:val="both"/>
        <w:rPr>
          <w:rFonts w:hint="default" w:ascii="仿宋_GB2312" w:hAnsi="仿宋_GB2312" w:eastAsia="仿宋_GB2312" w:cs="仿宋_GB2312"/>
          <w:b/>
          <w:bCs/>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（三）规范税务稽查执法</w:t>
      </w:r>
    </w:p>
    <w:p>
      <w:pPr>
        <w:numPr>
          <w:ilvl w:val="0"/>
          <w:numId w:val="0"/>
        </w:numPr>
        <w:kinsoku/>
        <w:spacing w:line="600" w:lineRule="exact"/>
        <w:ind w:firstLine="640" w:firstLineChars="200"/>
        <w:jc w:val="both"/>
        <w:rPr>
          <w:rFonts w:hint="eastAsia"/>
          <w:color w:val="000000" w:themeColor="text1"/>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贯彻落实《推进税务稽查随机抽查实施方案》，优化市级重点稽查对象名录库建设，对某重点行业采取先辅导自查、后立案检查的方式开展随机抽查，进一步强化了行业监管，规范了税收秩序。严格按照法定权限和职责查办案件，落实好案件办理时限有关规定，既做到执法严谨公正，又确保案件高效办结。根据《2024年广东省营商环境评价报告》显示，阳江稽查案件办理平均时间为81天，比规定时长压缩了约10%。</w:t>
      </w:r>
    </w:p>
    <w:p>
      <w:pPr>
        <w:keepNext w:val="0"/>
        <w:keepLines w:val="0"/>
        <w:pageBreakBefore w:val="0"/>
        <w:widowControl/>
        <w:numPr>
          <w:ilvl w:val="0"/>
          <w:numId w:val="0"/>
        </w:numPr>
        <w:kinsoku/>
        <w:wordWrap/>
        <w:overflowPunct/>
        <w:topLinePunct w:val="0"/>
        <w:bidi w:val="0"/>
        <w:spacing w:line="600" w:lineRule="exact"/>
        <w:jc w:val="both"/>
        <w:rPr>
          <w:rFonts w:hint="eastAsia" w:ascii="仿宋_GB2312" w:hAnsi="仿宋_GB2312" w:eastAsia="仿宋_GB2312" w:cs="仿宋_GB2312"/>
          <w:b/>
          <w:bCs/>
          <w:color w:val="000000" w:themeColor="text1"/>
          <w:kern w:val="2"/>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     三、</w:t>
      </w:r>
      <w:r>
        <w:rPr>
          <w:rFonts w:hint="eastAsia" w:ascii="黑体" w:hAnsi="黑体" w:eastAsia="黑体" w:cs="黑体"/>
          <w:color w:val="000000" w:themeColor="text1"/>
          <w:sz w:val="32"/>
          <w:szCs w:val="32"/>
          <w:highlight w:val="none"/>
          <w:lang w:eastAsia="zh-CN"/>
          <w14:textFill>
            <w14:solidFill>
              <w14:schemeClr w14:val="tx1"/>
            </w14:solidFill>
          </w14:textFill>
        </w:rPr>
        <w:t>深化税收共治理</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（一）推动地方税种管理“融湾入圈”</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bCs/>
          <w:color w:val="000000" w:themeColor="text1"/>
          <w:kern w:val="2"/>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与四地税务部门建立珠江口西岸都市圈税务部门地方税种协作机制，推动办理资料、办结时限、办理流程等不动产登记办税事项关键要素与大湾区标准一致，主动对标大湾区先进经验做法，结合阳江实际，复制推广不动产登记费与税费同缴，深入推进办税便利化。</w:t>
      </w:r>
    </w:p>
    <w:p>
      <w:pPr>
        <w:pStyle w:val="5"/>
        <w:keepNext w:val="0"/>
        <w:keepLines w:val="0"/>
        <w:pageBreakBefore w:val="0"/>
        <w:widowControl w:val="0"/>
        <w:kinsoku/>
        <w:wordWrap/>
        <w:overflowPunct/>
        <w:topLinePunct w:val="0"/>
        <w:autoSpaceDE w:val="0"/>
        <w:autoSpaceDN w:val="0"/>
        <w:bidi w:val="0"/>
        <w:adjustRightInd w:val="0"/>
        <w:snapToGrid w:val="0"/>
        <w:spacing w:beforeAutospacing="0" w:after="0" w:line="600" w:lineRule="exact"/>
        <w:ind w:left="0" w:right="0" w:firstLine="643" w:firstLineChars="200"/>
        <w:jc w:val="both"/>
        <w:textAlignment w:val="auto"/>
        <w:rPr>
          <w:rFonts w:hint="eastAsia" w:ascii="仿宋_GB2312" w:hAnsi="仿宋_GB2312" w:eastAsia="仿宋_GB2312" w:cs="仿宋_GB2312"/>
          <w:b/>
          <w:bCs w:val="0"/>
          <w:color w:val="000000" w:themeColor="text1"/>
          <w:sz w:val="32"/>
          <w:szCs w:val="32"/>
          <w:highlight w:val="none"/>
          <w:lang w:val="en-US" w:eastAsia="zh-CN"/>
          <w14:textFill>
            <w14:solidFill>
              <w14:schemeClr w14:val="tx1"/>
            </w14:solidFill>
          </w14:textFill>
        </w:rPr>
      </w:pPr>
      <w:r>
        <w:rPr>
          <w:rFonts w:hint="eastAsia" w:ascii="楷体_GB2312" w:hAnsi="楷体_GB2312" w:eastAsia="楷体_GB2312" w:cs="楷体_GB2312"/>
          <w:b/>
          <w:bCs/>
          <w:color w:val="000000" w:themeColor="text1"/>
          <w:sz w:val="32"/>
          <w:szCs w:val="32"/>
          <w:highlight w:val="none"/>
          <w:lang w:val="en-US" w:eastAsia="zh-CN"/>
          <w14:textFill>
            <w14:solidFill>
              <w14:schemeClr w14:val="tx1"/>
            </w14:solidFill>
          </w14:textFill>
        </w:rPr>
        <w:t>（二）</w:t>
      </w:r>
      <w:r>
        <w:rPr>
          <w:rFonts w:hint="eastAsia" w:ascii="楷体_GB2312" w:hAnsi="楷体_GB2312" w:eastAsia="楷体_GB2312" w:cs="楷体_GB2312"/>
          <w:b/>
          <w:bCs w:val="0"/>
          <w:color w:val="000000" w:themeColor="text1"/>
          <w:sz w:val="32"/>
          <w:szCs w:val="32"/>
          <w:highlight w:val="none"/>
          <w:lang w:val="en-US" w:eastAsia="zh-CN"/>
          <w14:textFill>
            <w14:solidFill>
              <w14:schemeClr w14:val="tx1"/>
            </w14:solidFill>
          </w14:textFill>
        </w:rPr>
        <w:t>推动</w:t>
      </w:r>
      <w:r>
        <w:rPr>
          <w:rFonts w:hint="eastAsia" w:ascii="楷体_GB2312" w:hAnsi="楷体_GB2312" w:eastAsia="楷体_GB2312" w:cs="楷体_GB2312"/>
          <w:b/>
          <w:bCs/>
          <w:color w:val="000000" w:themeColor="text1"/>
          <w:sz w:val="32"/>
          <w:szCs w:val="32"/>
          <w:highlight w:val="none"/>
          <w:lang w:val="en-US" w:eastAsia="zh-CN"/>
          <w14:textFill>
            <w14:solidFill>
              <w14:schemeClr w14:val="tx1"/>
            </w14:solidFill>
          </w14:textFill>
        </w:rPr>
        <w:t>以数资政</w:t>
      </w:r>
      <w:r>
        <w:rPr>
          <w:rFonts w:hint="eastAsia" w:ascii="楷体_GB2312" w:hAnsi="楷体_GB2312" w:eastAsia="楷体_GB2312" w:cs="楷体_GB2312"/>
          <w:b/>
          <w:bCs w:val="0"/>
          <w:color w:val="000000" w:themeColor="text1"/>
          <w:sz w:val="32"/>
          <w:szCs w:val="32"/>
          <w:highlight w:val="none"/>
          <w:lang w:val="en-US" w:eastAsia="zh-CN"/>
          <w14:textFill>
            <w14:solidFill>
              <w14:schemeClr w14:val="tx1"/>
            </w14:solidFill>
          </w14:textFill>
        </w:rPr>
        <w:t>信息共享共治</w:t>
      </w:r>
    </w:p>
    <w:p>
      <w:pPr>
        <w:pStyle w:val="3"/>
        <w:keepNext w:val="0"/>
        <w:keepLines w:val="0"/>
        <w:pageBreakBefore w:val="0"/>
        <w:widowControl w:val="0"/>
        <w:kinsoku/>
        <w:wordWrap/>
        <w:overflowPunct/>
        <w:topLinePunct w:val="0"/>
        <w:autoSpaceDE w:val="0"/>
        <w:autoSpaceDN w:val="0"/>
        <w:bidi w:val="0"/>
        <w:adjustRightInd w:val="0"/>
        <w:snapToGrid w:val="0"/>
        <w:spacing w:beforeAutospacing="0" w:line="600" w:lineRule="exact"/>
        <w:ind w:left="0" w:right="0" w:firstLine="640" w:firstLineChars="200"/>
        <w:jc w:val="both"/>
        <w:textAlignment w:val="auto"/>
        <w:rPr>
          <w:rFonts w:hint="eastAsia" w:ascii="仿宋_GB2312" w:hAnsi="仿宋_GB2312" w:eastAsia="仿宋_GB2312" w:cs="仿宋_GB2312"/>
          <w:b w:val="0"/>
          <w:bCs w:val="0"/>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建立健全“分级采集、集中管理、全面应用、全程管控”的数据“供要管用”机制，拓展数据获取渠道，规范数据查询需求流程，推进数据共享共用，实现涉税数据“一口进，一口出”。通过广东省一网共享平台挂接共享目录数据145项、开放目录96个、开放数据量990多万条、申请接口26个。向</w:t>
      </w:r>
      <w:r>
        <w:rPr>
          <w:rFonts w:hint="eastAsia" w:hAnsi="仿宋_GB2312" w:cs="仿宋_GB2312"/>
          <w:color w:val="000000" w:themeColor="text1"/>
          <w:sz w:val="32"/>
          <w:szCs w:val="32"/>
          <w:highlight w:val="none"/>
          <w:lang w:val="en-US" w:eastAsia="zh-CN"/>
          <w14:textFill>
            <w14:solidFill>
              <w14:schemeClr w14:val="tx1"/>
            </w14:solidFill>
          </w14:textFill>
        </w:rPr>
        <w:t>58</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个外单位提供涉税共享数据信息</w:t>
      </w:r>
      <w:r>
        <w:rPr>
          <w:rFonts w:hint="eastAsia" w:hAnsi="仿宋_GB2312" w:cs="仿宋_GB2312"/>
          <w:color w:val="000000" w:themeColor="text1"/>
          <w:sz w:val="32"/>
          <w:szCs w:val="32"/>
          <w:highlight w:val="none"/>
          <w:lang w:val="en-US" w:eastAsia="zh-CN"/>
          <w14:textFill>
            <w14:solidFill>
              <w14:schemeClr w14:val="tx1"/>
            </w14:solidFill>
          </w14:textFill>
        </w:rPr>
        <w:t>52万</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条，协助各政府部门</w:t>
      </w:r>
      <w:r>
        <w:rPr>
          <w:rFonts w:hint="eastAsia" w:hAnsi="仿宋_GB2312" w:cs="仿宋_GB2312"/>
          <w:color w:val="000000" w:themeColor="text1"/>
          <w:sz w:val="32"/>
          <w:szCs w:val="32"/>
          <w:highlight w:val="none"/>
          <w:lang w:val="en-US" w:eastAsia="zh-CN"/>
          <w14:textFill>
            <w14:solidFill>
              <w14:schemeClr w14:val="tx1"/>
            </w14:solidFill>
          </w14:textFill>
        </w:rPr>
        <w:t>开展第五次经济普查、</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解决公租住房资格审核等一系列民生事项，减少纳税人缴费人二手房交易契税、社保费办理等业务能通过税收大数据共享查询的资料重复报送，实现更大范围的跨部门协作信息共享常态化，持续提升税收共治能力。</w:t>
      </w:r>
    </w:p>
    <w:p>
      <w:pPr>
        <w:keepNext w:val="0"/>
        <w:keepLines w:val="0"/>
        <w:pageBreakBefore w:val="0"/>
        <w:widowControl/>
        <w:numPr>
          <w:ilvl w:val="0"/>
          <w:numId w:val="0"/>
        </w:numPr>
        <w:kinsoku/>
        <w:wordWrap/>
        <w:overflowPunct/>
        <w:topLinePunct w:val="0"/>
        <w:bidi w:val="0"/>
        <w:spacing w:line="600" w:lineRule="exact"/>
        <w:ind w:firstLine="643" w:firstLineChars="200"/>
        <w:jc w:val="both"/>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（三）</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推动风险防控提质增效</w:t>
      </w:r>
    </w:p>
    <w:p>
      <w:pPr>
        <w:keepNext w:val="0"/>
        <w:keepLines w:val="0"/>
        <w:pageBreakBefore w:val="0"/>
        <w:widowControl/>
        <w:numPr>
          <w:ilvl w:val="0"/>
          <w:numId w:val="0"/>
        </w:numPr>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净化监管服务，进户检查实现“无事不扰”。</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建立分级分类管理机制，印发</w:t>
      </w:r>
      <w:r>
        <w:rPr>
          <w:rFonts w:hint="default" w:ascii="仿宋_GB2312" w:hAnsi="仿宋_GB2312" w:eastAsia="仿宋_GB2312" w:cs="仿宋_GB2312"/>
          <w:color w:val="000000" w:themeColor="text1"/>
          <w:sz w:val="32"/>
          <w:szCs w:val="32"/>
          <w:highlight w:val="none"/>
          <w:lang w:val="en-US" w:eastAsia="zh-CN"/>
          <w14:textFill>
            <w14:solidFill>
              <w14:schemeClr w14:val="tx1"/>
            </w14:solidFill>
          </w14:textFill>
        </w:rPr>
        <w:t>《税费风险管理工作指引》等税费风险分级分类和任务合并</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制度，</w:t>
      </w:r>
      <w:r>
        <w:rPr>
          <w:rFonts w:hint="default" w:ascii="仿宋_GB2312" w:hAnsi="仿宋_GB2312" w:eastAsia="仿宋_GB2312" w:cs="仿宋_GB2312"/>
          <w:color w:val="000000" w:themeColor="text1"/>
          <w:sz w:val="32"/>
          <w:szCs w:val="32"/>
          <w:highlight w:val="none"/>
          <w:lang w:val="en-US" w:eastAsia="zh-CN"/>
          <w14:textFill>
            <w14:solidFill>
              <w14:schemeClr w14:val="tx1"/>
            </w14:solidFill>
          </w14:textFill>
        </w:rPr>
        <w:t>按高、中、低</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等级</w:t>
      </w:r>
      <w:r>
        <w:rPr>
          <w:rFonts w:hint="default" w:ascii="仿宋_GB2312" w:hAnsi="仿宋_GB2312" w:eastAsia="仿宋_GB2312" w:cs="仿宋_GB2312"/>
          <w:color w:val="000000" w:themeColor="text1"/>
          <w:sz w:val="32"/>
          <w:szCs w:val="32"/>
          <w:highlight w:val="none"/>
          <w:lang w:val="en-US" w:eastAsia="zh-CN"/>
          <w14:textFill>
            <w14:solidFill>
              <w14:schemeClr w14:val="tx1"/>
            </w14:solidFill>
          </w14:textFill>
        </w:rPr>
        <w:t>分类开展风险应对。</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制定</w:t>
      </w:r>
      <w:r>
        <w:rPr>
          <w:rFonts w:hint="default" w:ascii="仿宋_GB2312" w:hAnsi="仿宋_GB2312" w:eastAsia="仿宋_GB2312" w:cs="仿宋_GB2312"/>
          <w:color w:val="000000" w:themeColor="text1"/>
          <w:sz w:val="32"/>
          <w:szCs w:val="32"/>
          <w:highlight w:val="none"/>
          <w:lang w:val="en-US" w:eastAsia="zh-CN"/>
          <w14:textFill>
            <w14:solidFill>
              <w14:schemeClr w14:val="tx1"/>
            </w14:solidFill>
          </w14:textFill>
        </w:rPr>
        <w:t>《税费风险任务递进式应对处置规则》</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，引导企业自主遵从，自行纠正,</w:t>
      </w:r>
      <w:r>
        <w:rPr>
          <w:rFonts w:hint="default" w:ascii="仿宋_GB2312" w:hAnsi="仿宋_GB2312" w:eastAsia="仿宋_GB2312" w:cs="仿宋_GB2312"/>
          <w:color w:val="000000" w:themeColor="text1"/>
          <w:sz w:val="32"/>
          <w:szCs w:val="32"/>
          <w:highlight w:val="none"/>
          <w:lang w:val="en-US" w:eastAsia="zh-CN"/>
          <w14:textFill>
            <w14:solidFill>
              <w14:schemeClr w14:val="tx1"/>
            </w14:solidFill>
          </w14:textFill>
        </w:rPr>
        <w:t>实</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现从非接触式到接触式的“</w:t>
      </w:r>
      <w:r>
        <w:rPr>
          <w:rFonts w:hint="default" w:ascii="仿宋_GB2312" w:hAnsi="仿宋_GB2312" w:eastAsia="仿宋_GB2312" w:cs="仿宋_GB2312"/>
          <w:color w:val="000000" w:themeColor="text1"/>
          <w:sz w:val="32"/>
          <w:szCs w:val="32"/>
          <w:highlight w:val="none"/>
          <w:lang w:val="en-US" w:eastAsia="zh-CN"/>
          <w14:textFill>
            <w14:solidFill>
              <w14:schemeClr w14:val="tx1"/>
            </w14:solidFill>
          </w14:textFill>
        </w:rPr>
        <w:t>递进式</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default" w:ascii="仿宋_GB2312" w:hAnsi="仿宋_GB2312" w:eastAsia="仿宋_GB2312" w:cs="仿宋_GB2312"/>
          <w:color w:val="000000" w:themeColor="text1"/>
          <w:sz w:val="32"/>
          <w:szCs w:val="32"/>
          <w:highlight w:val="none"/>
          <w:lang w:val="en-US" w:eastAsia="zh-CN"/>
          <w14:textFill>
            <w14:solidFill>
              <w14:schemeClr w14:val="tx1"/>
            </w14:solidFill>
          </w14:textFill>
        </w:rPr>
        <w:t>应对</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。2024年，累计同步“推送主管税务机关和纳税人”这类“双推送”风险提醒服626户次。</w:t>
      </w:r>
    </w:p>
    <w:p>
      <w:pPr>
        <w:keepNext w:val="0"/>
        <w:keepLines w:val="0"/>
        <w:pageBreakBefore w:val="0"/>
        <w:widowControl/>
        <w:numPr>
          <w:ilvl w:val="0"/>
          <w:numId w:val="0"/>
        </w:numPr>
        <w:kinsoku/>
        <w:wordWrap/>
        <w:overflowPunct/>
        <w:topLinePunct w:val="0"/>
        <w:bidi w:val="0"/>
        <w:spacing w:line="600" w:lineRule="exact"/>
        <w:ind w:firstLine="643" w:firstLineChars="200"/>
        <w:jc w:val="both"/>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（四）</w:t>
      </w:r>
      <w:r>
        <w:rPr>
          <w:rFonts w:hint="eastAsia" w:ascii="仿宋_GB2312" w:hAnsi="Calibri" w:eastAsia="仿宋_GB2312" w:cs="Times New Roman"/>
          <w:b/>
          <w:bCs/>
          <w:color w:val="000000" w:themeColor="text1"/>
          <w:kern w:val="0"/>
          <w:sz w:val="32"/>
          <w:szCs w:val="32"/>
          <w:highlight w:val="none"/>
          <w:u w:val="none" w:color="auto"/>
          <w:lang w:val="en-US" w:eastAsia="zh-CN" w:bidi="ar-SA"/>
          <w14:textFill>
            <w14:solidFill>
              <w14:schemeClr w14:val="tx1"/>
            </w14:solidFill>
          </w14:textFill>
        </w:rPr>
        <w:t>推进“银税互动”</w:t>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助企发展</w:t>
      </w:r>
    </w:p>
    <w:p>
      <w:pPr>
        <w:keepNext w:val="0"/>
        <w:keepLines w:val="0"/>
        <w:pageBreakBefore w:val="0"/>
        <w:widowControl/>
        <w:numPr>
          <w:ilvl w:val="0"/>
          <w:numId w:val="0"/>
        </w:numPr>
        <w:kinsoku/>
        <w:wordWrap/>
        <w:overflowPunct/>
        <w:topLinePunct w:val="0"/>
        <w:bidi w:val="0"/>
        <w:spacing w:line="600" w:lineRule="exact"/>
        <w:ind w:firstLine="724" w:firstLineChars="200"/>
        <w:jc w:val="both"/>
        <w:rPr>
          <w:rFonts w:hint="eastAsia" w:ascii="仿宋_GB2312" w:hAnsi="仿宋_GB2312" w:eastAsia="仿宋_GB2312" w:cs="仿宋_GB2312"/>
          <w:color w:val="000000" w:themeColor="text1"/>
          <w:spacing w:val="21"/>
          <w:sz w:val="32"/>
          <w:szCs w:val="32"/>
          <w:highlight w:val="none"/>
          <w14:textFill>
            <w14:solidFill>
              <w14:schemeClr w14:val="tx1"/>
            </w14:solidFill>
          </w14:textFill>
        </w:rPr>
      </w:pPr>
      <w:r>
        <w:rPr>
          <w:rFonts w:hint="eastAsia" w:ascii="仿宋_GB2312" w:hAnsi="仿宋_GB2312" w:eastAsia="仿宋_GB2312" w:cs="仿宋_GB2312"/>
          <w:color w:val="000000" w:themeColor="text1"/>
          <w:spacing w:val="21"/>
          <w:sz w:val="32"/>
          <w:szCs w:val="32"/>
          <w:highlight w:val="none"/>
          <w:lang w:eastAsia="zh-CN"/>
          <w14:textFill>
            <w14:solidFill>
              <w14:schemeClr w14:val="tx1"/>
            </w14:solidFill>
          </w14:textFill>
        </w:rPr>
        <w:t>开展</w:t>
      </w:r>
      <w:r>
        <w:rPr>
          <w:rFonts w:hint="eastAsia" w:ascii="仿宋_GB2312" w:hAnsi="仿宋_GB2312" w:eastAsia="仿宋_GB2312" w:cs="仿宋_GB2312"/>
          <w:color w:val="000000" w:themeColor="text1"/>
          <w:spacing w:val="21"/>
          <w:sz w:val="32"/>
          <w:szCs w:val="32"/>
          <w:highlight w:val="none"/>
          <w14:textFill>
            <w14:solidFill>
              <w14:schemeClr w14:val="tx1"/>
            </w14:solidFill>
          </w14:textFill>
        </w:rPr>
        <w:t>202</w:t>
      </w:r>
      <w:r>
        <w:rPr>
          <w:rFonts w:hint="eastAsia" w:ascii="仿宋_GB2312" w:hAnsi="仿宋_GB2312" w:eastAsia="仿宋_GB2312" w:cs="仿宋_GB2312"/>
          <w:color w:val="000000" w:themeColor="text1"/>
          <w:spacing w:val="21"/>
          <w:sz w:val="32"/>
          <w:szCs w:val="32"/>
          <w:highlight w:val="none"/>
          <w:lang w:val="en-US" w:eastAsia="zh-CN"/>
          <w14:textFill>
            <w14:solidFill>
              <w14:schemeClr w14:val="tx1"/>
            </w14:solidFill>
          </w14:textFill>
        </w:rPr>
        <w:t>3</w:t>
      </w:r>
      <w:r>
        <w:rPr>
          <w:rFonts w:hint="eastAsia" w:ascii="仿宋_GB2312" w:hAnsi="仿宋_GB2312" w:eastAsia="仿宋_GB2312" w:cs="仿宋_GB2312"/>
          <w:color w:val="000000" w:themeColor="text1"/>
          <w:spacing w:val="21"/>
          <w:sz w:val="32"/>
          <w:szCs w:val="32"/>
          <w:highlight w:val="none"/>
          <w14:textFill>
            <w14:solidFill>
              <w14:schemeClr w14:val="tx1"/>
            </w14:solidFill>
          </w14:textFill>
        </w:rPr>
        <w:t>年度纳税信用评价，评定A 、B 、M级纳税3.5万户，同比增加0.6万户；C</w:t>
      </w:r>
      <w:r>
        <w:rPr>
          <w:rFonts w:hint="eastAsia" w:ascii="仿宋_GB2312" w:hAnsi="仿宋_GB2312" w:eastAsia="仿宋_GB2312" w:cs="仿宋_GB2312"/>
          <w:color w:val="000000" w:themeColor="text1"/>
          <w:spacing w:val="21"/>
          <w:sz w:val="32"/>
          <w:szCs w:val="32"/>
          <w:highlight w:val="none"/>
          <w:lang w:eastAsia="zh-CN"/>
          <w14:textFill>
            <w14:solidFill>
              <w14:schemeClr w14:val="tx1"/>
            </w14:solidFill>
          </w14:textFill>
        </w:rPr>
        <w:t>、</w:t>
      </w:r>
      <w:r>
        <w:rPr>
          <w:rFonts w:hint="eastAsia" w:ascii="仿宋_GB2312" w:hAnsi="仿宋_GB2312" w:eastAsia="仿宋_GB2312" w:cs="仿宋_GB2312"/>
          <w:color w:val="000000" w:themeColor="text1"/>
          <w:spacing w:val="21"/>
          <w:sz w:val="32"/>
          <w:szCs w:val="32"/>
          <w:highlight w:val="none"/>
          <w14:textFill>
            <w14:solidFill>
              <w14:schemeClr w14:val="tx1"/>
            </w14:solidFill>
          </w14:textFill>
        </w:rPr>
        <w:t>D级纳税人3981户，同比增加186户，纳税信用状况持续向好。协同银行机构创新开发“农企银税贷 ”融资新产品，助力中小企业申请贷款2439笔获得信用贷款14.03亿元</w:t>
      </w:r>
      <w:r>
        <w:rPr>
          <w:rFonts w:hint="eastAsia" w:ascii="仿宋_GB2312" w:hAnsi="仿宋_GB2312" w:eastAsia="仿宋_GB2312" w:cs="仿宋_GB2312"/>
          <w:color w:val="000000" w:themeColor="text1"/>
          <w:spacing w:val="21"/>
          <w:sz w:val="32"/>
          <w:szCs w:val="32"/>
          <w:highlight w:val="none"/>
          <w:lang w:eastAsia="zh-CN"/>
          <w14:textFill>
            <w14:solidFill>
              <w14:schemeClr w14:val="tx1"/>
            </w14:solidFill>
          </w14:textFill>
        </w:rPr>
        <w:t>，</w:t>
      </w:r>
      <w:r>
        <w:rPr>
          <w:rFonts w:hint="eastAsia" w:ascii="仿宋_GB2312" w:hAnsi="仿宋_GB2312" w:eastAsia="仿宋_GB2312" w:cs="仿宋_GB2312"/>
          <w:color w:val="000000" w:themeColor="text1"/>
          <w:spacing w:val="21"/>
          <w:sz w:val="32"/>
          <w:szCs w:val="32"/>
          <w:highlight w:val="none"/>
          <w14:textFill>
            <w14:solidFill>
              <w14:schemeClr w14:val="tx1"/>
            </w14:solidFill>
          </w14:textFill>
        </w:rPr>
        <w:t>推动纳税信用融入社会信用体系建设，持续优化税收营商环境。</w:t>
      </w:r>
    </w:p>
    <w:p>
      <w:pPr>
        <w:keepNext w:val="0"/>
        <w:keepLines w:val="0"/>
        <w:pageBreakBefore w:val="0"/>
        <w:widowControl/>
        <w:numPr>
          <w:ilvl w:val="0"/>
          <w:numId w:val="0"/>
        </w:numPr>
        <w:kinsoku/>
        <w:wordWrap/>
        <w:overflowPunct/>
        <w:topLinePunct w:val="0"/>
        <w:bidi w:val="0"/>
        <w:spacing w:line="600" w:lineRule="exact"/>
        <w:ind w:firstLine="643" w:firstLineChars="200"/>
        <w:jc w:val="both"/>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（五）推动政务公开</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透明</w:t>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高效</w:t>
      </w:r>
    </w:p>
    <w:p>
      <w:pPr>
        <w:keepNext w:val="0"/>
        <w:keepLines w:val="0"/>
        <w:pageBreakBefore w:val="0"/>
        <w:widowControl/>
        <w:kinsoku/>
        <w:wordWrap/>
        <w:overflowPunct/>
        <w:topLinePunct w:val="0"/>
        <w:bidi w:val="0"/>
        <w:spacing w:line="600" w:lineRule="exact"/>
        <w:ind w:firstLine="643" w:firstLineChars="200"/>
        <w:jc w:val="both"/>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1.公开政府采购</w:t>
      </w:r>
    </w:p>
    <w:p>
      <w:pPr>
        <w:keepNext w:val="0"/>
        <w:keepLines w:val="0"/>
        <w:pageBreakBefore w:val="0"/>
        <w:widowControl/>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阳江市税务局在中国政府采购网共发布意向公开</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9</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次</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招标公告</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8</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次</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结果公告</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17次</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w:t>
      </w:r>
    </w:p>
    <w:p>
      <w:pPr>
        <w:keepNext w:val="0"/>
        <w:keepLines w:val="0"/>
        <w:pageBreakBefore w:val="0"/>
        <w:widowControl/>
        <w:kinsoku/>
        <w:wordWrap/>
        <w:overflowPunct/>
        <w:topLinePunct w:val="0"/>
        <w:bidi w:val="0"/>
        <w:spacing w:line="600" w:lineRule="exact"/>
        <w:ind w:firstLine="643" w:firstLineChars="200"/>
        <w:jc w:val="both"/>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2.公开预算决算</w:t>
      </w:r>
    </w:p>
    <w:p>
      <w:pPr>
        <w:keepNext w:val="0"/>
        <w:keepLines w:val="0"/>
        <w:pageBreakBefore w:val="0"/>
        <w:widowControl/>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由广东省税务局通过外网信息公开专栏，统一对外公开单位预决算情况。</w:t>
      </w:r>
    </w:p>
    <w:p>
      <w:pPr>
        <w:keepNext w:val="0"/>
        <w:keepLines w:val="0"/>
        <w:pageBreakBefore w:val="0"/>
        <w:widowControl/>
        <w:kinsoku/>
        <w:wordWrap/>
        <w:overflowPunct/>
        <w:topLinePunct w:val="0"/>
        <w:bidi w:val="0"/>
        <w:spacing w:line="600" w:lineRule="exact"/>
        <w:ind w:firstLine="643" w:firstLineChars="200"/>
        <w:jc w:val="both"/>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3.公开</w:t>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税费收入</w:t>
      </w:r>
    </w:p>
    <w:p>
      <w:pPr>
        <w:keepNext w:val="0"/>
        <w:keepLines w:val="0"/>
        <w:pageBreakBefore w:val="0"/>
        <w:widowControl/>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全市税务系统在管正常企业共104522户，企业法定代表人男女比例为2.7:1；申报个人所得税共618584人，男女比例为1.27:1。在阳江市税务信息公开专栏，通过“税费收入统计”</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对外公开税费收入情况：</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全市税务系统组织税费收入</w:t>
      </w:r>
      <w:r>
        <w:rPr>
          <w:rFonts w:hint="eastAsia" w:ascii="仿宋_GB2312" w:hAnsi="仿宋_GB2312" w:eastAsia="仿宋_GB2312"/>
          <w:b w:val="0"/>
          <w:bCs w:val="0"/>
          <w:color w:val="000000" w:themeColor="text1"/>
          <w:sz w:val="32"/>
          <w:szCs w:val="24"/>
          <w:highlight w:val="none"/>
          <w:lang w:val="zh-CN" w:eastAsia="zh-CN"/>
          <w14:textFill>
            <w14:solidFill>
              <w14:schemeClr w14:val="tx1"/>
            </w14:solidFill>
          </w14:textFill>
        </w:rPr>
        <w:t>307.1</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亿元。全市税收收入总额173.9亿元，其中：税务部门组织国内税收收入155.3亿元，海关代征进口税收收入27.1亿元。</w:t>
      </w:r>
    </w:p>
    <w:p>
      <w:pPr>
        <w:keepNext w:val="0"/>
        <w:keepLines w:val="0"/>
        <w:pageBreakBefore w:val="0"/>
        <w:widowControl/>
        <w:kinsoku/>
        <w:wordWrap/>
        <w:overflowPunct/>
        <w:topLinePunct w:val="0"/>
        <w:bidi w:val="0"/>
        <w:spacing w:line="600" w:lineRule="exact"/>
        <w:ind w:firstLine="643" w:firstLineChars="200"/>
        <w:jc w:val="both"/>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4.公开内部审计</w:t>
      </w:r>
    </w:p>
    <w:p>
      <w:pPr>
        <w:keepNext w:val="0"/>
        <w:keepLines w:val="0"/>
        <w:pageBreakBefore w:val="0"/>
        <w:widowControl/>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稳步推进督察审计监督全覆盖，有力强化税收监管和维护财经纪律。全年共开展督察审计项目4个,层级审计1个，经济责任审计1个，“三公”经费等重点领域、事项专项审计1个，专项执法督察1个。</w:t>
      </w:r>
    </w:p>
    <w:p>
      <w:pPr>
        <w:keepNext w:val="0"/>
        <w:keepLines w:val="0"/>
        <w:pageBreakBefore w:val="0"/>
        <w:widowControl/>
        <w:kinsoku/>
        <w:wordWrap/>
        <w:overflowPunct/>
        <w:topLinePunct w:val="0"/>
        <w:bidi w:val="0"/>
        <w:spacing w:line="600" w:lineRule="exact"/>
        <w:ind w:firstLine="643" w:firstLineChars="200"/>
        <w:jc w:val="both"/>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5.公开人力资源</w:t>
      </w:r>
    </w:p>
    <w:p>
      <w:pPr>
        <w:keepNext w:val="0"/>
        <w:keepLines w:val="0"/>
        <w:pageBreakBefore w:val="0"/>
        <w:widowControl/>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截止2024年底，国家税务总局阳江市税务局税务机关工作人员共321人，其中男女比例为1.89:1。领导班子共8人，其中女性1人，占比12.5%。</w:t>
      </w:r>
    </w:p>
    <w:p>
      <w:pPr>
        <w:keepNext w:val="0"/>
        <w:keepLines w:val="0"/>
        <w:pageBreakBefore w:val="0"/>
        <w:widowControl/>
        <w:kinsoku/>
        <w:wordWrap/>
        <w:overflowPunct/>
        <w:topLinePunct w:val="0"/>
        <w:bidi w:val="0"/>
        <w:spacing w:line="600" w:lineRule="exact"/>
        <w:ind w:firstLine="643" w:firstLineChars="200"/>
        <w:jc w:val="both"/>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6.公开管理和问责</w:t>
      </w:r>
    </w:p>
    <w:p>
      <w:pPr>
        <w:keepNext w:val="0"/>
        <w:keepLines w:val="0"/>
        <w:pageBreakBefore w:val="0"/>
        <w:widowControl/>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1</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）扎实开展内部快反工作。开展政策落实情况内控风险监督，组织开展核查任务33批次,疑点数量26个，经核查，发现问题25个，约谈责任人员4人次，推送执法责任追究14人次。</w:t>
      </w:r>
    </w:p>
    <w:p>
      <w:pPr>
        <w:keepNext w:val="0"/>
        <w:keepLines w:val="0"/>
        <w:pageBreakBefore w:val="0"/>
        <w:widowControl/>
        <w:numPr>
          <w:ilvl w:val="-1"/>
          <w:numId w:val="0"/>
        </w:numPr>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建立风险应对抽查共商机制，加强风险管理部门、业务部门、基层风险应对部门协同共治。组织对2024年38条数据政策落实风险应对任务进行抽查，发现并完成整改问题2个，确保各项税费优惠政策落地。</w:t>
      </w:r>
    </w:p>
    <w:p>
      <w:pPr>
        <w:keepNext w:val="0"/>
        <w:keepLines w:val="0"/>
        <w:pageBreakBefore w:val="0"/>
        <w:widowControl/>
        <w:numPr>
          <w:ilvl w:val="0"/>
          <w:numId w:val="1"/>
        </w:numPr>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聚焦执法过错，宽严并济抓好责任追究。开展税收执法考评，共开展执法过错责任追究37人次，其中批评教育37人次，不予（免予）追究3人次，进一步处理好“容错”与“纠错”之间的关系，着力解决“多干多错、少干少错、不干不错”的问题。</w:t>
      </w:r>
    </w:p>
    <w:p>
      <w:pPr>
        <w:keepNext w:val="0"/>
        <w:keepLines w:val="0"/>
        <w:pageBreakBefore w:val="0"/>
        <w:widowControl/>
        <w:numPr>
          <w:ilvl w:val="0"/>
          <w:numId w:val="0"/>
        </w:numPr>
        <w:kinsoku/>
        <w:wordWrap/>
        <w:overflowPunct/>
        <w:topLinePunct w:val="0"/>
        <w:bidi w:val="0"/>
        <w:spacing w:line="600" w:lineRule="exact"/>
        <w:ind w:firstLine="640" w:firstLineChars="200"/>
        <w:jc w:val="both"/>
        <w:rPr>
          <w:rFonts w:hint="eastAsia" w:ascii="仿宋_GB2312" w:hAnsi="仿宋_GB2312" w:eastAsia="仿宋_GB2312" w:cs="仿宋_GB2312"/>
          <w:b w:val="0"/>
          <w:bCs w:val="0"/>
          <w:color w:val="000000" w:themeColor="text1"/>
          <w:sz w:val="32"/>
          <w:szCs w:val="32"/>
          <w:highlight w:val="none"/>
          <w:lang w:val="en-US" w:eastAsia="en-US" w:bidi="ar-SA"/>
          <w14:textFill>
            <w14:solidFill>
              <w14:schemeClr w14:val="tx1"/>
            </w14:solidFill>
          </w14:textFill>
        </w:rPr>
      </w:pPr>
      <w:r>
        <w:rPr>
          <w:rFonts w:hint="eastAsia" w:ascii="黑体" w:hAnsi="黑体" w:eastAsia="黑体" w:cs="黑体"/>
          <w:color w:val="000000" w:themeColor="text1"/>
          <w:sz w:val="32"/>
          <w:szCs w:val="32"/>
          <w:highlight w:val="none"/>
          <w:lang w:eastAsia="zh-CN"/>
          <w14:textFill>
            <w14:solidFill>
              <w14:schemeClr w14:val="tx1"/>
            </w14:solidFill>
          </w14:textFill>
        </w:rPr>
        <w:t>四、便民缴费纳税</w:t>
      </w:r>
      <w:r>
        <w:rPr>
          <w:rFonts w:hint="eastAsia" w:ascii="仿宋_GB2312" w:hAnsi="仿宋_GB2312" w:eastAsia="仿宋_GB2312" w:cs="仿宋_GB2312"/>
          <w:color w:val="000000" w:themeColor="text1"/>
          <w:sz w:val="32"/>
          <w:szCs w:val="32"/>
          <w:highlight w:val="none"/>
          <w14:textFill>
            <w14:solidFill>
              <w14:schemeClr w14:val="tx1"/>
            </w14:solidFill>
          </w14:textFill>
        </w:rPr>
        <w:t> </w:t>
      </w:r>
    </w:p>
    <w:p>
      <w:pPr>
        <w:keepNext w:val="0"/>
        <w:keepLines w:val="0"/>
        <w:pageBreakBefore w:val="0"/>
        <w:widowControl/>
        <w:numPr>
          <w:ilvl w:val="0"/>
          <w:numId w:val="0"/>
        </w:numPr>
        <w:kinsoku/>
        <w:wordWrap/>
        <w:overflowPunct/>
        <w:topLinePunct w:val="0"/>
        <w:bidi w:val="0"/>
        <w:spacing w:line="600" w:lineRule="exact"/>
        <w:ind w:firstLine="643" w:firstLineChars="200"/>
        <w:jc w:val="both"/>
        <w:rPr>
          <w:rFonts w:hint="eastAsia" w:ascii="楷体_GB2312" w:hAnsi="楷体_GB2312" w:eastAsia="楷体_GB2312" w:cs="楷体_GB2312"/>
          <w:b/>
          <w:bCs/>
          <w:color w:val="000000" w:themeColor="text1"/>
          <w:sz w:val="32"/>
          <w:szCs w:val="32"/>
          <w:highlight w:val="none"/>
          <w:lang w:val="en-US" w:eastAsia="zh-CN"/>
          <w14:textFill>
            <w14:solidFill>
              <w14:schemeClr w14:val="tx1"/>
            </w14:solidFill>
          </w14:textFill>
        </w:rPr>
      </w:pPr>
      <w:r>
        <w:rPr>
          <w:rFonts w:hint="eastAsia" w:ascii="楷体_GB2312" w:hAnsi="楷体_GB2312" w:eastAsia="楷体_GB2312" w:cs="楷体_GB2312"/>
          <w:b/>
          <w:bCs/>
          <w:color w:val="000000" w:themeColor="text1"/>
          <w:sz w:val="32"/>
          <w:szCs w:val="32"/>
          <w:highlight w:val="none"/>
          <w:lang w:val="en-US" w:eastAsia="zh-CN"/>
          <w14:textFill>
            <w14:solidFill>
              <w14:schemeClr w14:val="tx1"/>
            </w14:solidFill>
          </w14:textFill>
        </w:rPr>
        <w:t>（一）营造更加便利可及的税费服务环境</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1.</w:t>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提高税费业务办理便利度</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阳江市税务局为深化税收征管改革，</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明确</w:t>
      </w:r>
      <w:r>
        <w:rPr>
          <w:rFonts w:hint="eastAsia" w:ascii="仿宋_GB2312" w:hAnsi="仿宋_GB2312" w:eastAsia="仿宋_GB2312" w:cs="仿宋_GB2312"/>
          <w:color w:val="000000" w:themeColor="text1"/>
          <w:sz w:val="32"/>
          <w:szCs w:val="32"/>
          <w:highlight w:val="none"/>
          <w14:textFill>
            <w14:solidFill>
              <w14:schemeClr w14:val="tx1"/>
            </w14:solidFill>
          </w14:textFill>
        </w:rPr>
        <w:t>税务局第二税务分局作为税费服务专门机构</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推出优化税费服务集约处理方案，拓展市级线上集约处理范围，扎口受理全市310项税费业务。进一步整合主城区线下服务资源和服务场所，推动税费服务厅全面进驻政务服务中心</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依托全市839个村（社区）党群服务中心</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拓展税费志愿服务点，</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不断</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提供税费办理便利度</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2.提升</w:t>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税费业务处理效率</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阳江市税务局组建市级税费业务集约处理团队，强化税费服务人员配置，扎口受理全市税费业务，推动市域同城通办和线下集中受理，不断提高市级集约处理事项的服务质效</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业务受理平均等候时长由1天提速1小时，12366和征纳互动线上人工咨询服务接通率达98%以上，接通时间压缩至10秒。</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default" w:ascii="仿宋_GB2312" w:hAnsi="仿宋_GB2312" w:eastAsia="仿宋_GB2312" w:cs="仿宋_GB2312"/>
          <w:b/>
          <w:bCs/>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3.</w:t>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畅顺异常问题处理机制</w:t>
      </w:r>
    </w:p>
    <w:p>
      <w:pPr>
        <w:keepNext w:val="0"/>
        <w:keepLines w:val="0"/>
        <w:pageBreakBefore w:val="0"/>
        <w:kinsoku/>
        <w:wordWrap/>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阳江市税务局扎口做好电子税务局运维协同管理</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着力加强系统后台保障，</w:t>
      </w:r>
      <w:r>
        <w:rPr>
          <w:rFonts w:hint="eastAsia" w:ascii="仿宋_GB2312" w:hAnsi="仿宋_GB2312" w:eastAsia="仿宋_GB2312" w:cs="仿宋_GB2312"/>
          <w:color w:val="000000" w:themeColor="text1"/>
          <w:sz w:val="32"/>
          <w:szCs w:val="32"/>
          <w:highlight w:val="none"/>
          <w14:textFill>
            <w14:solidFill>
              <w14:schemeClr w14:val="tx1"/>
            </w14:solidFill>
          </w14:textFill>
        </w:rPr>
        <w:t>建立完善集约处理中心扎口管理电子税务局运维协同机制；配置专岗人员，按照“扎口报单、持续跟踪、及时验证、高效反馈、归纳提升”的思路做好全周期管理，不断提高本地电子税务局业务运维问题前置过滤及后续跟踪的能力和水平</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负责对接省局持续做好沟通和反馈。</w:t>
      </w:r>
    </w:p>
    <w:p>
      <w:pPr>
        <w:keepNext w:val="0"/>
        <w:keepLines w:val="0"/>
        <w:pageBreakBefore w:val="0"/>
        <w:kinsoku/>
        <w:wordWrap/>
        <w:topLinePunct w:val="0"/>
        <w:bidi w:val="0"/>
        <w:spacing w:line="600" w:lineRule="exact"/>
        <w:ind w:firstLine="643" w:firstLineChars="200"/>
        <w:jc w:val="both"/>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r>
        <w:rPr>
          <w:rFonts w:hint="eastAsia" w:ascii="楷体_GB2312" w:hAnsi="楷体_GB2312" w:eastAsia="楷体_GB2312" w:cs="楷体_GB2312"/>
          <w:b/>
          <w:bCs/>
          <w:color w:val="000000" w:themeColor="text1"/>
          <w:sz w:val="32"/>
          <w:szCs w:val="32"/>
          <w:highlight w:val="none"/>
          <w:lang w:val="en-US" w:eastAsia="zh-CN"/>
          <w14:textFill>
            <w14:solidFill>
              <w14:schemeClr w14:val="tx1"/>
            </w14:solidFill>
          </w14:textFill>
        </w:rPr>
        <w:t>4.</w:t>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统一对外咨询服务热线</w:t>
      </w:r>
    </w:p>
    <w:p>
      <w:pPr>
        <w:keepNext w:val="0"/>
        <w:keepLines w:val="0"/>
        <w:pageBreakBefore w:val="0"/>
        <w:kinsoku/>
        <w:wordWrap/>
        <w:topLinePunct w:val="0"/>
        <w:bidi w:val="0"/>
        <w:spacing w:line="600" w:lineRule="exact"/>
        <w:ind w:firstLine="640" w:firstLineChars="200"/>
        <w:jc w:val="both"/>
        <w:rPr>
          <w:rFonts w:hint="default"/>
          <w:color w:val="000000" w:themeColor="text1"/>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阳江市税务局关切纳税人缴费人线上咨询的需求，整合全市税务系统办税服务大厅、基层分局对外咨询电话，实现以“12366”一个号码对外，涵盖系统操作、通用税费政策、办税服务大厅税费事项咨询</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。同时</w:t>
      </w:r>
      <w:r>
        <w:rPr>
          <w:rFonts w:hint="eastAsia" w:ascii="仿宋_GB2312" w:hAnsi="仿宋_GB2312" w:eastAsia="仿宋_GB2312" w:cs="仿宋_GB2312"/>
          <w:color w:val="000000" w:themeColor="text1"/>
          <w:sz w:val="32"/>
          <w:szCs w:val="32"/>
          <w:highlight w:val="none"/>
          <w14:textFill>
            <w14:solidFill>
              <w14:schemeClr w14:val="tx1"/>
            </w14:solidFill>
          </w14:textFill>
        </w:rPr>
        <w:t>成立专门服务团队，确保人工话务接通率 95%以上</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w:t>
      </w:r>
    </w:p>
    <w:p>
      <w:pPr>
        <w:keepNext w:val="0"/>
        <w:keepLines w:val="0"/>
        <w:pageBreakBefore w:val="0"/>
        <w:kinsoku/>
        <w:wordWrap/>
        <w:topLinePunct w:val="0"/>
        <w:bidi w:val="0"/>
        <w:spacing w:line="600" w:lineRule="exact"/>
        <w:ind w:firstLine="643" w:firstLineChars="200"/>
        <w:jc w:val="both"/>
        <w:rPr>
          <w:rFonts w:hint="eastAsia" w:ascii="楷体_GB2312" w:hAnsi="楷体_GB2312" w:eastAsia="楷体_GB2312" w:cs="楷体_GB2312"/>
          <w:b/>
          <w:bCs/>
          <w:color w:val="000000" w:themeColor="text1"/>
          <w:sz w:val="32"/>
          <w:szCs w:val="32"/>
          <w:highlight w:val="none"/>
          <w:lang w:val="en-US" w:eastAsia="zh-CN"/>
          <w14:textFill>
            <w14:solidFill>
              <w14:schemeClr w14:val="tx1"/>
            </w14:solidFill>
          </w14:textFill>
        </w:rPr>
      </w:pPr>
      <w:r>
        <w:rPr>
          <w:rFonts w:hint="eastAsia" w:ascii="楷体_GB2312" w:hAnsi="楷体_GB2312" w:eastAsia="楷体_GB2312" w:cs="楷体_GB2312"/>
          <w:b/>
          <w:bCs/>
          <w:color w:val="000000" w:themeColor="text1"/>
          <w:sz w:val="32"/>
          <w:szCs w:val="32"/>
          <w:highlight w:val="none"/>
          <w:lang w:val="en-US" w:eastAsia="zh-CN"/>
          <w14:textFill>
            <w14:solidFill>
              <w14:schemeClr w14:val="tx1"/>
            </w14:solidFill>
          </w14:textFill>
        </w:rPr>
        <w:t>（二）营造更加开放共享的一体服务环境</w:t>
      </w:r>
    </w:p>
    <w:p>
      <w:pPr>
        <w:pStyle w:val="10"/>
        <w:keepNext w:val="0"/>
        <w:keepLines w:val="0"/>
        <w:pageBreakBefore w:val="0"/>
        <w:kinsoku/>
        <w:wordWrap/>
        <w:topLinePunct w:val="0"/>
        <w:bidi w:val="0"/>
        <w:spacing w:line="600" w:lineRule="exact"/>
        <w:ind w:firstLine="643" w:firstLineChars="200"/>
        <w:jc w:val="both"/>
        <w:rPr>
          <w:rFonts w:hint="eastAsia" w:ascii="仿宋_GB2312" w:hAnsi="仿宋_GB2312" w:eastAsia="仿宋_GB2312" w:cs="仿宋_GB2312"/>
          <w:b/>
          <w:bCs/>
          <w:snapToGrid w:val="0"/>
          <w:color w:val="000000" w:themeColor="text1"/>
          <w:spacing w:val="0"/>
          <w:kern w:val="0"/>
          <w:sz w:val="32"/>
          <w:szCs w:val="32"/>
          <w:highlight w:val="none"/>
          <w:lang w:val="en-US" w:eastAsia="zh-CN" w:bidi="ar-SA"/>
          <w14:textFill>
            <w14:solidFill>
              <w14:schemeClr w14:val="tx1"/>
            </w14:solidFill>
          </w14:textFill>
        </w:rPr>
      </w:pPr>
      <w:r>
        <w:rPr>
          <w:rFonts w:hint="eastAsia" w:ascii="仿宋_GB2312" w:hAnsi="仿宋_GB2312" w:eastAsia="仿宋_GB2312" w:cs="仿宋_GB2312"/>
          <w:b/>
          <w:bCs/>
          <w:snapToGrid w:val="0"/>
          <w:color w:val="000000" w:themeColor="text1"/>
          <w:spacing w:val="0"/>
          <w:kern w:val="0"/>
          <w:sz w:val="32"/>
          <w:szCs w:val="32"/>
          <w:highlight w:val="none"/>
          <w:lang w:val="en-US" w:eastAsia="zh-CN" w:bidi="ar-SA"/>
          <w14:textFill>
            <w14:solidFill>
              <w14:schemeClr w14:val="tx1"/>
            </w14:solidFill>
          </w14:textFill>
        </w:rPr>
        <w:t>5.建立跨部门税费争议联合调解</w:t>
      </w:r>
    </w:p>
    <w:p>
      <w:pPr>
        <w:keepNext w:val="0"/>
        <w:keepLines w:val="0"/>
        <w:pageBreakBefore w:val="0"/>
        <w:kinsoku/>
        <w:wordWrap/>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联合政法委、公安等</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9部门</w:t>
      </w:r>
      <w:r>
        <w:rPr>
          <w:rFonts w:hint="eastAsia" w:ascii="仿宋_GB2312" w:hAnsi="仿宋_GB2312" w:eastAsia="仿宋_GB2312" w:cs="仿宋_GB2312"/>
          <w:color w:val="000000" w:themeColor="text1"/>
          <w:sz w:val="32"/>
          <w:szCs w:val="32"/>
          <w:highlight w:val="none"/>
          <w14:textFill>
            <w14:solidFill>
              <w14:schemeClr w14:val="tx1"/>
            </w14:solidFill>
          </w14:textFill>
        </w:rPr>
        <w:t>建立税费征缴争议调解多部门联动机制，成立调解工作领导小组，打造调解工作室。确各单位职责分工与扩围部门的工作职责，建立初访责任制，打造“多方联动、协同服务、智慧赋能”的调解服务新格局，降低纳税人缴费人维权成本。</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2024年，</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提供专家服务</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653人次，提供</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税法咨询服务</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1403人次，及时调处各类税费争议406宗，其中社保费争议328宗，化解行政复议苗头性倾向6宗。</w:t>
      </w:r>
    </w:p>
    <w:p>
      <w:pPr>
        <w:keepNext w:val="0"/>
        <w:keepLines w:val="0"/>
        <w:pageBreakBefore w:val="0"/>
        <w:kinsoku/>
        <w:wordWrap/>
        <w:topLinePunct w:val="0"/>
        <w:bidi w:val="0"/>
        <w:spacing w:line="600" w:lineRule="exact"/>
        <w:ind w:firstLine="643" w:firstLineChars="200"/>
        <w:jc w:val="both"/>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6.</w:t>
      </w: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推进社保、医保、税务“一窗通办”</w:t>
      </w:r>
    </w:p>
    <w:p>
      <w:pPr>
        <w:keepNext w:val="0"/>
        <w:keepLines w:val="0"/>
        <w:pageBreakBefore w:val="0"/>
        <w:kinsoku/>
        <w:wordWrap/>
        <w:topLinePunct w:val="0"/>
        <w:bidi w:val="0"/>
        <w:spacing w:line="600" w:lineRule="exact"/>
        <w:ind w:firstLine="640" w:firstLineChars="200"/>
        <w:jc w:val="both"/>
        <w:rPr>
          <w:rFonts w:hint="eastAsia"/>
          <w:color w:val="000000" w:themeColor="text1"/>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推动税务服务融入政务服务，构建了“税务、社保、医保”一窗通办模式。大力推广应用粤省事、粤税通等“粤”系列小程序，提供线上社保登记、社保缴费等59项业务“一窗通办”套餐服务。在全区的177个党群服务中心，通过“粤智助”终端机实现税务、社保、医保“一机联办”。推动6个县级局社保、医保业务全面进驻政务服务中心，在政务服务中心设立税务社保医保“一窗通办’事项窗口，对跨部门14项高频业务实现“一窗受理、内部流转、一次办成”，平均经办时间缩短60%以上。</w:t>
      </w:r>
    </w:p>
    <w:p>
      <w:pPr>
        <w:keepNext w:val="0"/>
        <w:keepLines w:val="0"/>
        <w:pageBreakBefore w:val="0"/>
        <w:kinsoku/>
        <w:wordWrap/>
        <w:topLinePunct w:val="0"/>
        <w:bidi w:val="0"/>
        <w:spacing w:line="600" w:lineRule="exact"/>
        <w:ind w:firstLine="643" w:firstLineChars="200"/>
        <w:jc w:val="both"/>
        <w:rPr>
          <w:rFonts w:hint="eastAsia" w:ascii="楷体_GB2312" w:hAnsi="楷体_GB2312" w:eastAsia="楷体_GB2312" w:cs="楷体_GB2312"/>
          <w:b/>
          <w:bCs/>
          <w:color w:val="000000" w:themeColor="text1"/>
          <w:sz w:val="32"/>
          <w:szCs w:val="32"/>
          <w:highlight w:val="none"/>
          <w:lang w:eastAsia="zh-CN"/>
          <w14:textFill>
            <w14:solidFill>
              <w14:schemeClr w14:val="tx1"/>
            </w14:solidFill>
          </w14:textFill>
        </w:rPr>
      </w:pPr>
      <w:r>
        <w:rPr>
          <w:rFonts w:hint="eastAsia" w:ascii="楷体_GB2312" w:hAnsi="楷体_GB2312" w:eastAsia="楷体_GB2312" w:cs="楷体_GB2312"/>
          <w:b/>
          <w:bCs/>
          <w:color w:val="000000" w:themeColor="text1"/>
          <w:sz w:val="32"/>
          <w:szCs w:val="32"/>
          <w:highlight w:val="none"/>
          <w:lang w:val="en-US" w:eastAsia="zh-CN"/>
          <w14:textFill>
            <w14:solidFill>
              <w14:schemeClr w14:val="tx1"/>
            </w14:solidFill>
          </w14:textFill>
        </w:rPr>
        <w:t>（三）营造更加清晰透明的税收法治环境</w:t>
      </w:r>
    </w:p>
    <w:p>
      <w:pPr>
        <w:keepNext w:val="0"/>
        <w:keepLines w:val="0"/>
        <w:pageBreakBefore w:val="0"/>
        <w:kinsoku/>
        <w:wordWrap/>
        <w:topLinePunct w:val="0"/>
        <w:bidi w:val="0"/>
        <w:spacing w:line="600" w:lineRule="exact"/>
        <w:ind w:firstLine="643" w:firstLineChars="200"/>
        <w:jc w:val="both"/>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7.减少了对企业的重复打扰</w:t>
      </w:r>
    </w:p>
    <w:p>
      <w:pPr>
        <w:keepNext w:val="0"/>
        <w:keepLines w:val="0"/>
        <w:pageBreakBefore w:val="0"/>
        <w:kinsoku/>
        <w:wordWrap/>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为深化税收征管改革，进一步明确落实纳税人分类分级管理，进一步优化税费服务和管理事项有效衔接。明确了纳税人分类分级管理要求，健全名单分级维护机制，进一步推进精确执法、精细服务、精准监管。健全依职权联系纳税人机制，制定高频事项岗责流程清单,减少了对企业的重复打扰。</w:t>
      </w:r>
    </w:p>
    <w:p>
      <w:pPr>
        <w:keepNext w:val="0"/>
        <w:keepLines w:val="0"/>
        <w:pageBreakBefore w:val="0"/>
        <w:widowControl/>
        <w:kinsoku/>
        <w:wordWrap/>
        <w:overflowPunct/>
        <w:topLinePunct w:val="0"/>
        <w:bidi w:val="0"/>
        <w:spacing w:line="600" w:lineRule="exact"/>
        <w:ind w:firstLine="640" w:firstLineChars="200"/>
        <w:jc w:val="both"/>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黑体" w:hAnsi="黑体" w:eastAsia="黑体" w:cs="黑体"/>
          <w:color w:val="000000" w:themeColor="text1"/>
          <w:sz w:val="32"/>
          <w:szCs w:val="32"/>
          <w:highlight w:val="none"/>
          <w:lang w:eastAsia="zh-CN"/>
          <w14:textFill>
            <w14:solidFill>
              <w14:schemeClr w14:val="tx1"/>
            </w14:solidFill>
          </w14:textFill>
        </w:rPr>
        <w:t>五、</w:t>
      </w:r>
      <w:r>
        <w:rPr>
          <w:rFonts w:hint="eastAsia" w:ascii="黑体" w:hAnsi="黑体" w:eastAsia="黑体" w:cs="黑体"/>
          <w:color w:val="000000" w:themeColor="text1"/>
          <w:sz w:val="32"/>
          <w:szCs w:val="32"/>
          <w:highlight w:val="none"/>
          <w14:textFill>
            <w14:solidFill>
              <w14:schemeClr w14:val="tx1"/>
            </w14:solidFill>
          </w14:textFill>
        </w:rPr>
        <w:t>谱写税收营商环境新篇章</w:t>
      </w:r>
    </w:p>
    <w:p>
      <w:pPr>
        <w:keepNext w:val="0"/>
        <w:keepLines w:val="0"/>
        <w:pageBreakBefore w:val="0"/>
        <w:widowControl/>
        <w:kinsoku/>
        <w:wordWrap/>
        <w:overflowPunct/>
        <w:topLinePunct w:val="0"/>
        <w:autoSpaceDE w:val="0"/>
        <w:autoSpaceDN w:val="0"/>
        <w:bidi w:val="0"/>
        <w:adjustRightInd w:val="0"/>
        <w:snapToGrid w:val="0"/>
        <w:spacing w:line="600" w:lineRule="exact"/>
        <w:ind w:firstLine="640" w:firstLineChars="200"/>
        <w:jc w:val="both"/>
        <w:textAlignment w:val="baseline"/>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2025年全市税务工作的总体要求是：以习近平新时代中国特色社会主义思想为指导，全面贯彻党的二十大和二十届二中、三中全会和中央经济工作会议精神，深入贯彻落实习近平总书记视察广东系列重要讲话、重要指示精神，按照税务总局、省税务局和市委、市政府部署要求，坚持稳中求进工作总基调，深入实施数字化转型条件下的税费征管“强基工程”，一体推进依法治税、以数治税、从严治税，高水平建设效能税务，奋力书写高质量推进中国式现代化税务实践的阳江答卷。在新的一年，重点抓好六个方面工作。</w:t>
      </w:r>
    </w:p>
    <w:p>
      <w:pPr>
        <w:keepNext w:val="0"/>
        <w:keepLines w:val="0"/>
        <w:pageBreakBefore w:val="0"/>
        <w:widowControl w:val="0"/>
        <w:kinsoku/>
        <w:wordWrap/>
        <w:overflowPunct/>
        <w:topLinePunct w:val="0"/>
        <w:autoSpaceDN/>
        <w:bidi w:val="0"/>
        <w:spacing w:beforeLines="0" w:afterLines="0" w:line="600" w:lineRule="exact"/>
        <w:ind w:firstLine="643" w:firstLineChars="200"/>
        <w:textAlignment w:val="auto"/>
        <w:rPr>
          <w:rFonts w:hint="eastAsia" w:ascii="楷体_GB2312" w:hAnsi="楷体_GB2312" w:eastAsia="楷体_GB2312" w:cs="楷体_GB2312"/>
          <w:b w:val="0"/>
          <w:bCs w:val="0"/>
          <w:i w:val="0"/>
          <w:caps w:val="0"/>
          <w:color w:val="000000" w:themeColor="text1"/>
          <w:spacing w:val="0"/>
          <w:kern w:val="0"/>
          <w:sz w:val="32"/>
          <w:szCs w:val="32"/>
          <w:highlight w:val="none"/>
          <w:u w:val="none" w:color="auto"/>
          <w:shd w:val="clear" w:color="auto" w:fill="FFFFFF"/>
          <w:lang w:val="en-US" w:eastAsia="zh-CN" w:bidi="ar"/>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一是聚力全链管控，推动申报质量提质增效。</w:t>
      </w:r>
      <w:r>
        <w:rPr>
          <w:rFonts w:hint="eastAsia" w:ascii="仿宋_GB2312" w:hAnsi="仿宋_GB2312" w:eastAsia="仿宋_GB2312" w:cs="仿宋_GB2312"/>
          <w:b w:val="0"/>
          <w:bCs w:val="0"/>
          <w:color w:val="000000" w:themeColor="text1"/>
          <w:kern w:val="2"/>
          <w:sz w:val="32"/>
          <w:szCs w:val="32"/>
          <w:highlight w:val="none"/>
          <w:u w:val="none" w:color="auto"/>
          <w:lang w:val="en-US" w:eastAsia="zh-CN" w:bidi="ar-SA"/>
          <w14:textFill>
            <w14:solidFill>
              <w14:schemeClr w14:val="tx1"/>
            </w14:solidFill>
          </w14:textFill>
        </w:rPr>
        <w:t>还权还责于纳税人缴费人、坚持自主申报为主的前提下，把申报管理从单一申报环节延伸至事前、事中、事后全链条，特别是通过大数据和基层征管“活信息”双重比对，精准打击恶意“包装”虚构申报数据等违法行为；要强化票表比对、跨税费种联动分析，帮助纳税人缴费人及时发现错报漏报风险，实现事前精准辅导提醒、事中智能预填校验、事后早见快处风险。</w:t>
      </w:r>
    </w:p>
    <w:p>
      <w:pPr>
        <w:keepNext w:val="0"/>
        <w:keepLines w:val="0"/>
        <w:pageBreakBefore w:val="0"/>
        <w:widowControl w:val="0"/>
        <w:kinsoku/>
        <w:wordWrap/>
        <w:overflowPunct/>
        <w:topLinePunct w:val="0"/>
        <w:autoSpaceDN/>
        <w:bidi w:val="0"/>
        <w:spacing w:beforeLines="0" w:afterLines="0" w:line="600" w:lineRule="exact"/>
        <w:ind w:firstLine="643" w:firstLineChars="200"/>
        <w:textAlignment w:val="auto"/>
        <w:rPr>
          <w:rFonts w:hint="eastAsia" w:ascii="仿宋_GB2312" w:hAnsi="仿宋_GB2312" w:eastAsia="仿宋_GB2312" w:cs="仿宋_GB2312"/>
          <w:b w:val="0"/>
          <w:bCs w:val="0"/>
          <w:color w:val="000000" w:themeColor="text1"/>
          <w:kern w:val="2"/>
          <w:sz w:val="32"/>
          <w:szCs w:val="32"/>
          <w:highlight w:val="none"/>
          <w:u w:val="none" w:color="auto"/>
          <w:lang w:val="en-US" w:eastAsia="zh-CN" w:bidi="ar-SA"/>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二是聚力系统统筹，优化重构税费服务、征管、监管业务流程。</w:t>
      </w:r>
      <w:r>
        <w:rPr>
          <w:rFonts w:hint="eastAsia" w:ascii="仿宋_GB2312" w:hAnsi="仿宋_GB2312" w:eastAsia="仿宋_GB2312" w:cs="仿宋_GB2312"/>
          <w:b w:val="0"/>
          <w:bCs w:val="0"/>
          <w:color w:val="000000" w:themeColor="text1"/>
          <w:kern w:val="2"/>
          <w:sz w:val="32"/>
          <w:szCs w:val="32"/>
          <w:highlight w:val="none"/>
          <w:u w:val="none" w:color="auto"/>
          <w:lang w:val="en-US" w:eastAsia="zh-CN" w:bidi="ar-SA"/>
          <w14:textFill>
            <w14:solidFill>
              <w14:schemeClr w14:val="tx1"/>
            </w14:solidFill>
          </w14:textFill>
        </w:rPr>
        <w:t>要紧紧围绕提高纳税人税法遵从度、扛牢税费主责主业这一目标，以数字化理念对税费服务、征管、监管业务流程进行优化重构，着力推动税务登记、发票管理、欠税管理等基础征管流程全面完善升级。要树牢“税费皆重”理念，大力推进税费协同共治，完善税费一体化的征管流程体系，不断减少业务流程“内耗”。</w:t>
      </w:r>
    </w:p>
    <w:p>
      <w:pPr>
        <w:keepNext w:val="0"/>
        <w:keepLines w:val="0"/>
        <w:pageBreakBefore w:val="0"/>
        <w:widowControl/>
        <w:kinsoku/>
        <w:wordWrap/>
        <w:overflowPunct/>
        <w:topLinePunct w:val="0"/>
        <w:autoSpaceDE w:val="0"/>
        <w:autoSpaceDN w:val="0"/>
        <w:bidi w:val="0"/>
        <w:adjustRightInd w:val="0"/>
        <w:snapToGrid w:val="0"/>
        <w:spacing w:line="600" w:lineRule="exact"/>
        <w:ind w:firstLine="643" w:firstLineChars="200"/>
        <w:jc w:val="both"/>
        <w:textAlignment w:val="baseline"/>
        <w:rPr>
          <w:rFonts w:hint="eastAsia" w:ascii="楷体_GB2312" w:hAnsi="楷体_GB2312" w:eastAsia="楷体_GB2312" w:cs="楷体_GB2312"/>
          <w:b w:val="0"/>
          <w:bCs w:val="0"/>
          <w:i w:val="0"/>
          <w:caps w:val="0"/>
          <w:color w:val="000000" w:themeColor="text1"/>
          <w:spacing w:val="0"/>
          <w:kern w:val="0"/>
          <w:sz w:val="32"/>
          <w:szCs w:val="32"/>
          <w:highlight w:val="none"/>
          <w:u w:val="none" w:color="auto"/>
          <w:shd w:val="clear" w:color="auto" w:fill="FFFFFF"/>
          <w:lang w:val="en-US" w:eastAsia="zh-CN" w:bidi="ar"/>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三是聚焦改革创新，加快推进智慧税务建设。</w:t>
      </w:r>
      <w:r>
        <w:rPr>
          <w:rFonts w:hint="eastAsia" w:ascii="仿宋_GB2312" w:hAnsi="仿宋_GB2312" w:eastAsia="仿宋_GB2312" w:cs="仿宋_GB2312"/>
          <w:b w:val="0"/>
          <w:bCs w:val="0"/>
          <w:color w:val="000000" w:themeColor="text1"/>
          <w:sz w:val="32"/>
          <w:szCs w:val="32"/>
          <w:highlight w:val="none"/>
          <w:u w:val="none" w:color="auto"/>
          <w:lang w:val="en-US" w:eastAsia="zh-CN"/>
          <w14:textFill>
            <w14:solidFill>
              <w14:schemeClr w14:val="tx1"/>
            </w14:solidFill>
          </w14:textFill>
        </w:rPr>
        <w:t>做好新电局问题运维，继续提升新电局业务量占比，保障线上税费业务平稳运行。持续推动发票电子化改革，对照总局省局关于数电票纯数电率、开票率等新口径，有序推进数电票各项指标全面提升。加大乐企直连推广力度，让更多符合条件纳税人实现智慧化开票用票。</w:t>
      </w:r>
      <w:r>
        <w:rPr>
          <w:rFonts w:hint="eastAsia" w:ascii="仿宋_GB2312" w:hAnsi="仿宋_GB2312" w:eastAsia="仿宋_GB2312" w:cs="仿宋_GB2312"/>
          <w:b w:val="0"/>
          <w:bCs w:val="0"/>
          <w:color w:val="000000" w:themeColor="text1"/>
          <w:kern w:val="2"/>
          <w:sz w:val="32"/>
          <w:szCs w:val="32"/>
          <w:highlight w:val="none"/>
          <w:u w:val="none" w:color="auto"/>
          <w:lang w:val="en-US" w:eastAsia="zh-CN" w:bidi="ar-SA"/>
          <w14:textFill>
            <w14:solidFill>
              <w14:schemeClr w14:val="tx1"/>
            </w14:solidFill>
          </w14:textFill>
        </w:rPr>
        <w:t>研究推出停车场、充电桩、酒店、餐饮等消费终端领域拓展“支付即开票”场景应用。</w:t>
      </w:r>
    </w:p>
    <w:p>
      <w:pPr>
        <w:keepNext w:val="0"/>
        <w:keepLines w:val="0"/>
        <w:pageBreakBefore w:val="0"/>
        <w:widowControl/>
        <w:kinsoku/>
        <w:wordWrap/>
        <w:overflowPunct/>
        <w:topLinePunct w:val="0"/>
        <w:autoSpaceDE w:val="0"/>
        <w:autoSpaceDN w:val="0"/>
        <w:bidi w:val="0"/>
        <w:adjustRightInd w:val="0"/>
        <w:snapToGrid w:val="0"/>
        <w:spacing w:line="600" w:lineRule="exact"/>
        <w:ind w:firstLine="643" w:firstLineChars="200"/>
        <w:jc w:val="both"/>
        <w:textAlignment w:val="baseline"/>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四是聚焦主责主业，持续厚植基础育税源。</w:t>
      </w:r>
      <w:r>
        <w:rPr>
          <w:rFonts w:hint="eastAsia" w:ascii="仿宋_GB2312" w:hAnsi="Calibri" w:eastAsia="仿宋_GB2312" w:cs="仿宋_GB2312"/>
          <w:b w:val="0"/>
          <w:bCs w:val="0"/>
          <w:i w:val="0"/>
          <w:caps w:val="0"/>
          <w:color w:val="000000" w:themeColor="text1"/>
          <w:spacing w:val="0"/>
          <w:kern w:val="0"/>
          <w:sz w:val="32"/>
          <w:szCs w:val="32"/>
          <w:highlight w:val="none"/>
          <w:u w:val="none" w:color="auto"/>
          <w:shd w:val="clear" w:color="auto" w:fill="FFFFFF"/>
          <w:lang w:val="en-US" w:eastAsia="zh-CN" w:bidi="ar"/>
          <w14:textFill>
            <w14:solidFill>
              <w14:schemeClr w14:val="tx1"/>
            </w14:solidFill>
          </w14:textFill>
        </w:rPr>
        <w:t>围绕加快构建现代化产业体系，深化运用“政策找人”机制，持续落实好各项税费支持政策，特别是支持科技创新和先进制造业企业税费优惠政策等，确保应享尽享。要精准对接</w:t>
      </w:r>
      <w:r>
        <w:rPr>
          <w:rFonts w:hint="eastAsia" w:ascii="仿宋_GB2312" w:hAnsi="Calibri" w:cs="仿宋_GB2312"/>
          <w:b w:val="0"/>
          <w:bCs w:val="0"/>
          <w:i w:val="0"/>
          <w:caps w:val="0"/>
          <w:color w:val="000000" w:themeColor="text1"/>
          <w:spacing w:val="0"/>
          <w:kern w:val="0"/>
          <w:sz w:val="32"/>
          <w:szCs w:val="32"/>
          <w:highlight w:val="none"/>
          <w:u w:val="none" w:color="auto"/>
          <w:shd w:val="clear" w:color="auto" w:fill="FFFFFF"/>
          <w:lang w:val="en-US" w:eastAsia="zh-CN" w:bidi="ar"/>
          <w14:textFill>
            <w14:solidFill>
              <w14:schemeClr w14:val="tx1"/>
            </w14:solidFill>
          </w14:textFill>
        </w:rPr>
        <w:t>市委、市政府</w:t>
      </w:r>
      <w:r>
        <w:rPr>
          <w:rFonts w:hint="eastAsia" w:ascii="仿宋_GB2312" w:hAnsi="Calibri" w:eastAsia="仿宋_GB2312" w:cs="仿宋_GB2312"/>
          <w:b w:val="0"/>
          <w:bCs w:val="0"/>
          <w:i w:val="0"/>
          <w:caps w:val="0"/>
          <w:color w:val="000000" w:themeColor="text1"/>
          <w:spacing w:val="0"/>
          <w:kern w:val="0"/>
          <w:sz w:val="32"/>
          <w:szCs w:val="32"/>
          <w:highlight w:val="none"/>
          <w:u w:val="none" w:color="auto"/>
          <w:shd w:val="clear" w:color="auto" w:fill="FFFFFF"/>
          <w:lang w:val="en-US" w:eastAsia="zh-CN" w:bidi="ar"/>
          <w14:textFill>
            <w14:solidFill>
              <w14:schemeClr w14:val="tx1"/>
            </w14:solidFill>
          </w14:textFill>
        </w:rPr>
        <w:t>发展战略，积极发挥税费政策对实体经济</w:t>
      </w:r>
      <w:r>
        <w:rPr>
          <w:rFonts w:hint="eastAsia" w:ascii="仿宋_GB2312" w:hAnsi="Calibri" w:cs="仿宋_GB2312"/>
          <w:b w:val="0"/>
          <w:bCs w:val="0"/>
          <w:i w:val="0"/>
          <w:caps w:val="0"/>
          <w:color w:val="000000" w:themeColor="text1"/>
          <w:spacing w:val="0"/>
          <w:kern w:val="0"/>
          <w:sz w:val="32"/>
          <w:szCs w:val="32"/>
          <w:highlight w:val="none"/>
          <w:u w:val="none" w:color="auto"/>
          <w:shd w:val="clear" w:color="auto" w:fill="FFFFFF"/>
          <w:lang w:val="en-US" w:eastAsia="zh-CN" w:bidi="ar"/>
          <w14:textFill>
            <w14:solidFill>
              <w14:schemeClr w14:val="tx1"/>
            </w14:solidFill>
          </w14:textFill>
        </w:rPr>
        <w:t>、数字经济</w:t>
      </w:r>
      <w:r>
        <w:rPr>
          <w:rFonts w:hint="eastAsia" w:ascii="仿宋_GB2312" w:hAnsi="Calibri" w:eastAsia="仿宋_GB2312" w:cs="仿宋_GB2312"/>
          <w:b w:val="0"/>
          <w:bCs w:val="0"/>
          <w:i w:val="0"/>
          <w:caps w:val="0"/>
          <w:color w:val="000000" w:themeColor="text1"/>
          <w:spacing w:val="0"/>
          <w:kern w:val="0"/>
          <w:sz w:val="32"/>
          <w:szCs w:val="32"/>
          <w:highlight w:val="none"/>
          <w:u w:val="none" w:color="auto"/>
          <w:shd w:val="clear" w:color="auto" w:fill="FFFFFF"/>
          <w:lang w:val="en-US" w:eastAsia="zh-CN" w:bidi="ar"/>
          <w14:textFill>
            <w14:solidFill>
              <w14:schemeClr w14:val="tx1"/>
            </w14:solidFill>
          </w14:textFill>
        </w:rPr>
        <w:t>发展的支持和引导作用，在绿能示范产业园化建设、现代化海洋牧场试点项目化建设、商业航天海上发射母港化建设等重点工作中靠前服务，助力我市做优数字、海洋、绿色、文旅等经济，激发新行业、新税源高质量发展的潜能和活力</w:t>
      </w:r>
    </w:p>
    <w:p>
      <w:pPr>
        <w:keepNext w:val="0"/>
        <w:keepLines w:val="0"/>
        <w:pageBreakBefore w:val="0"/>
        <w:widowControl/>
        <w:kinsoku/>
        <w:wordWrap/>
        <w:overflowPunct/>
        <w:topLinePunct w:val="0"/>
        <w:autoSpaceDE w:val="0"/>
        <w:autoSpaceDN w:val="0"/>
        <w:bidi w:val="0"/>
        <w:adjustRightInd w:val="0"/>
        <w:snapToGrid w:val="0"/>
        <w:spacing w:line="600" w:lineRule="exact"/>
        <w:ind w:firstLine="643" w:firstLineChars="200"/>
        <w:jc w:val="both"/>
        <w:textAlignment w:val="baseline"/>
        <w:rPr>
          <w:rFonts w:hint="eastAsia" w:ascii="仿宋_GB2312" w:hAnsi="Calibri" w:eastAsia="仿宋_GB2312" w:cs="仿宋_GB2312"/>
          <w:b w:val="0"/>
          <w:bCs w:val="0"/>
          <w:i w:val="0"/>
          <w:caps w:val="0"/>
          <w:color w:val="000000" w:themeColor="text1"/>
          <w:spacing w:val="0"/>
          <w:kern w:val="0"/>
          <w:sz w:val="32"/>
          <w:szCs w:val="32"/>
          <w:highlight w:val="none"/>
          <w:u w:val="none" w:color="auto"/>
          <w:shd w:val="clear" w:color="auto" w:fill="FFFFFF"/>
          <w:lang w:val="en-US" w:eastAsia="zh-CN" w:bidi="ar"/>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五是</w:t>
      </w:r>
      <w:r>
        <w:rPr>
          <w:rFonts w:hint="eastAsia" w:ascii="仿宋_GB2312" w:hAnsi="仿宋_GB2312" w:eastAsia="仿宋_GB2312" w:cs="仿宋_GB2312"/>
          <w:b/>
          <w:bCs/>
          <w:color w:val="000000" w:themeColor="text1"/>
          <w:sz w:val="32"/>
          <w:szCs w:val="32"/>
          <w:highlight w:val="none"/>
          <w:u w:val="none" w:color="auto"/>
          <w:lang w:val="en-US" w:eastAsia="zh-CN"/>
          <w14:textFill>
            <w14:solidFill>
              <w14:schemeClr w14:val="tx1"/>
            </w14:solidFill>
          </w14:textFill>
        </w:rPr>
        <w:t>聚焦需求导向，不断提升纳税人满意度。</w:t>
      </w:r>
      <w:r>
        <w:rPr>
          <w:rFonts w:hint="eastAsia" w:ascii="仿宋_GB2312" w:hAnsi="Calibri" w:eastAsia="仿宋_GB2312" w:cs="仿宋_GB2312"/>
          <w:b w:val="0"/>
          <w:bCs w:val="0"/>
          <w:i w:val="0"/>
          <w:caps w:val="0"/>
          <w:color w:val="000000" w:themeColor="text1"/>
          <w:spacing w:val="0"/>
          <w:kern w:val="0"/>
          <w:sz w:val="32"/>
          <w:szCs w:val="32"/>
          <w:highlight w:val="none"/>
          <w:u w:val="none" w:color="auto"/>
          <w:shd w:val="clear" w:color="auto" w:fill="FFFFFF"/>
          <w:lang w:val="en-US" w:eastAsia="zh-CN" w:bidi="ar"/>
          <w14:textFill>
            <w14:solidFill>
              <w14:schemeClr w14:val="tx1"/>
            </w14:solidFill>
          </w14:textFill>
        </w:rPr>
        <w:t>加强“12366”一号对外与征纳互动对接，完善“办问一体”服务，持续提升征纳互动服务水平；深化整合税费服务场所，加快主城区办税缴费服务整合力度，进一步促进同城通办跨区域办事便利性。深入落实“税企面对面”常态化沟通交流机制，推动各级税务机关领导干部深入一线倾听企业诉求、助企纾困解难，完善伴随式、无感式服务质效监测机制，推动税费服务诉求解决机制延伸至县区局。拓展“高效办成一件事”成果，集中力量彻底解决一批办税缴费难点堵点问题，创新推广一批便民办税缴费措施，集成优化一批近年来探索推出的纳税人反映好、实施效果好的服务措施，为市场添活力。</w:t>
      </w:r>
    </w:p>
    <w:p>
      <w:pPr>
        <w:keepNext w:val="0"/>
        <w:keepLines w:val="0"/>
        <w:pageBreakBefore w:val="0"/>
        <w:widowControl/>
        <w:kinsoku/>
        <w:wordWrap/>
        <w:overflowPunct/>
        <w:topLinePunct w:val="0"/>
        <w:autoSpaceDE w:val="0"/>
        <w:autoSpaceDN w:val="0"/>
        <w:bidi w:val="0"/>
        <w:adjustRightInd w:val="0"/>
        <w:snapToGrid w:val="0"/>
        <w:spacing w:line="600" w:lineRule="exact"/>
        <w:ind w:firstLine="643" w:firstLineChars="200"/>
        <w:jc w:val="both"/>
        <w:textAlignment w:val="baseline"/>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六是聚焦信用管理，完善涉税专用服务监管。</w:t>
      </w:r>
      <w:r>
        <w:rPr>
          <w:rFonts w:hint="eastAsia" w:ascii="仿宋_GB2312" w:hAnsi="仿宋_GB2312" w:eastAsia="仿宋_GB2312" w:cs="仿宋_GB2312"/>
          <w:b w:val="0"/>
          <w:bCs w:val="0"/>
          <w:color w:val="000000" w:themeColor="text1"/>
          <w:sz w:val="32"/>
          <w:szCs w:val="32"/>
          <w:highlight w:val="none"/>
          <w:lang w:val="en-US" w:eastAsia="zh-CN"/>
          <w14:textFill>
            <w14:solidFill>
              <w14:schemeClr w14:val="tx1"/>
            </w14:solidFill>
          </w14:textFill>
        </w:rPr>
        <w:t>加强纳税信用年度评价、补评、复评工作管控，持续推动纳税信用修复工作，积极推动失分企业纳税信用修复支持力度，持续深化和规范“银税互动”，提高守信小微企业、个体工商户的融资便利性，不断提升纳税信用应用的经济效益和社会效益。</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探索建立涉税专业服务机构信用积分激励机制，强化信用评价结果分级分类运用，引导涉税专业服务行业诚信经营。健全完善涉税专业服务风险管理机制，设立涉税专业服务监管制度遵从、涉税委托代理等风险指标体系，依托信息化风险管理平台，开展常态化风险评估、应对处理，切实降低涉税专业服务风险。</w:t>
      </w:r>
    </w:p>
    <w:p>
      <w:pPr>
        <w:keepNext w:val="0"/>
        <w:keepLines w:val="0"/>
        <w:pageBreakBefore w:val="0"/>
        <w:widowControl/>
        <w:kinsoku/>
        <w:wordWrap/>
        <w:overflowPunct/>
        <w:topLinePunct w:val="0"/>
        <w:autoSpaceDE w:val="0"/>
        <w:autoSpaceDN w:val="0"/>
        <w:bidi w:val="0"/>
        <w:adjustRightInd w:val="0"/>
        <w:snapToGrid w:val="0"/>
        <w:spacing w:line="600" w:lineRule="exact"/>
        <w:ind w:firstLine="640" w:firstLineChars="200"/>
        <w:jc w:val="both"/>
        <w:textAlignment w:val="baseline"/>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p>
    <w:p>
      <w:pPr>
        <w:keepNext w:val="0"/>
        <w:keepLines w:val="0"/>
        <w:pageBreakBefore w:val="0"/>
        <w:widowControl/>
        <w:kinsoku/>
        <w:wordWrap/>
        <w:overflowPunct/>
        <w:topLinePunct w:val="0"/>
        <w:autoSpaceDE w:val="0"/>
        <w:autoSpaceDN w:val="0"/>
        <w:bidi w:val="0"/>
        <w:adjustRightInd w:val="0"/>
        <w:snapToGrid w:val="0"/>
        <w:spacing w:line="600" w:lineRule="exact"/>
        <w:ind w:firstLine="640" w:firstLineChars="200"/>
        <w:jc w:val="both"/>
        <w:textAlignment w:val="baseline"/>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p>
    <w:sectPr>
      <w:headerReference r:id="rId5" w:type="default"/>
      <w:footerReference r:id="rId6" w:type="default"/>
      <w:pgSz w:w="11900" w:h="16820"/>
      <w:pgMar w:top="1440" w:right="1800" w:bottom="1440" w:left="1800" w:header="0" w:footer="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3000509000000000000"/>
    <w:charset w:val="86"/>
    <w:family w:val="script"/>
    <w:pitch w:val="default"/>
    <w:sig w:usb0="00000000" w:usb1="0000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
      </w:rPr>
    </w:pPr>
  </w:p>
  <w:p>
    <w:pPr>
      <w:pStyle w:val="5"/>
      <w:spacing w:line="14" w:lineRule="auto"/>
      <w:rPr>
        <w:sz w:val="2"/>
      </w:rPr>
    </w:pPr>
    <w:r>
      <w:rPr>
        <w:sz w:val="2"/>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4112130"/>
    <w:multiLevelType w:val="singleLevel"/>
    <w:tmpl w:val="B4112130"/>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revisionView w:markup="0"/>
  <w:trackRevisions w:val="1"/>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14B02E8"/>
    <w:rsid w:val="00BB3C52"/>
    <w:rsid w:val="015139A6"/>
    <w:rsid w:val="01B67682"/>
    <w:rsid w:val="036F7B83"/>
    <w:rsid w:val="0433796C"/>
    <w:rsid w:val="05065A5E"/>
    <w:rsid w:val="05C13144"/>
    <w:rsid w:val="05F53CB7"/>
    <w:rsid w:val="061E2998"/>
    <w:rsid w:val="07A26AE6"/>
    <w:rsid w:val="07F6567E"/>
    <w:rsid w:val="080D0F04"/>
    <w:rsid w:val="08C900E2"/>
    <w:rsid w:val="08E5677E"/>
    <w:rsid w:val="09C52014"/>
    <w:rsid w:val="0B1C2D14"/>
    <w:rsid w:val="0B2D61AF"/>
    <w:rsid w:val="0BFE1368"/>
    <w:rsid w:val="0C23166C"/>
    <w:rsid w:val="0CDD57C1"/>
    <w:rsid w:val="0DC6611A"/>
    <w:rsid w:val="0E8771E7"/>
    <w:rsid w:val="0E8C0D73"/>
    <w:rsid w:val="0F583CAF"/>
    <w:rsid w:val="10202E0F"/>
    <w:rsid w:val="10986AC1"/>
    <w:rsid w:val="11255FC9"/>
    <w:rsid w:val="114B02E8"/>
    <w:rsid w:val="12F203C0"/>
    <w:rsid w:val="1317316D"/>
    <w:rsid w:val="14685743"/>
    <w:rsid w:val="14713FC3"/>
    <w:rsid w:val="14892DD2"/>
    <w:rsid w:val="16225010"/>
    <w:rsid w:val="16234966"/>
    <w:rsid w:val="18375BDF"/>
    <w:rsid w:val="190A784F"/>
    <w:rsid w:val="191B065D"/>
    <w:rsid w:val="1A511F05"/>
    <w:rsid w:val="1A623CC8"/>
    <w:rsid w:val="1A9E75CF"/>
    <w:rsid w:val="1AF4576B"/>
    <w:rsid w:val="1C8F1FE7"/>
    <w:rsid w:val="1CBC7950"/>
    <w:rsid w:val="1D2475BF"/>
    <w:rsid w:val="1FA44948"/>
    <w:rsid w:val="225661AC"/>
    <w:rsid w:val="22AD6DBC"/>
    <w:rsid w:val="237D501A"/>
    <w:rsid w:val="249A514E"/>
    <w:rsid w:val="250D7088"/>
    <w:rsid w:val="25143DF2"/>
    <w:rsid w:val="252C3ECB"/>
    <w:rsid w:val="25C170EB"/>
    <w:rsid w:val="25F02C8A"/>
    <w:rsid w:val="268F2E35"/>
    <w:rsid w:val="285159F5"/>
    <w:rsid w:val="287814F0"/>
    <w:rsid w:val="297865EA"/>
    <w:rsid w:val="2A387898"/>
    <w:rsid w:val="2BBE6E7C"/>
    <w:rsid w:val="2BBF34BC"/>
    <w:rsid w:val="2BD46A6A"/>
    <w:rsid w:val="2C137696"/>
    <w:rsid w:val="2D5B68D4"/>
    <w:rsid w:val="2E032E7D"/>
    <w:rsid w:val="2F797DEE"/>
    <w:rsid w:val="2F900A7E"/>
    <w:rsid w:val="32880B59"/>
    <w:rsid w:val="32E464FD"/>
    <w:rsid w:val="331158AB"/>
    <w:rsid w:val="33984182"/>
    <w:rsid w:val="35064CCB"/>
    <w:rsid w:val="35611C97"/>
    <w:rsid w:val="35CB196D"/>
    <w:rsid w:val="35E528D8"/>
    <w:rsid w:val="36E6327C"/>
    <w:rsid w:val="37154CA8"/>
    <w:rsid w:val="383F64D0"/>
    <w:rsid w:val="39A15A98"/>
    <w:rsid w:val="3B8B0DC6"/>
    <w:rsid w:val="3B95379E"/>
    <w:rsid w:val="3BF4069B"/>
    <w:rsid w:val="3D4118AA"/>
    <w:rsid w:val="405C2DF7"/>
    <w:rsid w:val="4080078F"/>
    <w:rsid w:val="40ED543D"/>
    <w:rsid w:val="4100014D"/>
    <w:rsid w:val="41484CEC"/>
    <w:rsid w:val="421556FB"/>
    <w:rsid w:val="42CA4E1E"/>
    <w:rsid w:val="448A60BF"/>
    <w:rsid w:val="44B63868"/>
    <w:rsid w:val="44BF42EC"/>
    <w:rsid w:val="45015AC6"/>
    <w:rsid w:val="45767321"/>
    <w:rsid w:val="45E4449F"/>
    <w:rsid w:val="462054D4"/>
    <w:rsid w:val="472E1E31"/>
    <w:rsid w:val="475C1996"/>
    <w:rsid w:val="47D803B3"/>
    <w:rsid w:val="48383E61"/>
    <w:rsid w:val="49107767"/>
    <w:rsid w:val="49272C0F"/>
    <w:rsid w:val="4A237D3F"/>
    <w:rsid w:val="4A9A09E9"/>
    <w:rsid w:val="4B02411E"/>
    <w:rsid w:val="4B4D1220"/>
    <w:rsid w:val="4CA106FA"/>
    <w:rsid w:val="4DDA25DE"/>
    <w:rsid w:val="4E7C1779"/>
    <w:rsid w:val="4EE167BC"/>
    <w:rsid w:val="4F0D046A"/>
    <w:rsid w:val="4F265C77"/>
    <w:rsid w:val="510B332E"/>
    <w:rsid w:val="51CD41AB"/>
    <w:rsid w:val="51DD5248"/>
    <w:rsid w:val="52BC4CC8"/>
    <w:rsid w:val="535145D1"/>
    <w:rsid w:val="53B97DC4"/>
    <w:rsid w:val="53DF22B2"/>
    <w:rsid w:val="54230403"/>
    <w:rsid w:val="547F115A"/>
    <w:rsid w:val="54D456A3"/>
    <w:rsid w:val="54E516C0"/>
    <w:rsid w:val="55C040A5"/>
    <w:rsid w:val="560C6208"/>
    <w:rsid w:val="56866825"/>
    <w:rsid w:val="56B2259B"/>
    <w:rsid w:val="57112F54"/>
    <w:rsid w:val="5AE97280"/>
    <w:rsid w:val="5BAF3291"/>
    <w:rsid w:val="5C4F4C33"/>
    <w:rsid w:val="5CEC2413"/>
    <w:rsid w:val="5DF06FF6"/>
    <w:rsid w:val="5F1B4A58"/>
    <w:rsid w:val="60AD011F"/>
    <w:rsid w:val="60AD1274"/>
    <w:rsid w:val="61EA7119"/>
    <w:rsid w:val="63935E7F"/>
    <w:rsid w:val="6545698F"/>
    <w:rsid w:val="65CF365D"/>
    <w:rsid w:val="65E038AA"/>
    <w:rsid w:val="66382176"/>
    <w:rsid w:val="6689699F"/>
    <w:rsid w:val="66B46D0D"/>
    <w:rsid w:val="68C11A59"/>
    <w:rsid w:val="694E3346"/>
    <w:rsid w:val="69671A69"/>
    <w:rsid w:val="69D2141E"/>
    <w:rsid w:val="6AB01BEF"/>
    <w:rsid w:val="70D22A5F"/>
    <w:rsid w:val="715A3855"/>
    <w:rsid w:val="716F791F"/>
    <w:rsid w:val="718A40BA"/>
    <w:rsid w:val="71CD3218"/>
    <w:rsid w:val="71F9229A"/>
    <w:rsid w:val="73D820F3"/>
    <w:rsid w:val="744E4930"/>
    <w:rsid w:val="74500CFA"/>
    <w:rsid w:val="74B32407"/>
    <w:rsid w:val="75D807AB"/>
    <w:rsid w:val="75E52370"/>
    <w:rsid w:val="761126AE"/>
    <w:rsid w:val="76DE6420"/>
    <w:rsid w:val="78C560ED"/>
    <w:rsid w:val="790302F6"/>
    <w:rsid w:val="7A5A71EA"/>
    <w:rsid w:val="7AFB2459"/>
    <w:rsid w:val="7BE740A4"/>
    <w:rsid w:val="7DED36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1"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4"/>
    <w:basedOn w:val="1"/>
    <w:next w:val="1"/>
    <w:qFormat/>
    <w:uiPriority w:val="0"/>
    <w:pPr>
      <w:widowControl/>
      <w:overflowPunct w:val="0"/>
      <w:autoSpaceDE w:val="0"/>
      <w:autoSpaceDN w:val="0"/>
      <w:adjustRightInd w:val="0"/>
      <w:ind w:firstLine="640" w:firstLineChars="200"/>
      <w:textAlignment w:val="baseline"/>
      <w:outlineLvl w:val="3"/>
    </w:pPr>
    <w:rPr>
      <w:rFonts w:ascii="仿宋_GB2312" w:hAnsi="宋体" w:eastAsia="仿宋_GB2312" w:cs="Times New Roman"/>
      <w:kern w:val="0"/>
      <w:sz w:val="32"/>
      <w:szCs w:val="32"/>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99"/>
    <w:pPr>
      <w:ind w:firstLine="420"/>
    </w:pPr>
  </w:style>
  <w:style w:type="paragraph" w:styleId="4">
    <w:name w:val="table of authorities"/>
    <w:basedOn w:val="1"/>
    <w:next w:val="1"/>
    <w:unhideWhenUsed/>
    <w:qFormat/>
    <w:uiPriority w:val="99"/>
    <w:pPr>
      <w:ind w:left="420" w:leftChars="200"/>
    </w:pPr>
  </w:style>
  <w:style w:type="paragraph" w:styleId="5">
    <w:name w:val="Body Text"/>
    <w:basedOn w:val="1"/>
    <w:next w:val="1"/>
    <w:semiHidden/>
    <w:qFormat/>
    <w:uiPriority w:val="0"/>
    <w:rPr>
      <w:rFonts w:ascii="Arial" w:hAnsi="Arial" w:eastAsia="Arial" w:cs="Arial"/>
      <w:sz w:val="21"/>
      <w:szCs w:val="21"/>
      <w:lang w:val="en-US" w:eastAsia="en-US" w:bidi="ar-SA"/>
    </w:rPr>
  </w:style>
  <w:style w:type="paragraph" w:styleId="6">
    <w:name w:val="Body Text Indent"/>
    <w:basedOn w:val="1"/>
    <w:next w:val="2"/>
    <w:semiHidden/>
    <w:qFormat/>
    <w:uiPriority w:val="99"/>
    <w:pPr>
      <w:spacing w:after="120"/>
      <w:ind w:left="420" w:leftChars="200"/>
    </w:pPr>
    <w:rPr>
      <w:rFonts w:ascii="Calibri" w:hAnsi="Calibri" w:eastAsia="仿宋" w:cs="Times New Roman"/>
      <w:b/>
      <w:szCs w:val="24"/>
    </w:rPr>
  </w:style>
  <w:style w:type="paragraph" w:styleId="7">
    <w:name w:val="Body Text Indent 2"/>
    <w:basedOn w:val="1"/>
    <w:unhideWhenUsed/>
    <w:qFormat/>
    <w:uiPriority w:val="1"/>
    <w:pPr>
      <w:ind w:firstLine="630"/>
    </w:pPr>
    <w:rPr>
      <w:rFonts w:eastAsia="仿宋_GB2312"/>
      <w:b/>
      <w:bCs/>
      <w:sz w:val="32"/>
    </w:rPr>
  </w:style>
  <w:style w:type="paragraph" w:styleId="8">
    <w:name w:val="footer"/>
    <w:basedOn w:val="1"/>
    <w:qFormat/>
    <w:uiPriority w:val="0"/>
    <w:pPr>
      <w:tabs>
        <w:tab w:val="center" w:pos="4153"/>
        <w:tab w:val="right" w:pos="8306"/>
      </w:tabs>
      <w:snapToGrid w:val="0"/>
      <w:jc w:val="left"/>
    </w:pPr>
    <w:rPr>
      <w:sz w:val="18"/>
    </w:rPr>
  </w:style>
  <w:style w:type="paragraph" w:styleId="9">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10">
    <w:name w:val="Title"/>
    <w:basedOn w:val="1"/>
    <w:next w:val="1"/>
    <w:qFormat/>
    <w:uiPriority w:val="0"/>
    <w:pPr>
      <w:spacing w:line="580" w:lineRule="exact"/>
      <w:jc w:val="center"/>
      <w:outlineLvl w:val="0"/>
    </w:pPr>
    <w:rPr>
      <w:rFonts w:ascii="Arial" w:hAnsi="Arial" w:eastAsia="方正小标宋_GBK"/>
      <w:b/>
      <w:spacing w:val="8"/>
      <w:sz w:val="44"/>
    </w:rPr>
  </w:style>
  <w:style w:type="character" w:styleId="13">
    <w:name w:val="Strong"/>
    <w:basedOn w:val="12"/>
    <w:qFormat/>
    <w:uiPriority w:val="0"/>
    <w:rPr>
      <w:b/>
    </w:rPr>
  </w:style>
  <w:style w:type="character" w:styleId="14">
    <w:name w:val="FollowedHyperlink"/>
    <w:basedOn w:val="12"/>
    <w:qFormat/>
    <w:uiPriority w:val="0"/>
    <w:rPr>
      <w:color w:val="333333"/>
      <w:u w:val="none"/>
    </w:rPr>
  </w:style>
  <w:style w:type="character" w:styleId="15">
    <w:name w:val="HTML Definition"/>
    <w:basedOn w:val="12"/>
    <w:qFormat/>
    <w:uiPriority w:val="0"/>
  </w:style>
  <w:style w:type="character" w:styleId="16">
    <w:name w:val="HTML Variable"/>
    <w:basedOn w:val="12"/>
    <w:qFormat/>
    <w:uiPriority w:val="0"/>
  </w:style>
  <w:style w:type="character" w:styleId="17">
    <w:name w:val="Hyperlink"/>
    <w:basedOn w:val="12"/>
    <w:qFormat/>
    <w:uiPriority w:val="0"/>
    <w:rPr>
      <w:color w:val="333333"/>
      <w:u w:val="none"/>
    </w:rPr>
  </w:style>
  <w:style w:type="character" w:styleId="18">
    <w:name w:val="HTML Code"/>
    <w:basedOn w:val="12"/>
    <w:qFormat/>
    <w:uiPriority w:val="0"/>
    <w:rPr>
      <w:rFonts w:ascii="Courier New" w:hAnsi="Courier New"/>
      <w:sz w:val="20"/>
    </w:rPr>
  </w:style>
  <w:style w:type="character" w:styleId="19">
    <w:name w:val="HTML Cite"/>
    <w:basedOn w:val="12"/>
    <w:qFormat/>
    <w:uiPriority w:val="0"/>
  </w:style>
  <w:style w:type="character" w:customStyle="1" w:styleId="20">
    <w:name w:val="llcs4"/>
    <w:basedOn w:val="12"/>
    <w:qFormat/>
    <w:uiPriority w:val="0"/>
    <w:rPr>
      <w:vanish/>
    </w:rPr>
  </w:style>
  <w:style w:type="character" w:customStyle="1" w:styleId="21">
    <w:name w:val="llcs_lm"/>
    <w:basedOn w:val="12"/>
    <w:qFormat/>
    <w:uiPriority w:val="0"/>
    <w:rPr>
      <w:vanish/>
    </w:rPr>
  </w:style>
  <w:style w:type="character" w:customStyle="1" w:styleId="22">
    <w:name w:val="txt"/>
    <w:basedOn w:val="12"/>
    <w:qFormat/>
    <w:uiPriority w:val="0"/>
    <w:rPr>
      <w:color w:val="F1F1F1"/>
    </w:rPr>
  </w:style>
  <w:style w:type="character" w:customStyle="1" w:styleId="23">
    <w:name w:val="txt1"/>
    <w:basedOn w:val="12"/>
    <w:qFormat/>
    <w:uiPriority w:val="0"/>
    <w:rPr>
      <w:color w:val="F1F1F1"/>
    </w:rPr>
  </w:style>
  <w:style w:type="character" w:customStyle="1" w:styleId="24">
    <w:name w:val="txtbg"/>
    <w:basedOn w:val="12"/>
    <w:qFormat/>
    <w:uiPriority w:val="0"/>
    <w:rPr>
      <w:shd w:val="clear" w:fill="000000"/>
    </w:rPr>
  </w:style>
  <w:style w:type="character" w:customStyle="1" w:styleId="25">
    <w:name w:val="txtbg1"/>
    <w:basedOn w:val="12"/>
    <w:qFormat/>
    <w:uiPriority w:val="0"/>
    <w:rPr>
      <w:shd w:val="clear" w:fill="000000"/>
    </w:rPr>
  </w:style>
  <w:style w:type="character" w:customStyle="1" w:styleId="26">
    <w:name w:val="sharebtn_m"/>
    <w:basedOn w:val="12"/>
    <w:qFormat/>
    <w:uiPriority w:val="0"/>
    <w:rPr>
      <w:vanish/>
    </w:rPr>
  </w:style>
  <w:style w:type="paragraph" w:customStyle="1" w:styleId="27">
    <w:name w:val="Normal Indent1"/>
    <w:qFormat/>
    <w:uiPriority w:val="99"/>
    <w:pPr>
      <w:spacing w:afterLines="50" w:line="360" w:lineRule="auto"/>
      <w:ind w:firstLine="420" w:firstLineChars="200"/>
    </w:pPr>
    <w:rPr>
      <w:rFonts w:ascii="Calibri" w:hAnsi="Calibri" w:eastAsia="宋体" w:cs="Calibri"/>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15</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2024-02-22T08:29:00Z</dcterms:created>
  <dc:creator>刘石生</dc:creator>
  <cp:lastModifiedBy>刘石生</cp:lastModifiedBy>
  <dcterms:modified xsi:type="dcterms:W3CDTF">2025-06-11T03:23:46Z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