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/>
        </w:rPr>
      </w:pPr>
    </w:p>
    <w:p>
      <w:pPr>
        <w:jc w:val="center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jc w:val="center"/>
        <w:rPr>
          <w:rFonts w:hint="eastAsia" w:ascii="楷体" w:hAnsi="楷体" w:eastAsia="楷体" w:cs="楷体"/>
          <w:b/>
          <w:color w:val="000000"/>
          <w:kern w:val="0"/>
          <w:sz w:val="44"/>
          <w:szCs w:val="44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val="en-US" w:eastAsia="zh-CN" w:bidi="ar"/>
        </w:rPr>
        <w:t>离线出口退税申报软件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bidi="ar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eastAsia="zh-CN" w:bidi="ar"/>
        </w:rPr>
        <w:t>横琴购买方退税</w:t>
      </w:r>
      <w:r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bidi="ar"/>
        </w:rPr>
        <w:t>操作指引</w:t>
      </w:r>
    </w:p>
    <w:p>
      <w:pPr>
        <w:jc w:val="center"/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eastAsia="zh-CN" w:bidi="ar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56"/>
          <w:szCs w:val="56"/>
          <w:lang w:eastAsia="zh-CN" w:bidi="ar"/>
        </w:rPr>
        <w:t>纳税人端</w:t>
      </w:r>
    </w:p>
    <w:p>
      <w:pPr>
        <w:numPr>
          <w:ilvl w:val="0"/>
          <w:numId w:val="0"/>
        </w:numPr>
        <w:bidi w:val="0"/>
        <w:rPr>
          <w:rFonts w:hint="eastAsia"/>
        </w:rPr>
      </w:pPr>
    </w:p>
    <w:p>
      <w:pPr>
        <w:numPr>
          <w:ilvl w:val="0"/>
          <w:numId w:val="0"/>
        </w:numPr>
        <w:bidi w:val="0"/>
        <w:rPr>
          <w:rFonts w:hint="eastAsia"/>
        </w:rPr>
      </w:pP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一、政策内容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-SA"/>
        </w:rPr>
        <w:t>内地经“二线”进入合作区的有关货物视同出口，实行增值税和消费税退税政策。</w:t>
      </w:r>
    </w:p>
    <w:p>
      <w:pPr>
        <w:pStyle w:val="6"/>
        <w:keepNext w:val="0"/>
        <w:keepLines w:val="0"/>
        <w:pageBreakBefore w:val="0"/>
        <w:widowControl/>
        <w:suppressLineNumbers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二、适用主体</w:t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-SA"/>
        </w:rPr>
        <w:t>区内购买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highlight w:val="none"/>
          <w:shd w:val="clear"/>
          <w:lang w:val="en-US" w:eastAsia="zh-CN" w:bidi="ar-SA"/>
        </w:rPr>
        <w:t>方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-SA"/>
        </w:rPr>
        <w:t>企业。</w:t>
      </w:r>
    </w:p>
    <w:p>
      <w:pPr>
        <w:numPr>
          <w:ilvl w:val="0"/>
          <w:numId w:val="0"/>
        </w:numPr>
        <w:bidi w:val="0"/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三、操作流程</w:t>
      </w:r>
      <w:bookmarkStart w:id="0" w:name="_GoBack"/>
      <w:bookmarkEnd w:id="0"/>
    </w:p>
    <w:p>
      <w:pPr>
        <w:numPr>
          <w:ilvl w:val="0"/>
          <w:numId w:val="0"/>
        </w:numPr>
        <w:bidi w:val="0"/>
        <w:ind w:leftChars="0"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（一）出口退（免）税备案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  <w:lang w:eastAsia="zh-CN"/>
        </w:rPr>
        <w:t>企业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应在首笔购进区外货物之日起30日内办理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出口退（免）税备案。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企业备案登记的内容发生变更的，需自变更之日起30日内办理备案变更。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企业需撤回备案的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应向主管税务机关申请办理撤回出口退（免）税备案手续，按规定结清退（免）税款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的，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主管税务机关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予以办理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申请注销税务登记的，应先向主管税务机关申请撤回出口退（免）税备案。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登录外贸企业离线出口退税申报软件后，点击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系统配置信息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,企业据实填写后点击“保存”，若填写信息有误，可点击“修改”进行更正。</w:t>
      </w:r>
    </w:p>
    <w:p>
      <w:pPr>
        <w:ind w:right="-113" w:rightChars="-54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383530" cy="2821305"/>
            <wp:effectExtent l="0" t="0" r="7620" b="171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基础数据采集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出口退（免）税备案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出口退（免）税备案管理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出口退（免）税备案申请表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，点击“增加”按钮，录入纳税人名称、纳税人识别号、企业类型、办税员信息、退税账户信息等内容。确认无误后点击“保存”。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384800" cy="2847340"/>
            <wp:effectExtent l="0" t="0" r="6350" b="10160"/>
            <wp:docPr id="3" name="图片 3" descr="横琴平潭购进货物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横琴平潭购进货物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lang w:val="en-US" w:eastAsia="zh-CN"/>
        </w:rPr>
        <w:t>纳税人附送资料栏填写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“横琴平潭购进货物”。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向导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备案申请向导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生成退（免）税备案申报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生成退（免）税备案申报数据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，在弹出方框里选择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出口退（免）税备案申报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，点击“确认”。</w:t>
      </w:r>
    </w:p>
    <w:p>
      <w:pPr>
        <w:pStyle w:val="2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drawing>
          <wp:inline distT="0" distB="0" distL="114300" distR="114300">
            <wp:extent cx="5392420" cy="2821305"/>
            <wp:effectExtent l="0" t="0" r="17780" b="1714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4.上一步后，会弹出方框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出口退（免）税备案申请表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，点击“确认”。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97" w:leftChars="-94" w:right="-113" w:rightChars="-54" w:firstLine="198" w:firstLineChars="62"/>
        <w:jc w:val="both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drawing>
          <wp:inline distT="0" distB="0" distL="114300" distR="114300">
            <wp:extent cx="5386705" cy="2926715"/>
            <wp:effectExtent l="0" t="0" r="4445" b="698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-113" w:rightChars="-54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5.上一步骤完成后，系统继续弹出方框【生成申报数据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，选择存放路径，点击“确定”。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20" w:leftChars="0" w:right="-113" w:rightChars="-54" w:hanging="220" w:hangingChars="69"/>
        <w:jc w:val="both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drawing>
          <wp:inline distT="0" distB="0" distL="114300" distR="114300">
            <wp:extent cx="5392420" cy="2795905"/>
            <wp:effectExtent l="0" t="0" r="17780" b="4445"/>
            <wp:docPr id="7" name="图片 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6.将下载的备案数据发给主管税局机关负责出口退税的税务人员，由税务人员根据提供的备案申报数据</w:t>
      </w:r>
      <w:r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  <w:lang w:val="en-US" w:eastAsia="zh-CN"/>
        </w:rPr>
        <w:t>受理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备案。</w:t>
      </w:r>
    </w:p>
    <w:p>
      <w:pPr>
        <w:pStyle w:val="3"/>
        <w:numPr>
          <w:ilvl w:val="0"/>
          <w:numId w:val="0"/>
        </w:numPr>
        <w:ind w:left="-19" w:leftChars="-9" w:firstLine="668" w:firstLineChars="209"/>
        <w:jc w:val="both"/>
        <w:outlineLvl w:val="0"/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eastAsia="zh-CN"/>
        </w:rPr>
        <w:t>（二）出口退（免）税申报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13" w:rightChars="-54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进入外贸企业离线出口退税申报软件，点击【基础数据采集】-【出口退（免）税申报】-【免退税申报】-【出口退税出口明细申报表】，点击“增加”按钮，录入报关单号、关联号、出口商品代码、出口数量、美元离岸价等内容，确认无误后点击“保存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13" w:rightChars="-54"/>
        <w:jc w:val="both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drawing>
          <wp:inline distT="0" distB="0" distL="114300" distR="114300">
            <wp:extent cx="5392420" cy="2604135"/>
            <wp:effectExtent l="0" t="0" r="17780" b="5715"/>
            <wp:docPr id="6" name="图片 6" descr="业务类型代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业务类型代码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3" w:firstLineChars="200"/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b/>
          <w:bCs/>
          <w:kern w:val="2"/>
          <w:sz w:val="32"/>
          <w:szCs w:val="32"/>
          <w:lang w:val="en-US" w:eastAsia="zh-CN" w:bidi="ar-SA"/>
        </w:rPr>
        <w:t>*横琴区内购买企业申报退税时，退（免）税业务类型代码选择“GHQYTS”，业务类型名称选择“横琴、平潭购进货物”，</w:t>
      </w:r>
      <w:r>
        <w:rPr>
          <w:rFonts w:hint="eastAsia" w:ascii="仿宋" w:hAnsi="仿宋" w:eastAsia="仿宋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“出口发票号”栏次填写供货企业海关代码，</w:t>
      </w:r>
      <w:r>
        <w:rPr>
          <w:rFonts w:hint="eastAsia" w:ascii="仿宋" w:hAnsi="仿宋" w:eastAsia="仿宋" w:cs="仿宋_GB2312"/>
          <w:b/>
          <w:bCs/>
          <w:kern w:val="2"/>
          <w:sz w:val="32"/>
          <w:szCs w:val="32"/>
          <w:lang w:val="en-US" w:eastAsia="zh-CN" w:bidi="ar-SA"/>
        </w:rPr>
        <w:t>“代理出口货物证明号”栏次填写</w:t>
      </w:r>
      <w:r>
        <w:rPr>
          <w:rFonts w:hint="eastAsia" w:ascii="仿宋" w:hAnsi="仿宋" w:eastAsia="仿宋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“核注清单号”。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13" w:rightChars="-54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【基础数据采集】-【出口退（免）税申报】-【免退税申报】-【出口退税进货明细申报表】，点击【增加】按钮，录入关联号、进货凭证号、供货方税号、出口商品代码、计税金额等内容，确认无误后点击“保存”。</w:t>
      </w:r>
    </w:p>
    <w:p>
      <w:pPr>
        <w:bidi w:val="0"/>
        <w:ind w:left="-193" w:leftChars="-92" w:right="-113" w:rightChars="-54" w:firstLine="19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83530" cy="2823845"/>
            <wp:effectExtent l="0" t="0" r="7620" b="14605"/>
            <wp:docPr id="9" name="图片 9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3.点击【生成申报数据】，下拉方框中选择【生成出口退（免）税申报数据】，点击“确认”。</w:t>
      </w:r>
    </w:p>
    <w:p>
      <w:p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94960" cy="2848610"/>
            <wp:effectExtent l="0" t="0" r="15240" b="8890"/>
            <wp:docPr id="10" name="图片 1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4.上一步骤后，会弹出方框【生成申报数据】，选择存放路径，点击“确定”。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drawing>
          <wp:inline distT="0" distB="0" distL="114300" distR="114300">
            <wp:extent cx="5383530" cy="2804160"/>
            <wp:effectExtent l="0" t="0" r="7620" b="15240"/>
            <wp:docPr id="11" name="图片 1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5.将下载的退（免）税申报数据发给主管税局机关负责出口退税的税务人员，由税务人员根据提供的退（免）税申报数据受理退（免）税申报。</w:t>
      </w:r>
    </w:p>
    <w:sectPr>
      <w:headerReference r:id="rId3" w:type="default"/>
      <w:footerReference r:id="rId4" w:type="default"/>
      <w:pgSz w:w="11906" w:h="16838"/>
      <w:pgMar w:top="1440" w:right="1800" w:bottom="1440" w:left="16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3B717B"/>
    <w:rsid w:val="0DDC68B0"/>
    <w:rsid w:val="17320702"/>
    <w:rsid w:val="19D02E42"/>
    <w:rsid w:val="19FC7D6A"/>
    <w:rsid w:val="1ED21604"/>
    <w:rsid w:val="2A5B5CEB"/>
    <w:rsid w:val="2CEF1A03"/>
    <w:rsid w:val="4BE436E1"/>
    <w:rsid w:val="552A686F"/>
    <w:rsid w:val="5B50760D"/>
    <w:rsid w:val="685D5A81"/>
    <w:rsid w:val="75E643A5"/>
    <w:rsid w:val="76D06EA5"/>
    <w:rsid w:val="77751431"/>
    <w:rsid w:val="77807AAA"/>
    <w:rsid w:val="783B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next w:val="1"/>
    <w:qFormat/>
    <w:uiPriority w:val="0"/>
    <w:pPr>
      <w:keepNext/>
      <w:keepLines/>
      <w:widowControl w:val="0"/>
      <w:spacing w:beforeLines="0" w:beforeAutospacing="0" w:afterLines="0" w:afterAutospacing="0" w:line="240" w:lineRule="auto"/>
      <w:jc w:val="both"/>
      <w:outlineLvl w:val="1"/>
    </w:pPr>
    <w:rPr>
      <w:rFonts w:ascii="Arial" w:hAnsi="Arial" w:eastAsia="黑体" w:cs="Times New Roman"/>
      <w:b/>
      <w:kern w:val="2"/>
      <w:sz w:val="28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qFormat/>
    <w:uiPriority w:val="0"/>
    <w:pPr>
      <w:spacing w:line="360" w:lineRule="auto"/>
      <w:ind w:firstLine="883" w:firstLineChars="200"/>
    </w:pPr>
    <w:rPr>
      <w:rFonts w:ascii="Songti SC" w:hAnsi="Songti SC" w:eastAsia="宋体" w:cs="Songti SC"/>
      <w:sz w:val="24"/>
      <w:szCs w:val="24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2024-02-29T10:13:00Z</dcterms:created>
  <dc:creator>王晗</dc:creator>
  <cp:lastModifiedBy>王程玉</cp:lastModifiedBy>
  <dcterms:modified xsi:type="dcterms:W3CDTF">2024-03-05T03:13:30Z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