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rPr>
          <w:rFonts w:hint="eastAsia" w:ascii="宋体" w:hAnsi="宋体" w:eastAsia="宋体" w:cs="Times New Roman"/>
          <w:b/>
          <w:bCs/>
          <w:kern w:val="0"/>
          <w:sz w:val="30"/>
          <w:szCs w:val="30"/>
          <w14:ligatures w14:val="none"/>
        </w:rPr>
      </w:pPr>
      <w:r>
        <w:rPr>
          <w:rFonts w:hint="eastAsia" w:ascii="宋体" w:hAnsi="宋体" w:eastAsia="宋体" w:cs="Times New Roman"/>
          <w:b/>
          <w:bCs/>
          <w:kern w:val="0"/>
          <w:sz w:val="30"/>
          <w:szCs w:val="30"/>
          <w14:ligatures w14:val="none"/>
        </w:rPr>
        <w:t xml:space="preserve">附件： </w:t>
      </w:r>
    </w:p>
    <w:p>
      <w:pPr>
        <w:widowControl/>
        <w:spacing w:line="480" w:lineRule="auto"/>
        <w:jc w:val="center"/>
        <w:rPr>
          <w:rFonts w:hint="eastAsia" w:ascii="宋体" w:hAnsi="宋体" w:eastAsia="宋体" w:cs="Times New Roman"/>
          <w:b/>
          <w:bCs/>
          <w:kern w:val="0"/>
          <w:sz w:val="30"/>
          <w:szCs w:val="30"/>
          <w14:ligatures w14:val="none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14:ligatures w14:val="none"/>
        </w:rPr>
        <w:t>存量房交易计税价格争议处理申请表</w:t>
      </w:r>
    </w:p>
    <w:bookmarkEnd w:id="0"/>
    <w:tbl>
      <w:tblPr>
        <w:tblStyle w:val="2"/>
        <w:tblW w:w="831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9"/>
        <w:gridCol w:w="1983"/>
        <w:gridCol w:w="668"/>
        <w:gridCol w:w="504"/>
        <w:gridCol w:w="989"/>
        <w:gridCol w:w="26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转让方</w:t>
            </w:r>
          </w:p>
        </w:tc>
        <w:tc>
          <w:tcPr>
            <w:tcW w:w="19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证件类型及号码</w:t>
            </w:r>
          </w:p>
        </w:tc>
        <w:tc>
          <w:tcPr>
            <w:tcW w:w="36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受让方</w:t>
            </w:r>
          </w:p>
        </w:tc>
        <w:tc>
          <w:tcPr>
            <w:tcW w:w="19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            </w:t>
            </w:r>
          </w:p>
        </w:tc>
        <w:tc>
          <w:tcPr>
            <w:tcW w:w="11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证件类型及号码</w:t>
            </w:r>
          </w:p>
        </w:tc>
        <w:tc>
          <w:tcPr>
            <w:tcW w:w="36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房屋坐落</w:t>
            </w:r>
          </w:p>
        </w:tc>
        <w:tc>
          <w:tcPr>
            <w:tcW w:w="67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签订合日期</w:t>
            </w:r>
          </w:p>
        </w:tc>
        <w:tc>
          <w:tcPr>
            <w:tcW w:w="2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ind w:left="1365" w:hanging="1365"/>
              <w:jc w:val="center"/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Verdana" w:hAnsi="Verdana" w:eastAsia="宋体" w:cs="Times New Roman"/>
                <w:kern w:val="0"/>
                <w:szCs w:val="21"/>
                <w14:ligatures w14:val="none"/>
              </w:rPr>
              <w:t>年   月   日</w:t>
            </w:r>
          </w:p>
        </w:tc>
        <w:tc>
          <w:tcPr>
            <w:tcW w:w="149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建筑面积</w:t>
            </w:r>
          </w:p>
        </w:tc>
        <w:tc>
          <w:tcPr>
            <w:tcW w:w="2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ind w:left="1575" w:hanging="157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合同成交单价</w:t>
            </w:r>
          </w:p>
        </w:tc>
        <w:tc>
          <w:tcPr>
            <w:tcW w:w="2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ind w:left="1365" w:hanging="136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</w:t>
            </w:r>
            <w:r>
              <w:rPr>
                <w:rFonts w:hint="eastAsia" w:ascii="Verdana" w:hAnsi="Verdana" w:eastAsia="宋体" w:cs="Times New Roman"/>
                <w:kern w:val="0"/>
                <w:szCs w:val="21"/>
                <w14:ligatures w14:val="none"/>
              </w:rPr>
              <w:t xml:space="preserve"> 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元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/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㎡</w:t>
            </w:r>
          </w:p>
        </w:tc>
        <w:tc>
          <w:tcPr>
            <w:tcW w:w="149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合同成交总价</w:t>
            </w:r>
          </w:p>
        </w:tc>
        <w:tc>
          <w:tcPr>
            <w:tcW w:w="2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ind w:left="1575" w:hanging="157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</w:t>
            </w:r>
            <w:r>
              <w:rPr>
                <w:rFonts w:hint="eastAsia" w:ascii="Verdana" w:hAnsi="Verdana" w:eastAsia="宋体" w:cs="Times New Roman"/>
                <w:kern w:val="0"/>
                <w:szCs w:val="21"/>
                <w14:ligatures w14:val="none"/>
              </w:rPr>
              <w:t xml:space="preserve"> 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核定计税单价</w:t>
            </w:r>
          </w:p>
        </w:tc>
        <w:tc>
          <w:tcPr>
            <w:tcW w:w="2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ind w:left="1277" w:hanging="73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元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/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㎡</w:t>
            </w:r>
          </w:p>
        </w:tc>
        <w:tc>
          <w:tcPr>
            <w:tcW w:w="149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核定计税总价</w:t>
            </w:r>
          </w:p>
        </w:tc>
        <w:tc>
          <w:tcPr>
            <w:tcW w:w="2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ind w:left="2310" w:hanging="1680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申请</w:t>
            </w:r>
          </w:p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理由</w:t>
            </w:r>
          </w:p>
        </w:tc>
        <w:tc>
          <w:tcPr>
            <w:tcW w:w="67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0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1" w:hRule="atLeast"/>
        </w:trPr>
        <w:tc>
          <w:tcPr>
            <w:tcW w:w="1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附列资料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清单</w:t>
            </w:r>
          </w:p>
        </w:tc>
        <w:tc>
          <w:tcPr>
            <w:tcW w:w="67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00" w:lineRule="atLeast"/>
              <w:jc w:val="left"/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8" w:hRule="atLeast"/>
        </w:trPr>
        <w:tc>
          <w:tcPr>
            <w:tcW w:w="831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00" w:lineRule="atLeast"/>
              <w:ind w:left="630" w:hanging="630"/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声明：此争议申请表填报的各项内容及提交的证明资料，本人确定它是真实、合法、有效的。因隐瞒真实情况或者提供虚假材料而引起的一切法律责任，均由本人承担。</w:t>
            </w:r>
          </w:p>
          <w:p>
            <w:pPr>
              <w:widowControl/>
              <w:spacing w:line="300" w:lineRule="atLeast"/>
              <w:ind w:left="630" w:hanging="630"/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</w:pPr>
          </w:p>
          <w:p>
            <w:pPr>
              <w:widowControl/>
              <w:spacing w:line="300" w:lineRule="atLeast"/>
              <w:ind w:left="630" w:hanging="630"/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</w:pPr>
          </w:p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转让方（签名）：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          </w:t>
            </w: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受让方（签名）：</w:t>
            </w:r>
          </w:p>
          <w:p>
            <w:pPr>
              <w:widowControl/>
              <w:spacing w:line="300" w:lineRule="atLeast"/>
              <w:ind w:firstLine="210" w:firstLineChars="100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联系电话：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            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联系电话：</w:t>
            </w:r>
          </w:p>
          <w:p>
            <w:pPr>
              <w:widowControl/>
              <w:spacing w:line="300" w:lineRule="atLeast"/>
              <w:ind w:firstLine="105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                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申请日期：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年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 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月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831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税务机关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eastAsia="zh-CN"/>
                <w14:ligatures w14:val="none"/>
              </w:rPr>
              <w:t>受理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意见：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</w:t>
            </w:r>
          </w:p>
          <w:p>
            <w:pPr>
              <w:widowControl/>
              <w:spacing w:line="300" w:lineRule="atLeast"/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</w:pPr>
          </w:p>
          <w:p>
            <w:pPr>
              <w:widowControl/>
              <w:spacing w:line="300" w:lineRule="atLeast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  <w:p>
            <w:pPr>
              <w:widowControl/>
              <w:spacing w:line="300" w:lineRule="atLeast"/>
              <w:rPr>
                <w:rFonts w:hint="eastAsia" w:ascii="Times New Roman" w:hAnsi="Times New Roman" w:eastAsia="宋体" w:cs="Times New Roman"/>
                <w:kern w:val="0"/>
                <w:szCs w:val="21"/>
                <w14:ligatures w14:val="none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                               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（税务机关签章）</w:t>
            </w:r>
          </w:p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                                      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日期：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年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月</w:t>
            </w:r>
            <w:r>
              <w:rPr>
                <w:rFonts w:ascii="Verdana" w:hAnsi="Verdana" w:eastAsia="宋体" w:cs="Times New Roman"/>
                <w:kern w:val="0"/>
                <w:szCs w:val="21"/>
                <w14:ligatures w14:val="none"/>
              </w:rPr>
              <w:t>    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日</w:t>
            </w:r>
          </w:p>
          <w:p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如申请不予受理，纳税人选择继续交易的，应按《中华人民共和国税收征收管理法》第八十八条的相关规定，先行缴纳税款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eastAsia="zh-CN"/>
                <w14:ligatures w14:val="none"/>
              </w:rPr>
              <w:t>及滞纳金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或者提供相应担保，在清缴税款或者所提供的担保得到受理申请的税务机关确认之日起60日内提出行政复议申请；对复议决定不服的，可以向人民法院提起行政诉讼。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D4E79"/>
    <w:rsid w:val="11E96E7D"/>
    <w:rsid w:val="4B7D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2024-07-18T07:47:00Z</dcterms:created>
  <dc:creator>俎忆南</dc:creator>
  <cp:lastModifiedBy>俎忆南</cp:lastModifiedBy>
  <dcterms:modified xsi:type="dcterms:W3CDTF">2024-08-02T07:19:03Z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