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spacing w:line="300" w:lineRule="exact"/>
        <w:rPr>
          <w:rFonts w:ascii="宋体" w:hAnsi="宋体"/>
          <w:szCs w:val="21"/>
        </w:rPr>
      </w:pPr>
      <w:bookmarkStart w:id="0" w:name="_GoBack"/>
      <w:bookmarkEnd w:id="0"/>
    </w:p>
    <w:p>
      <w:pPr>
        <w:pStyle w:val="13"/>
        <w:adjustRightInd/>
        <w:spacing w:before="0" w:line="600" w:lineRule="exact"/>
        <w:jc w:val="both"/>
        <w:outlineLvl w:val="1"/>
        <w:rPr>
          <w:rFonts w:ascii="Times New Roman" w:eastAsia="方正小标宋简体" w:cs="Times New Roman"/>
          <w:color w:val="auto"/>
          <w:sz w:val="44"/>
          <w:szCs w:val="44"/>
          <w:lang w:val="en-US"/>
        </w:rPr>
      </w:pPr>
      <w:r>
        <w:rPr>
          <w:rFonts w:ascii="Times New Roman" w:eastAsia="黑体" w:cs="Times New Roman"/>
          <w:color w:val="auto"/>
          <w:sz w:val="32"/>
          <w:szCs w:val="32"/>
          <w:lang w:val="en-US"/>
        </w:rPr>
        <w:t>附件</w:t>
      </w:r>
      <w:r>
        <w:rPr>
          <w:rFonts w:hint="eastAsia" w:ascii="Times New Roman" w:eastAsia="黑体" w:cs="Times New Roman"/>
          <w:color w:val="auto"/>
          <w:sz w:val="32"/>
          <w:szCs w:val="32"/>
          <w:lang w:val="en-US"/>
        </w:rPr>
        <w:t>4</w:t>
      </w:r>
    </w:p>
    <w:p>
      <w:pPr>
        <w:pStyle w:val="13"/>
        <w:adjustRightInd/>
        <w:spacing w:before="0" w:line="600" w:lineRule="exact"/>
        <w:jc w:val="both"/>
        <w:outlineLvl w:val="1"/>
        <w:rPr>
          <w:rFonts w:ascii="Times New Roman" w:eastAsia="方正小标宋简体" w:cs="Times New Roman"/>
          <w:color w:val="auto"/>
          <w:sz w:val="44"/>
          <w:szCs w:val="44"/>
          <w:lang w:val="en-US"/>
        </w:rPr>
      </w:pPr>
    </w:p>
    <w:p>
      <w:pPr>
        <w:pStyle w:val="13"/>
        <w:adjustRightInd/>
        <w:spacing w:before="0" w:line="600" w:lineRule="exact"/>
        <w:outlineLvl w:val="1"/>
        <w:rPr>
          <w:rFonts w:ascii="Times New Roman" w:eastAsia="方正小标宋简体" w:cs="Times New Roman"/>
          <w:color w:val="auto"/>
          <w:sz w:val="32"/>
          <w:szCs w:val="32"/>
        </w:rPr>
      </w:pPr>
      <w:r>
        <w:rPr>
          <w:rFonts w:hint="eastAsia" w:ascii="Times New Roman" w:eastAsia="方正小标宋简体" w:cs="Times New Roman"/>
          <w:color w:val="auto"/>
          <w:sz w:val="44"/>
          <w:szCs w:val="44"/>
          <w:lang w:val="en-US"/>
        </w:rPr>
        <w:t>港澳台居民一次性趸缴企业职工养老保险费办事指南</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一、事项名称</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一次性趸缴企业职工养老保险费</w:t>
      </w:r>
      <w:r>
        <w:rPr>
          <w:rFonts w:hint="eastAsia" w:ascii="仿宋_GB2312" w:hAnsi="仿宋_GB2312" w:eastAsia="仿宋_GB2312" w:cs="仿宋_GB2312"/>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办理</w:t>
      </w:r>
      <w:r>
        <w:rPr>
          <w:rFonts w:ascii="Times New Roman" w:hAnsi="Times New Roman" w:eastAsia="黑体" w:cs="Times New Roman"/>
          <w:sz w:val="32"/>
          <w:szCs w:val="32"/>
        </w:rPr>
        <w:t>对象</w:t>
      </w:r>
    </w:p>
    <w:p>
      <w:pPr>
        <w:snapToGrid w:val="0"/>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《社会保险法》实施前参保、延长缴费5年后仍不足15年的港澳台居民，可以一次性趸缴至满15年。</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三、设定依据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1.《中华人民共和国社会保险法》（</w:t>
      </w:r>
      <w:r>
        <w:rPr>
          <w:rFonts w:hint="eastAsia" w:ascii="Times New Roman" w:hAnsi="Times New Roman" w:eastAsia="仿宋_GB2312" w:cs="Times New Roman"/>
          <w:sz w:val="32"/>
          <w:szCs w:val="32"/>
        </w:rPr>
        <w:t>中华人民共和国</w:t>
      </w:r>
      <w:r>
        <w:rPr>
          <w:rFonts w:ascii="Times New Roman" w:hAnsi="Times New Roman" w:eastAsia="仿宋_GB2312" w:cs="Times New Roman"/>
          <w:sz w:val="32"/>
          <w:szCs w:val="32"/>
        </w:rPr>
        <w:t>主席令第35号）</w:t>
      </w:r>
      <w:r>
        <w:rPr>
          <w:rFonts w:hint="eastAsia"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2.《香港澳门台湾居民在内地（大陆）参加社会保险暂行办法》（人力资源和社会保障部、国家</w:t>
      </w:r>
      <w:r>
        <w:rPr>
          <w:rFonts w:hint="eastAsia" w:ascii="Times New Roman" w:hAnsi="Times New Roman" w:eastAsia="仿宋_GB2312" w:cs="Times New Roman"/>
          <w:sz w:val="32"/>
          <w:szCs w:val="32"/>
        </w:rPr>
        <w:t>医疗保障</w:t>
      </w:r>
      <w:r>
        <w:rPr>
          <w:rFonts w:ascii="Times New Roman" w:hAnsi="Times New Roman" w:eastAsia="仿宋_GB2312" w:cs="Times New Roman"/>
          <w:sz w:val="32"/>
          <w:szCs w:val="32"/>
        </w:rPr>
        <w:t>局令第41号）</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广东省人力资源和社会保障厅 中共广东省委组织部 广东省财政厅 国家税务总局广东省税务局关于进一步完善我省港澳台居民养老保险措施的意见》（粤人社规〔2019〕48号）</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4.《关于印发广东省社会保险费地税全责征收实施办法（暂行）的通知》（粤劳社函〔2008〕1789号）。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四、办理方式</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1.窗口办理：</w:t>
      </w:r>
      <w:r>
        <w:rPr>
          <w:rFonts w:hint="eastAsia" w:ascii="Times New Roman" w:hAnsi="Times New Roman" w:eastAsia="仿宋_GB2312" w:cs="仿宋_GB2312"/>
          <w:sz w:val="32"/>
          <w:szCs w:val="32"/>
        </w:rPr>
        <w:t>社会保险经办机构；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2.线上办理：广东省人力资源和社会保障厅网站、粤税通小程序。</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五、办理</w:t>
      </w:r>
      <w:r>
        <w:rPr>
          <w:rFonts w:hint="eastAsia" w:ascii="Times New Roman" w:hAnsi="Times New Roman" w:eastAsia="黑体" w:cs="Times New Roman"/>
          <w:sz w:val="32"/>
          <w:szCs w:val="32"/>
        </w:rPr>
        <w:t>材料</w:t>
      </w:r>
    </w:p>
    <w:p>
      <w:pPr>
        <w:pStyle w:val="4"/>
        <w:overflowPunct w:val="0"/>
        <w:autoSpaceDE w:val="0"/>
        <w:autoSpaceDN w:val="0"/>
        <w:adjustRightInd w:val="0"/>
        <w:spacing w:line="600" w:lineRule="exact"/>
        <w:ind w:firstLine="640" w:firstLineChars="200"/>
        <w:textAlignment w:val="baseline"/>
        <w:rPr>
          <w:rFonts w:ascii="Times New Roman" w:hAnsi="Times New Roman" w:eastAsia="仿宋_GB2312" w:cs="仿宋_GB2312"/>
          <w:sz w:val="32"/>
          <w:szCs w:val="32"/>
        </w:rPr>
      </w:pPr>
      <w:r>
        <w:rPr>
          <w:rFonts w:hint="eastAsia" w:ascii="Times New Roman" w:hAnsi="Times New Roman" w:eastAsia="仿宋_GB2312" w:cs="仿宋_GB2312"/>
          <w:sz w:val="32"/>
          <w:szCs w:val="32"/>
        </w:rPr>
        <w:t>1.港澳台居民有效证件（来往内地通行证或居住证）；</w:t>
      </w:r>
    </w:p>
    <w:p>
      <w:pPr>
        <w:pStyle w:val="4"/>
        <w:overflowPunct w:val="0"/>
        <w:autoSpaceDE w:val="0"/>
        <w:autoSpaceDN w:val="0"/>
        <w:adjustRightInd w:val="0"/>
        <w:spacing w:line="600" w:lineRule="exact"/>
        <w:ind w:firstLine="640" w:firstLineChars="200"/>
        <w:textAlignment w:val="baseline"/>
        <w:rPr>
          <w:rFonts w:ascii="Times New Roman" w:hAnsi="Times New Roman" w:eastAsia="仿宋_GB2312" w:cs="仿宋_GB2312"/>
          <w:sz w:val="32"/>
          <w:szCs w:val="32"/>
        </w:rPr>
      </w:pPr>
      <w:r>
        <w:rPr>
          <w:rFonts w:hint="eastAsia" w:ascii="Times New Roman" w:hAnsi="Times New Roman" w:eastAsia="仿宋_GB2312" w:cs="仿宋_GB2312"/>
          <w:sz w:val="32"/>
          <w:szCs w:val="32"/>
        </w:rPr>
        <w:t>2.《港澳台居民一次性趸缴企业职工养老保险费申请表》（见附表）。</w:t>
      </w:r>
    </w:p>
    <w:p>
      <w:pPr>
        <w:numPr>
          <w:ilvl w:val="255"/>
          <w:numId w:val="0"/>
        </w:num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六、窗口</w:t>
      </w:r>
      <w:r>
        <w:rPr>
          <w:rFonts w:ascii="Times New Roman" w:hAnsi="Times New Roman" w:eastAsia="黑体" w:cs="Times New Roman"/>
          <w:sz w:val="32"/>
          <w:szCs w:val="32"/>
        </w:rPr>
        <w:t>办理流程</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1.申请人</w:t>
      </w:r>
      <w:r>
        <w:rPr>
          <w:rFonts w:hint="eastAsia" w:ascii="仿宋_GB2312" w:hAnsi="仿宋_GB2312" w:eastAsia="仿宋_GB2312" w:cs="仿宋_GB2312"/>
          <w:sz w:val="32"/>
          <w:szCs w:val="32"/>
        </w:rPr>
        <w:t>到社会保险经办机构</w:t>
      </w:r>
      <w:r>
        <w:rPr>
          <w:rFonts w:hint="eastAsia" w:ascii="Times New Roman" w:hAnsi="Times New Roman" w:eastAsia="仿宋_GB2312" w:cs="仿宋_GB2312"/>
          <w:sz w:val="32"/>
          <w:szCs w:val="32"/>
        </w:rPr>
        <w:t>提交申请材料</w:t>
      </w:r>
      <w:r>
        <w:rPr>
          <w:rFonts w:hint="eastAsia" w:ascii="仿宋_GB2312" w:hAnsi="仿宋_GB2312" w:eastAsia="仿宋_GB2312" w:cs="仿宋_GB2312"/>
          <w:sz w:val="32"/>
          <w:szCs w:val="32"/>
        </w:rPr>
        <w:t>；</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仿宋_GB2312"/>
          <w:sz w:val="32"/>
          <w:szCs w:val="32"/>
        </w:rPr>
        <w:t>工作人员对材料是否符合办理条件进行审核，材料齐全、符合办理条件的一次性受理；提交材料不齐全或不符合办理条件的，一次性告知需补正的内容；</w:t>
      </w:r>
    </w:p>
    <w:p>
      <w:pPr>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3.</w:t>
      </w:r>
      <w:r>
        <w:rPr>
          <w:rFonts w:ascii="Times New Roman" w:hAnsi="Times New Roman" w:eastAsia="仿宋_GB2312" w:cs="仿宋_GB2312"/>
          <w:sz w:val="32"/>
          <w:szCs w:val="32"/>
        </w:rPr>
        <w:t>审核通过的</w:t>
      </w:r>
      <w:r>
        <w:rPr>
          <w:rFonts w:hint="eastAsia" w:ascii="Times New Roman" w:hAnsi="Times New Roman" w:eastAsia="仿宋_GB2312" w:cs="仿宋_GB2312"/>
          <w:sz w:val="32"/>
          <w:szCs w:val="32"/>
        </w:rPr>
        <w:t>，按规定办理缴费</w:t>
      </w:r>
      <w:r>
        <w:rPr>
          <w:rFonts w:hint="eastAsia" w:ascii="Times New Roman" w:hAnsi="Times New Roman" w:eastAsia="仿宋_GB2312" w:cs="Times New Roman"/>
          <w:sz w:val="32"/>
          <w:szCs w:val="32"/>
        </w:rPr>
        <w:t>。</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drawing>
          <wp:inline distT="0" distB="0" distL="114300" distR="114300">
            <wp:extent cx="5327015" cy="2119630"/>
            <wp:effectExtent l="0" t="0" r="6985" b="13970"/>
            <wp:docPr id="17" name="图片 17" descr="流程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流程图2"/>
                    <pic:cNvPicPr>
                      <a:picLocks noChangeAspect="1"/>
                    </pic:cNvPicPr>
                  </pic:nvPicPr>
                  <pic:blipFill>
                    <a:blip r:embed="rId5"/>
                    <a:stretch>
                      <a:fillRect/>
                    </a:stretch>
                  </pic:blipFill>
                  <pic:spPr>
                    <a:xfrm>
                      <a:off x="0" y="0"/>
                      <a:ext cx="5327015" cy="2119630"/>
                    </a:xfrm>
                    <a:prstGeom prst="rect">
                      <a:avLst/>
                    </a:prstGeom>
                  </pic:spPr>
                </pic:pic>
              </a:graphicData>
            </a:graphic>
          </wp:inline>
        </w:drawing>
      </w:r>
    </w:p>
    <w:p>
      <w:pPr>
        <w:overflowPunct w:val="0"/>
        <w:autoSpaceDE w:val="0"/>
        <w:autoSpaceDN w:val="0"/>
        <w:adjustRightInd w:val="0"/>
        <w:spacing w:line="600" w:lineRule="exact"/>
        <w:ind w:firstLine="640" w:firstLineChars="200"/>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七</w:t>
      </w:r>
      <w:r>
        <w:rPr>
          <w:rFonts w:hint="eastAsia" w:ascii="Times New Roman" w:hAnsi="Times New Roman" w:eastAsia="黑体" w:cs="Times New Roman"/>
          <w:sz w:val="32"/>
          <w:szCs w:val="32"/>
        </w:rPr>
        <w:t>、线上办理流程</w:t>
      </w:r>
    </w:p>
    <w:p>
      <w:pPr>
        <w:overflowPunct w:val="0"/>
        <w:autoSpaceDE w:val="0"/>
        <w:autoSpaceDN w:val="0"/>
        <w:adjustRightInd w:val="0"/>
        <w:spacing w:line="600" w:lineRule="exact"/>
        <w:ind w:firstLine="643" w:firstLineChars="200"/>
        <w:textAlignment w:val="baseline"/>
        <w:rPr>
          <w:rFonts w:ascii="楷体_GB2312" w:hAnsi="楷体_GB2312" w:eastAsia="楷体_GB2312" w:cs="楷体_GB2312"/>
          <w:b/>
          <w:bCs/>
          <w:sz w:val="32"/>
          <w:szCs w:val="32"/>
          <w:shd w:val="clear" w:color="auto" w:fill="FFFFFF"/>
        </w:rPr>
      </w:pPr>
      <w:r>
        <w:rPr>
          <w:rFonts w:hint="eastAsia" w:ascii="Times New Roman" w:hAnsi="Times New Roman" w:eastAsia="仿宋_GB2312" w:cs="仿宋_GB2312"/>
          <w:b/>
          <w:bCs/>
          <w:sz w:val="32"/>
          <w:szCs w:val="32"/>
        </w:rPr>
        <w:t>1.</w:t>
      </w:r>
      <w:r>
        <w:rPr>
          <w:rFonts w:hint="eastAsia" w:ascii="楷体_GB2312" w:hAnsi="楷体_GB2312" w:eastAsia="楷体_GB2312" w:cs="楷体_GB2312"/>
          <w:b/>
          <w:bCs/>
          <w:sz w:val="32"/>
          <w:szCs w:val="32"/>
          <w:shd w:val="clear" w:color="auto" w:fill="FFFFFF"/>
        </w:rPr>
        <w:t>申报流程</w:t>
      </w:r>
    </w:p>
    <w:p>
      <w:pPr>
        <w:overflowPunct w:val="0"/>
        <w:autoSpaceDE w:val="0"/>
        <w:autoSpaceDN w:val="0"/>
        <w:adjustRightInd w:val="0"/>
        <w:spacing w:line="60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登陆广东省人力资源和社会保障厅网站</w:t>
      </w:r>
      <w:r>
        <w:rPr>
          <w:rFonts w:hint="eastAsia" w:ascii="仿宋_GB2312" w:hAnsi="仿宋_GB2312" w:eastAsia="仿宋_GB2312" w:cs="仿宋_GB2312"/>
          <w:sz w:val="32"/>
          <w:szCs w:val="32"/>
          <w:shd w:val="clear" w:color="auto" w:fill="FFFFFF"/>
        </w:rPr>
        <w:t>，点击右侧【广东社保服务】办理。路径：</w:t>
      </w:r>
      <w:r>
        <w:rPr>
          <w:rFonts w:hint="eastAsia" w:ascii="仿宋_GB2312" w:hAnsi="仿宋_GB2312" w:eastAsia="仿宋_GB2312" w:cs="仿宋_GB2312"/>
          <w:sz w:val="32"/>
          <w:szCs w:val="32"/>
        </w:rPr>
        <w:t>社会保险费缴纳→一次性趸缴职工养老保险费申报；网址</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http://hrss.gd.gov.cn/</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w:t>
      </w:r>
    </w:p>
    <w:p>
      <w:pPr>
        <w:overflowPunct w:val="0"/>
        <w:autoSpaceDE w:val="0"/>
        <w:autoSpaceDN w:val="0"/>
        <w:adjustRightInd w:val="0"/>
        <w:spacing w:line="600" w:lineRule="exact"/>
        <w:ind w:firstLine="643" w:firstLineChars="200"/>
        <w:textAlignment w:val="baseline"/>
        <w:rPr>
          <w:rFonts w:ascii="楷体_GB2312" w:hAnsi="楷体_GB2312" w:eastAsia="楷体_GB2312" w:cs="楷体_GB2312"/>
          <w:b/>
          <w:bCs/>
          <w:sz w:val="32"/>
          <w:szCs w:val="32"/>
        </w:rPr>
      </w:pPr>
      <w:r>
        <w:rPr>
          <w:rFonts w:hint="eastAsia" w:ascii="Times New Roman" w:hAnsi="Times New Roman" w:eastAsia="仿宋_GB2312" w:cs="仿宋_GB2312"/>
          <w:b/>
          <w:bCs/>
          <w:sz w:val="32"/>
          <w:szCs w:val="32"/>
        </w:rPr>
        <w:t>2.</w:t>
      </w:r>
      <w:r>
        <w:rPr>
          <w:rFonts w:hint="eastAsia" w:ascii="楷体_GB2312" w:hAnsi="楷体_GB2312" w:eastAsia="楷体_GB2312" w:cs="楷体_GB2312"/>
          <w:b/>
          <w:bCs/>
          <w:sz w:val="32"/>
          <w:szCs w:val="32"/>
        </w:rPr>
        <w:t>缴费流程</w:t>
      </w:r>
    </w:p>
    <w:p>
      <w:pPr>
        <w:overflowPunct w:val="0"/>
        <w:autoSpaceDE w:val="0"/>
        <w:autoSpaceDN w:val="0"/>
        <w:adjustRightInd w:val="0"/>
        <w:spacing w:line="600" w:lineRule="exact"/>
        <w:ind w:firstLine="643" w:firstLineChars="200"/>
        <w:textAlignment w:val="baseline"/>
        <w:rPr>
          <w:rFonts w:ascii="楷体_GB2312" w:hAnsi="楷体_GB2312" w:eastAsia="仿宋_GB2312" w:cs="楷体_GB2312"/>
          <w:b/>
          <w:bCs/>
          <w:sz w:val="32"/>
          <w:szCs w:val="32"/>
        </w:rPr>
      </w:pPr>
      <w:r>
        <w:rPr>
          <w:rFonts w:hint="eastAsia" w:ascii="仿宋_GB2312" w:hAnsi="仿宋_GB2312" w:eastAsia="仿宋_GB2312" w:cs="仿宋_GB2312"/>
          <w:b/>
          <w:bCs/>
          <w:sz w:val="32"/>
          <w:szCs w:val="32"/>
        </w:rPr>
        <w:t>登录“粤税通”小程序</w:t>
      </w:r>
      <w:r>
        <w:rPr>
          <w:rFonts w:hint="eastAsia" w:ascii="仿宋_GB2312" w:hAnsi="仿宋_GB2312" w:eastAsia="仿宋_GB2312" w:cs="仿宋_GB2312"/>
          <w:sz w:val="32"/>
          <w:szCs w:val="32"/>
        </w:rPr>
        <w:t>办理，路径：全部功能→我的社保→托收单清缴。</w:t>
      </w:r>
    </w:p>
    <w:p>
      <w:pPr>
        <w:tabs>
          <w:tab w:val="left" w:pos="0"/>
          <w:tab w:val="left" w:pos="210"/>
        </w:tabs>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办理时限</w:t>
      </w:r>
    </w:p>
    <w:p>
      <w:pPr>
        <w:overflowPunct w:val="0"/>
        <w:autoSpaceDE w:val="0"/>
        <w:autoSpaceDN w:val="0"/>
        <w:adjustRightInd w:val="0"/>
        <w:spacing w:line="600" w:lineRule="exact"/>
        <w:ind w:firstLine="640" w:firstLineChars="200"/>
        <w:textAlignment w:val="baseline"/>
        <w:rPr>
          <w:rFonts w:ascii="Times New Roman" w:hAnsi="Times New Roman" w:eastAsia="黑体" w:cs="Times New Roman"/>
          <w:sz w:val="32"/>
          <w:szCs w:val="32"/>
        </w:rPr>
      </w:pPr>
      <w:r>
        <w:rPr>
          <w:rFonts w:ascii="Times New Roman" w:hAnsi="Times New Roman" w:eastAsia="仿宋_GB2312" w:cs="Times New Roman"/>
          <w:sz w:val="32"/>
          <w:szCs w:val="32"/>
        </w:rPr>
        <w:t>即时办结</w:t>
      </w:r>
      <w:r>
        <w:rPr>
          <w:rFonts w:hint="eastAsia" w:ascii="Times New Roman" w:hAnsi="Times New Roman" w:eastAsia="仿宋_GB2312" w:cs="Times New Roman"/>
          <w:sz w:val="32"/>
          <w:szCs w:val="32"/>
        </w:rPr>
        <w:t>。</w:t>
      </w:r>
    </w:p>
    <w:p>
      <w:pPr>
        <w:overflowPunct w:val="0"/>
        <w:autoSpaceDE w:val="0"/>
        <w:autoSpaceDN w:val="0"/>
        <w:adjustRightInd w:val="0"/>
        <w:spacing w:line="600" w:lineRule="exact"/>
        <w:ind w:firstLine="640" w:firstLineChars="2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九、收费项目信息</w:t>
      </w:r>
    </w:p>
    <w:p>
      <w:pPr>
        <w:overflowPunct w:val="0"/>
        <w:autoSpaceDE w:val="0"/>
        <w:autoSpaceDN w:val="0"/>
        <w:adjustRightInd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不收费。</w:t>
      </w:r>
    </w:p>
    <w:p>
      <w:pPr>
        <w:pStyle w:val="4"/>
        <w:widowControl/>
        <w:overflowPunct w:val="0"/>
        <w:autoSpaceDE w:val="0"/>
        <w:autoSpaceDN w:val="0"/>
        <w:adjustRightInd w:val="0"/>
        <w:spacing w:line="600" w:lineRule="exact"/>
        <w:ind w:firstLine="640" w:firstLineChars="2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十、咨询、监督投诉方式</w:t>
      </w:r>
    </w:p>
    <w:p>
      <w:pPr>
        <w:spacing w:line="400" w:lineRule="atLeas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纳税服务热线12366、</w:t>
      </w:r>
      <w:r>
        <w:rPr>
          <w:rFonts w:hint="eastAsia" w:eastAsia="仿宋_GB2312" w:cs="仿宋_GB2312"/>
          <w:sz w:val="32"/>
          <w:szCs w:val="32"/>
        </w:rPr>
        <w:t>社保</w:t>
      </w:r>
      <w:r>
        <w:rPr>
          <w:rFonts w:hint="eastAsia" w:ascii="Times New Roman" w:hAnsi="Times New Roman" w:eastAsia="仿宋_GB2312" w:cs="仿宋_GB2312"/>
          <w:sz w:val="32"/>
          <w:szCs w:val="32"/>
        </w:rPr>
        <w:t>服务热线12333</w:t>
      </w:r>
      <w:r>
        <w:rPr>
          <w:rFonts w:hint="eastAsia" w:ascii="Times New Roman" w:hAnsi="Times New Roman" w:eastAsia="仿宋_GB2312" w:cs="Times New Roman"/>
          <w:sz w:val="32"/>
          <w:szCs w:val="32"/>
        </w:rPr>
        <w:t>。</w:t>
      </w:r>
    </w:p>
    <w:p>
      <w:pPr>
        <w:spacing w:line="400" w:lineRule="atLeast"/>
        <w:jc w:val="left"/>
        <w:rPr>
          <w:rFonts w:ascii="Times New Roman" w:hAnsi="Times New Roman" w:eastAsia="仿宋_GB2312" w:cs="Times New Roman"/>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附表</w:t>
      </w:r>
    </w:p>
    <w:p>
      <w:pPr>
        <w:pStyle w:val="2"/>
        <w:jc w:val="center"/>
        <w:rPr>
          <w:w w:val="95"/>
          <w:sz w:val="36"/>
          <w:szCs w:val="36"/>
        </w:rPr>
      </w:pPr>
      <w:r>
        <w:rPr>
          <w:rFonts w:hint="eastAsia"/>
          <w:w w:val="95"/>
          <w:sz w:val="36"/>
          <w:szCs w:val="36"/>
        </w:rPr>
        <w:t>港澳台居民一次性趸缴企业职工养老保险费申请表</w:t>
      </w:r>
    </w:p>
    <w:tbl>
      <w:tblPr>
        <w:tblStyle w:val="10"/>
        <w:tblW w:w="9576" w:type="dxa"/>
        <w:jc w:val="center"/>
        <w:tblLayout w:type="fixed"/>
        <w:tblCellMar>
          <w:top w:w="0" w:type="dxa"/>
          <w:left w:w="108" w:type="dxa"/>
          <w:bottom w:w="0" w:type="dxa"/>
          <w:right w:w="108" w:type="dxa"/>
        </w:tblCellMar>
      </w:tblPr>
      <w:tblGrid>
        <w:gridCol w:w="1035"/>
        <w:gridCol w:w="1241"/>
        <w:gridCol w:w="381"/>
        <w:gridCol w:w="775"/>
        <w:gridCol w:w="1424"/>
        <w:gridCol w:w="2094"/>
        <w:gridCol w:w="2626"/>
      </w:tblGrid>
      <w:tr>
        <w:tblPrEx>
          <w:tblCellMar>
            <w:top w:w="0" w:type="dxa"/>
            <w:left w:w="108" w:type="dxa"/>
            <w:bottom w:w="0" w:type="dxa"/>
            <w:right w:w="108" w:type="dxa"/>
          </w:tblCellMar>
        </w:tblPrEx>
        <w:trPr>
          <w:trHeight w:val="1028"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cstheme="minorEastAsia"/>
                <w:kern w:val="0"/>
                <w:sz w:val="24"/>
              </w:rPr>
            </w:pPr>
            <w:r>
              <w:rPr>
                <w:rFonts w:hint="eastAsia" w:asciiTheme="minorEastAsia" w:hAnsiTheme="minorEastAsia" w:cstheme="minorEastAsia"/>
                <w:kern w:val="0"/>
                <w:sz w:val="24"/>
              </w:rPr>
              <w:t>姓 名</w:t>
            </w:r>
          </w:p>
        </w:tc>
        <w:tc>
          <w:tcPr>
            <w:tcW w:w="12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heme="minorEastAsia" w:hAnsiTheme="minorEastAsia" w:cstheme="minorEastAsia"/>
                <w:kern w:val="0"/>
                <w:sz w:val="24"/>
              </w:rPr>
            </w:pPr>
            <w:r>
              <w:rPr>
                <w:rFonts w:hint="eastAsia" w:asciiTheme="minorEastAsia" w:hAnsiTheme="minorEastAsia" w:cstheme="minorEastAsia"/>
                <w:kern w:val="0"/>
                <w:sz w:val="24"/>
              </w:rPr>
              <w:t>　</w:t>
            </w:r>
          </w:p>
        </w:tc>
        <w:tc>
          <w:tcPr>
            <w:tcW w:w="11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heme="minorEastAsia" w:hAnsiTheme="minorEastAsia" w:cstheme="minorEastAsia"/>
                <w:kern w:val="0"/>
                <w:sz w:val="24"/>
              </w:rPr>
            </w:pPr>
            <w:r>
              <w:rPr>
                <w:rFonts w:hint="eastAsia" w:asciiTheme="minorEastAsia" w:hAnsiTheme="minorEastAsia" w:cstheme="minorEastAsia"/>
                <w:kern w:val="0"/>
                <w:sz w:val="24"/>
              </w:rPr>
              <w:t>性  别</w:t>
            </w:r>
          </w:p>
        </w:tc>
        <w:tc>
          <w:tcPr>
            <w:tcW w:w="142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heme="minorEastAsia" w:hAnsiTheme="minorEastAsia" w:cstheme="minorEastAsia"/>
                <w:kern w:val="0"/>
                <w:sz w:val="24"/>
              </w:rPr>
            </w:pPr>
          </w:p>
        </w:tc>
        <w:tc>
          <w:tcPr>
            <w:tcW w:w="209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heme="minorEastAsia" w:hAnsiTheme="minorEastAsia" w:cstheme="minorEastAsia"/>
                <w:kern w:val="0"/>
                <w:sz w:val="24"/>
              </w:rPr>
            </w:pPr>
            <w:r>
              <w:rPr>
                <w:rFonts w:hint="eastAsia" w:asciiTheme="minorEastAsia" w:hAnsiTheme="minorEastAsia" w:cstheme="minorEastAsia"/>
                <w:kern w:val="0"/>
                <w:sz w:val="24"/>
              </w:rPr>
              <w:t>证件号码</w:t>
            </w:r>
          </w:p>
        </w:tc>
        <w:tc>
          <w:tcPr>
            <w:tcW w:w="26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heme="minorEastAsia" w:hAnsiTheme="minorEastAsia" w:cstheme="minorEastAsia"/>
                <w:kern w:val="0"/>
                <w:sz w:val="24"/>
              </w:rPr>
            </w:pPr>
          </w:p>
        </w:tc>
      </w:tr>
      <w:tr>
        <w:tblPrEx>
          <w:tblCellMar>
            <w:top w:w="0" w:type="dxa"/>
            <w:left w:w="108" w:type="dxa"/>
            <w:bottom w:w="0" w:type="dxa"/>
            <w:right w:w="108" w:type="dxa"/>
          </w:tblCellMar>
        </w:tblPrEx>
        <w:trPr>
          <w:trHeight w:val="1032"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4"/>
              </w:rPr>
            </w:pPr>
            <w:r>
              <w:rPr>
                <w:rFonts w:hint="eastAsia" w:asciiTheme="minorEastAsia" w:hAnsiTheme="minorEastAsia" w:cstheme="minorEastAsia"/>
                <w:kern w:val="0"/>
                <w:sz w:val="24"/>
              </w:rPr>
              <w:t>出 生年 月</w:t>
            </w:r>
          </w:p>
        </w:tc>
        <w:tc>
          <w:tcPr>
            <w:tcW w:w="3821" w:type="dxa"/>
            <w:gridSpan w:val="4"/>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4"/>
              </w:rPr>
            </w:pPr>
          </w:p>
        </w:tc>
        <w:tc>
          <w:tcPr>
            <w:tcW w:w="2094" w:type="dxa"/>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24"/>
              </w:rPr>
            </w:pPr>
            <w:r>
              <w:rPr>
                <w:rFonts w:hint="eastAsia" w:asciiTheme="minorEastAsia" w:hAnsiTheme="minorEastAsia" w:cstheme="minorEastAsia"/>
                <w:kern w:val="0"/>
                <w:sz w:val="24"/>
              </w:rPr>
              <w:t>手机号码</w:t>
            </w:r>
          </w:p>
        </w:tc>
        <w:tc>
          <w:tcPr>
            <w:tcW w:w="2626" w:type="dxa"/>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24"/>
              </w:rPr>
            </w:pPr>
          </w:p>
        </w:tc>
      </w:tr>
      <w:tr>
        <w:tblPrEx>
          <w:tblCellMar>
            <w:top w:w="0" w:type="dxa"/>
            <w:left w:w="108" w:type="dxa"/>
            <w:bottom w:w="0" w:type="dxa"/>
            <w:right w:w="108" w:type="dxa"/>
          </w:tblCellMar>
        </w:tblPrEx>
        <w:trPr>
          <w:trHeight w:val="982" w:hRule="atLeast"/>
          <w:jc w:val="center"/>
        </w:trPr>
        <w:tc>
          <w:tcPr>
            <w:tcW w:w="1035" w:type="dxa"/>
            <w:tcBorders>
              <w:top w:val="single" w:color="auto" w:sz="4" w:space="0"/>
              <w:left w:val="single" w:color="auto" w:sz="4" w:space="0"/>
              <w:bottom w:val="nil"/>
              <w:right w:val="single" w:color="auto" w:sz="4" w:space="0"/>
            </w:tcBorders>
            <w:vAlign w:val="center"/>
          </w:tcPr>
          <w:p>
            <w:pPr>
              <w:widowControl/>
              <w:jc w:val="center"/>
              <w:rPr>
                <w:rFonts w:asciiTheme="minorEastAsia" w:hAnsiTheme="minorEastAsia" w:cstheme="minorEastAsia"/>
                <w:kern w:val="0"/>
                <w:sz w:val="24"/>
              </w:rPr>
            </w:pPr>
            <w:r>
              <w:rPr>
                <w:rFonts w:hint="eastAsia" w:asciiTheme="minorEastAsia" w:hAnsiTheme="minorEastAsia" w:cstheme="minorEastAsia"/>
                <w:kern w:val="0"/>
                <w:sz w:val="24"/>
              </w:rPr>
              <w:t>户  籍</w:t>
            </w:r>
          </w:p>
          <w:p>
            <w:pPr>
              <w:widowControl/>
              <w:jc w:val="center"/>
              <w:rPr>
                <w:rFonts w:asciiTheme="minorEastAsia" w:hAnsiTheme="minorEastAsia" w:cstheme="minorEastAsia"/>
                <w:kern w:val="0"/>
                <w:sz w:val="24"/>
              </w:rPr>
            </w:pPr>
            <w:r>
              <w:rPr>
                <w:rFonts w:hint="eastAsia" w:asciiTheme="minorEastAsia" w:hAnsiTheme="minorEastAsia" w:cstheme="minorEastAsia"/>
                <w:kern w:val="0"/>
                <w:sz w:val="24"/>
              </w:rPr>
              <w:t>类  型</w:t>
            </w:r>
          </w:p>
        </w:tc>
        <w:tc>
          <w:tcPr>
            <w:tcW w:w="3821" w:type="dxa"/>
            <w:gridSpan w:val="4"/>
            <w:tcBorders>
              <w:top w:val="single" w:color="auto" w:sz="4" w:space="0"/>
              <w:left w:val="nil"/>
              <w:bottom w:val="nil"/>
              <w:right w:val="single" w:color="auto" w:sz="4" w:space="0"/>
            </w:tcBorders>
            <w:vAlign w:val="center"/>
          </w:tcPr>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港澳台居民</w:t>
            </w:r>
          </w:p>
        </w:tc>
        <w:tc>
          <w:tcPr>
            <w:tcW w:w="2094" w:type="dxa"/>
            <w:tcBorders>
              <w:top w:val="single" w:color="auto" w:sz="4" w:space="0"/>
              <w:left w:val="nil"/>
              <w:bottom w:val="nil"/>
              <w:right w:val="single" w:color="auto" w:sz="4" w:space="0"/>
            </w:tcBorders>
            <w:vAlign w:val="center"/>
          </w:tcPr>
          <w:p>
            <w:pPr>
              <w:widowControl/>
              <w:jc w:val="center"/>
              <w:rPr>
                <w:rFonts w:asciiTheme="minorEastAsia" w:hAnsiTheme="minorEastAsia" w:cstheme="minorEastAsia"/>
                <w:kern w:val="0"/>
                <w:sz w:val="24"/>
              </w:rPr>
            </w:pPr>
            <w:r>
              <w:rPr>
                <w:rFonts w:hint="eastAsia" w:asciiTheme="minorEastAsia" w:hAnsiTheme="minorEastAsia" w:cstheme="minorEastAsia"/>
                <w:kern w:val="0"/>
                <w:sz w:val="24"/>
              </w:rPr>
              <w:t>最后参保地</w:t>
            </w:r>
          </w:p>
        </w:tc>
        <w:tc>
          <w:tcPr>
            <w:tcW w:w="2626" w:type="dxa"/>
            <w:tcBorders>
              <w:top w:val="single" w:color="auto" w:sz="4" w:space="0"/>
              <w:left w:val="nil"/>
              <w:bottom w:val="nil"/>
              <w:right w:val="single" w:color="auto" w:sz="4" w:space="0"/>
            </w:tcBorders>
            <w:vAlign w:val="center"/>
          </w:tcPr>
          <w:p>
            <w:pPr>
              <w:widowControl/>
              <w:jc w:val="left"/>
              <w:rPr>
                <w:rFonts w:asciiTheme="minorEastAsia" w:hAnsiTheme="minorEastAsia" w:cstheme="minorEastAsia"/>
                <w:kern w:val="0"/>
                <w:sz w:val="24"/>
              </w:rPr>
            </w:pPr>
          </w:p>
        </w:tc>
      </w:tr>
      <w:tr>
        <w:tblPrEx>
          <w:tblCellMar>
            <w:top w:w="0" w:type="dxa"/>
            <w:left w:w="108" w:type="dxa"/>
            <w:bottom w:w="0" w:type="dxa"/>
            <w:right w:w="108" w:type="dxa"/>
          </w:tblCellMar>
        </w:tblPrEx>
        <w:trPr>
          <w:trHeight w:val="2086"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参加企业职工基本养老保险情况</w:t>
            </w:r>
          </w:p>
        </w:tc>
        <w:tc>
          <w:tcPr>
            <w:tcW w:w="8541" w:type="dxa"/>
            <w:gridSpan w:val="6"/>
            <w:tcBorders>
              <w:top w:val="single" w:color="auto" w:sz="4" w:space="0"/>
              <w:left w:val="nil"/>
              <w:bottom w:val="nil"/>
              <w:right w:val="single" w:color="auto" w:sz="4" w:space="0"/>
            </w:tcBorders>
            <w:vAlign w:val="center"/>
          </w:tcPr>
          <w:p>
            <w:pPr>
              <w:widowControl/>
              <w:jc w:val="left"/>
              <w:rPr>
                <w:rFonts w:asciiTheme="minorEastAsia" w:hAnsiTheme="minorEastAsia" w:cstheme="minorEastAsia"/>
                <w:kern w:val="0"/>
                <w:sz w:val="24"/>
              </w:rPr>
            </w:pPr>
          </w:p>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 xml:space="preserve">□从未参保             </w:t>
            </w:r>
          </w:p>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□已在广东省      市      县（区）参保</w:t>
            </w:r>
          </w:p>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□已在    省      市      县（区）参保</w:t>
            </w:r>
          </w:p>
          <w:p>
            <w:pPr>
              <w:widowControl/>
              <w:jc w:val="left"/>
              <w:rPr>
                <w:rFonts w:asciiTheme="minorEastAsia" w:hAnsiTheme="minorEastAsia" w:cstheme="minorEastAsia"/>
              </w:rPr>
            </w:pPr>
          </w:p>
          <w:p>
            <w:pPr>
              <w:widowControl/>
              <w:jc w:val="left"/>
              <w:rPr>
                <w:rFonts w:asciiTheme="minorEastAsia" w:hAnsiTheme="minorEastAsia" w:cstheme="minorEastAsia"/>
              </w:rPr>
            </w:pPr>
          </w:p>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 xml:space="preserve"> </w:t>
            </w:r>
          </w:p>
        </w:tc>
      </w:tr>
      <w:tr>
        <w:tblPrEx>
          <w:tblCellMar>
            <w:top w:w="0" w:type="dxa"/>
            <w:left w:w="108" w:type="dxa"/>
            <w:bottom w:w="0" w:type="dxa"/>
            <w:right w:w="108" w:type="dxa"/>
          </w:tblCellMar>
        </w:tblPrEx>
        <w:trPr>
          <w:trHeight w:val="965" w:hRule="atLeast"/>
          <w:jc w:val="center"/>
        </w:trPr>
        <w:tc>
          <w:tcPr>
            <w:tcW w:w="265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4"/>
              </w:rPr>
            </w:pPr>
            <w:r>
              <w:rPr>
                <w:rFonts w:hint="eastAsia" w:asciiTheme="minorEastAsia" w:hAnsiTheme="minorEastAsia" w:cstheme="minorEastAsia"/>
                <w:kern w:val="0"/>
                <w:sz w:val="24"/>
              </w:rPr>
              <w:t>趸缴起止时间</w:t>
            </w:r>
          </w:p>
        </w:tc>
        <w:tc>
          <w:tcPr>
            <w:tcW w:w="6919" w:type="dxa"/>
            <w:gridSpan w:val="4"/>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　</w:t>
            </w:r>
          </w:p>
        </w:tc>
      </w:tr>
      <w:tr>
        <w:tblPrEx>
          <w:tblCellMar>
            <w:top w:w="0" w:type="dxa"/>
            <w:left w:w="108" w:type="dxa"/>
            <w:bottom w:w="0" w:type="dxa"/>
            <w:right w:w="108" w:type="dxa"/>
          </w:tblCellMar>
        </w:tblPrEx>
        <w:trPr>
          <w:trHeight w:val="2733" w:hRule="atLeast"/>
          <w:jc w:val="center"/>
        </w:trPr>
        <w:tc>
          <w:tcPr>
            <w:tcW w:w="9576" w:type="dxa"/>
            <w:gridSpan w:val="7"/>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Theme="minorEastAsia" w:hAnsiTheme="minorEastAsia" w:cstheme="minorEastAsia"/>
                <w:kern w:val="0"/>
                <w:sz w:val="24"/>
              </w:rPr>
            </w:pPr>
          </w:p>
          <w:p>
            <w:pPr>
              <w:widowControl/>
              <w:spacing w:line="360" w:lineRule="auto"/>
              <w:ind w:firstLine="720" w:firstLineChars="300"/>
              <w:jc w:val="left"/>
              <w:rPr>
                <w:rFonts w:asciiTheme="minorEastAsia" w:hAnsiTheme="minorEastAsia" w:cstheme="minorEastAsia"/>
                <w:kern w:val="0"/>
                <w:sz w:val="24"/>
              </w:rPr>
            </w:pPr>
            <w:r>
              <w:rPr>
                <w:rFonts w:hint="eastAsia" w:asciiTheme="minorEastAsia" w:hAnsiTheme="minorEastAsia" w:cstheme="minorEastAsia"/>
                <w:kern w:val="0"/>
                <w:sz w:val="24"/>
              </w:rPr>
              <w:t>以上填写内容真实无误，如有虚假愿承担法律责任。</w:t>
            </w:r>
          </w:p>
          <w:p>
            <w:pPr>
              <w:widowControl/>
              <w:ind w:firstLine="720" w:firstLineChars="300"/>
              <w:jc w:val="left"/>
              <w:rPr>
                <w:rFonts w:asciiTheme="minorEastAsia" w:hAnsiTheme="minorEastAsia" w:cstheme="minorEastAsia"/>
                <w:kern w:val="0"/>
                <w:sz w:val="24"/>
              </w:rPr>
            </w:pPr>
          </w:p>
          <w:p>
            <w:pPr>
              <w:widowControl/>
              <w:ind w:firstLine="720" w:firstLineChars="300"/>
              <w:jc w:val="left"/>
              <w:rPr>
                <w:rFonts w:asciiTheme="minorEastAsia" w:hAnsiTheme="minorEastAsia" w:cstheme="minorEastAsia"/>
                <w:kern w:val="0"/>
                <w:sz w:val="24"/>
              </w:rPr>
            </w:pPr>
          </w:p>
          <w:p>
            <w:pPr>
              <w:widowControl/>
              <w:ind w:firstLine="720" w:firstLineChars="300"/>
              <w:jc w:val="left"/>
              <w:rPr>
                <w:rFonts w:asciiTheme="minorEastAsia" w:hAnsiTheme="minorEastAsia" w:cstheme="minorEastAsia"/>
                <w:kern w:val="0"/>
                <w:sz w:val="20"/>
              </w:rPr>
            </w:pPr>
            <w:r>
              <w:rPr>
                <w:rFonts w:hint="eastAsia" w:asciiTheme="minorEastAsia" w:hAnsiTheme="minorEastAsia" w:cstheme="minorEastAsia"/>
                <w:kern w:val="0"/>
                <w:sz w:val="24"/>
              </w:rPr>
              <w:t>申请人签名：                                    年     月     日</w:t>
            </w:r>
            <w:r>
              <w:rPr>
                <w:rFonts w:hint="eastAsia" w:asciiTheme="minorEastAsia" w:hAnsiTheme="minorEastAsia" w:cstheme="minorEastAsia"/>
                <w:kern w:val="0"/>
                <w:sz w:val="20"/>
              </w:rPr>
              <w:t xml:space="preserve">  </w:t>
            </w:r>
          </w:p>
        </w:tc>
      </w:tr>
    </w:tbl>
    <w:p>
      <w:pPr>
        <w:rPr>
          <w:rFonts w:asciiTheme="minorEastAsia" w:hAnsiTheme="minorEastAsia" w:cstheme="minorEastAsia"/>
        </w:rPr>
      </w:pPr>
    </w:p>
    <w:p>
      <w:pPr>
        <w:jc w:val="left"/>
        <w:rPr>
          <w:rFonts w:ascii="Times New Roman" w:hAnsi="Times New Roman" w:eastAsia="仿宋_GB2312" w:cs="Times New Roman"/>
          <w:sz w:val="32"/>
          <w:szCs w:val="32"/>
        </w:rPr>
      </w:pPr>
      <w:r>
        <w:rPr>
          <w:rFonts w:hint="eastAsia" w:asciiTheme="minorEastAsia" w:hAnsiTheme="minorEastAsia" w:cstheme="minorEastAsia"/>
        </w:rPr>
        <w:t xml:space="preserve">说明：一次性趸缴的本人月缴费工资基数，可在申请时所在地级以上市企业职工基本养老保险的缴费工资基数上下限范围内，由本人自行申报。   </w:t>
      </w:r>
      <w:r>
        <w:rPr>
          <w:rFonts w:hint="eastAsia" w:asciiTheme="minorEastAsia" w:hAnsiTheme="minorEastAsia" w:cstheme="minorEastAsia"/>
          <w:szCs w:val="21"/>
        </w:rPr>
        <w:t xml:space="preserve">  </w:t>
      </w:r>
      <w:r>
        <w:rPr>
          <w:rFonts w:hint="eastAsia" w:asciiTheme="minorEastAsia" w:hAnsiTheme="minorEastAsia" w:cstheme="minorEastAsia"/>
        </w:rPr>
        <w:t xml:space="preserve">                                </w:t>
      </w:r>
      <w:r>
        <w:rPr>
          <w:rFonts w:hint="eastAsia"/>
        </w:rPr>
        <w:t xml:space="preserve">      </w:t>
      </w:r>
    </w:p>
    <w:sectPr>
      <w:footerReference r:id="rId3" w:type="default"/>
      <w:pgSz w:w="11906" w:h="16838"/>
      <w:pgMar w:top="1644" w:right="1417" w:bottom="1644" w:left="1417"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方正舒体"/>
    <w:panose1 w:val="00000000000000000000"/>
    <w:charset w:val="86"/>
    <w:family w:val="auto"/>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方正大标宋_GBK">
    <w:altName w:val="宋体"/>
    <w:panose1 w:val="00000000000000000000"/>
    <w:charset w:val="86"/>
    <w:family w:val="script"/>
    <w:pitch w:val="default"/>
    <w:sig w:usb0="00000000" w:usb1="00000000" w:usb2="00000010"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7"/>
                  <w:rPr>
                    <w:rFonts w:ascii="Times New Roman" w:hAnsi="Times New Roman" w:eastAsia="宋体"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9F53252"/>
    <w:rsid w:val="0009464D"/>
    <w:rsid w:val="00261340"/>
    <w:rsid w:val="003A551E"/>
    <w:rsid w:val="006F6AFC"/>
    <w:rsid w:val="007438F2"/>
    <w:rsid w:val="009D3865"/>
    <w:rsid w:val="00AA2D77"/>
    <w:rsid w:val="00BE1DEB"/>
    <w:rsid w:val="00E556C1"/>
    <w:rsid w:val="00E643C5"/>
    <w:rsid w:val="00F73DF9"/>
    <w:rsid w:val="00FB1767"/>
    <w:rsid w:val="02B630B3"/>
    <w:rsid w:val="02CC6532"/>
    <w:rsid w:val="069E0048"/>
    <w:rsid w:val="06B86F21"/>
    <w:rsid w:val="0828748E"/>
    <w:rsid w:val="084060F2"/>
    <w:rsid w:val="08E84036"/>
    <w:rsid w:val="09266BC3"/>
    <w:rsid w:val="0AFB28E6"/>
    <w:rsid w:val="0B0C2AC0"/>
    <w:rsid w:val="0B377EFF"/>
    <w:rsid w:val="0B9E34A5"/>
    <w:rsid w:val="0BCD1228"/>
    <w:rsid w:val="0C775440"/>
    <w:rsid w:val="0D2F362A"/>
    <w:rsid w:val="0DF05EC9"/>
    <w:rsid w:val="0F5876A9"/>
    <w:rsid w:val="0F7156E7"/>
    <w:rsid w:val="0F880588"/>
    <w:rsid w:val="10BE6314"/>
    <w:rsid w:val="11663B0B"/>
    <w:rsid w:val="11856543"/>
    <w:rsid w:val="11A065A4"/>
    <w:rsid w:val="11DB61D4"/>
    <w:rsid w:val="14934177"/>
    <w:rsid w:val="175C4D6E"/>
    <w:rsid w:val="186D4C5E"/>
    <w:rsid w:val="19B5451C"/>
    <w:rsid w:val="1C7119D8"/>
    <w:rsid w:val="1C7C332C"/>
    <w:rsid w:val="1D727C26"/>
    <w:rsid w:val="1F2674FA"/>
    <w:rsid w:val="1FB7772A"/>
    <w:rsid w:val="224E3C4E"/>
    <w:rsid w:val="249117D6"/>
    <w:rsid w:val="25C74DA9"/>
    <w:rsid w:val="26C75FBA"/>
    <w:rsid w:val="26E717BD"/>
    <w:rsid w:val="27855AC2"/>
    <w:rsid w:val="2860346F"/>
    <w:rsid w:val="28A82400"/>
    <w:rsid w:val="28D91AA0"/>
    <w:rsid w:val="28DF2AE8"/>
    <w:rsid w:val="29BE0093"/>
    <w:rsid w:val="2AA6241F"/>
    <w:rsid w:val="2C8600B9"/>
    <w:rsid w:val="2F0A3FEF"/>
    <w:rsid w:val="30EA055D"/>
    <w:rsid w:val="310F5C2F"/>
    <w:rsid w:val="31963A16"/>
    <w:rsid w:val="33441B33"/>
    <w:rsid w:val="3449477D"/>
    <w:rsid w:val="354A0303"/>
    <w:rsid w:val="35DD203B"/>
    <w:rsid w:val="365B0969"/>
    <w:rsid w:val="366D6EBC"/>
    <w:rsid w:val="368C1711"/>
    <w:rsid w:val="370B0CE3"/>
    <w:rsid w:val="371D62E2"/>
    <w:rsid w:val="383A33E1"/>
    <w:rsid w:val="38BB7DA3"/>
    <w:rsid w:val="3979088E"/>
    <w:rsid w:val="39F5224F"/>
    <w:rsid w:val="3A194E8E"/>
    <w:rsid w:val="3CD41847"/>
    <w:rsid w:val="3E550364"/>
    <w:rsid w:val="3EA24E32"/>
    <w:rsid w:val="3F2B2BC0"/>
    <w:rsid w:val="3FDF77F7"/>
    <w:rsid w:val="407B1513"/>
    <w:rsid w:val="414318FA"/>
    <w:rsid w:val="42110AF4"/>
    <w:rsid w:val="45292851"/>
    <w:rsid w:val="45AF26F9"/>
    <w:rsid w:val="46653B5A"/>
    <w:rsid w:val="47157547"/>
    <w:rsid w:val="47201B62"/>
    <w:rsid w:val="48813A17"/>
    <w:rsid w:val="491D2830"/>
    <w:rsid w:val="49B25576"/>
    <w:rsid w:val="49F53252"/>
    <w:rsid w:val="4CAF7877"/>
    <w:rsid w:val="4DE95488"/>
    <w:rsid w:val="4E451D59"/>
    <w:rsid w:val="4F810633"/>
    <w:rsid w:val="4FA54B79"/>
    <w:rsid w:val="503C70BD"/>
    <w:rsid w:val="51146745"/>
    <w:rsid w:val="511C160B"/>
    <w:rsid w:val="513B3AA6"/>
    <w:rsid w:val="51445E29"/>
    <w:rsid w:val="519269B9"/>
    <w:rsid w:val="51BC5CAB"/>
    <w:rsid w:val="52073B72"/>
    <w:rsid w:val="53AC03DB"/>
    <w:rsid w:val="54EE2F68"/>
    <w:rsid w:val="56BA03D1"/>
    <w:rsid w:val="59164A7C"/>
    <w:rsid w:val="591B76D7"/>
    <w:rsid w:val="59C44C06"/>
    <w:rsid w:val="59E52883"/>
    <w:rsid w:val="5A903A33"/>
    <w:rsid w:val="5B773774"/>
    <w:rsid w:val="5D4318E6"/>
    <w:rsid w:val="5E681824"/>
    <w:rsid w:val="5FEB6FC6"/>
    <w:rsid w:val="62FA4BEB"/>
    <w:rsid w:val="63594DA8"/>
    <w:rsid w:val="63E13DF8"/>
    <w:rsid w:val="63F8149C"/>
    <w:rsid w:val="64810904"/>
    <w:rsid w:val="65B7276D"/>
    <w:rsid w:val="660E5A19"/>
    <w:rsid w:val="66145B93"/>
    <w:rsid w:val="66596E9D"/>
    <w:rsid w:val="666F4A43"/>
    <w:rsid w:val="671165AB"/>
    <w:rsid w:val="674B4934"/>
    <w:rsid w:val="68C05458"/>
    <w:rsid w:val="68F64044"/>
    <w:rsid w:val="6B965C0A"/>
    <w:rsid w:val="6BEA182D"/>
    <w:rsid w:val="6C445D62"/>
    <w:rsid w:val="6F79785D"/>
    <w:rsid w:val="6FD7116D"/>
    <w:rsid w:val="70933302"/>
    <w:rsid w:val="70D14C0D"/>
    <w:rsid w:val="7203765A"/>
    <w:rsid w:val="72DE30FA"/>
    <w:rsid w:val="72FA02A3"/>
    <w:rsid w:val="735F1930"/>
    <w:rsid w:val="760A5CA8"/>
    <w:rsid w:val="76C87E9A"/>
    <w:rsid w:val="78066937"/>
    <w:rsid w:val="787B6F47"/>
    <w:rsid w:val="78C26842"/>
    <w:rsid w:val="79952631"/>
    <w:rsid w:val="7AF05995"/>
    <w:rsid w:val="7C4E1DDA"/>
    <w:rsid w:val="7D4F2708"/>
    <w:rsid w:val="7F8B39B6"/>
    <w:rsid w:val="7FB758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宋体" w:hAnsi="宋体" w:eastAsia="创艺简标宋"/>
      <w:kern w:val="44"/>
      <w:sz w:val="44"/>
    </w:rPr>
  </w:style>
  <w:style w:type="paragraph" w:styleId="3">
    <w:name w:val="heading 2"/>
    <w:basedOn w:val="1"/>
    <w:next w:val="1"/>
    <w:qFormat/>
    <w:uiPriority w:val="0"/>
    <w:pPr>
      <w:keepNext/>
      <w:keepLines/>
      <w:ind w:firstLine="880" w:firstLineChars="200"/>
      <w:outlineLvl w:val="1"/>
    </w:pPr>
    <w:rPr>
      <w:rFonts w:ascii="楷体_GB2312" w:hAnsi="楷体_GB2312" w:eastAsia="楷体_GB2312" w:cs="楷体_GB2312"/>
      <w:b/>
    </w:rPr>
  </w:style>
  <w:style w:type="character" w:default="1" w:styleId="11">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Body Text"/>
    <w:basedOn w:val="1"/>
    <w:qFormat/>
    <w:uiPriority w:val="0"/>
    <w:rPr>
      <w:rFonts w:ascii="仿宋_GB2312" w:eastAsia="方正细圆简体"/>
      <w:sz w:val="30"/>
    </w:rPr>
  </w:style>
  <w:style w:type="paragraph" w:styleId="5">
    <w:name w:val="Block Text"/>
    <w:basedOn w:val="1"/>
    <w:qFormat/>
    <w:uiPriority w:val="0"/>
    <w:pPr>
      <w:ind w:left="1440" w:leftChars="700" w:right="700" w:rightChars="700"/>
    </w:pPr>
  </w:style>
  <w:style w:type="paragraph" w:styleId="6">
    <w:name w:val="Balloon Text"/>
    <w:basedOn w:val="1"/>
    <w:link w:val="2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qFormat/>
    <w:uiPriority w:val="0"/>
    <w:pPr>
      <w:snapToGrid w:val="0"/>
      <w:jc w:val="left"/>
    </w:pPr>
    <w:rPr>
      <w:sz w:val="18"/>
    </w:rPr>
  </w:style>
  <w:style w:type="character" w:styleId="12">
    <w:name w:val="footnote reference"/>
    <w:basedOn w:val="11"/>
    <w:qFormat/>
    <w:uiPriority w:val="0"/>
    <w:rPr>
      <w:vertAlign w:val="superscript"/>
    </w:rPr>
  </w:style>
  <w:style w:type="paragraph" w:customStyle="1" w:styleId="13">
    <w:name w:val="1.开头标题 (标题)"/>
    <w:qFormat/>
    <w:uiPriority w:val="99"/>
    <w:pPr>
      <w:widowControl w:val="0"/>
      <w:autoSpaceDE w:val="0"/>
      <w:autoSpaceDN w:val="0"/>
      <w:adjustRightInd w:val="0"/>
      <w:spacing w:before="227" w:line="640" w:lineRule="atLeast"/>
      <w:jc w:val="center"/>
      <w:textAlignment w:val="center"/>
    </w:pPr>
    <w:rPr>
      <w:rFonts w:ascii="方正大标宋_GBK" w:hAnsi="Times New Roman" w:eastAsia="方正大标宋_GBK" w:cs="方正大标宋_GBK"/>
      <w:color w:val="000000"/>
      <w:sz w:val="28"/>
      <w:szCs w:val="28"/>
      <w:lang w:val="zh-CN" w:eastAsia="zh-CN" w:bidi="ar-SA"/>
    </w:rPr>
  </w:style>
  <w:style w:type="paragraph" w:customStyle="1" w:styleId="14">
    <w:name w:val="列出段落1"/>
    <w:basedOn w:val="1"/>
    <w:qFormat/>
    <w:uiPriority w:val="99"/>
    <w:pPr>
      <w:widowControl/>
      <w:overflowPunct w:val="0"/>
      <w:autoSpaceDE w:val="0"/>
      <w:autoSpaceDN w:val="0"/>
      <w:adjustRightInd w:val="0"/>
      <w:ind w:firstLine="420" w:firstLineChars="200"/>
      <w:textAlignment w:val="baseline"/>
    </w:pPr>
    <w:rPr>
      <w:rFonts w:ascii="Times New Roman" w:hAnsi="Times New Roman" w:cs="Times New Roman"/>
      <w:kern w:val="0"/>
    </w:rPr>
  </w:style>
  <w:style w:type="paragraph" w:customStyle="1" w:styleId="15">
    <w:name w:val="样式1"/>
    <w:basedOn w:val="1"/>
    <w:next w:val="5"/>
    <w:qFormat/>
    <w:uiPriority w:val="0"/>
    <w:rPr>
      <w:rFonts w:hint="eastAsia"/>
    </w:rPr>
  </w:style>
  <w:style w:type="character" w:customStyle="1" w:styleId="16">
    <w:name w:val="题目 Char Char"/>
    <w:link w:val="17"/>
    <w:qFormat/>
    <w:uiPriority w:val="0"/>
    <w:rPr>
      <w:rFonts w:ascii="创艺简标宋" w:hAnsi="创艺简标宋" w:eastAsia="创艺简标宋" w:cs="方正小标宋简体"/>
      <w:sz w:val="44"/>
      <w:szCs w:val="36"/>
    </w:rPr>
  </w:style>
  <w:style w:type="paragraph" w:customStyle="1" w:styleId="17">
    <w:name w:val="题目"/>
    <w:basedOn w:val="1"/>
    <w:link w:val="16"/>
    <w:qFormat/>
    <w:uiPriority w:val="0"/>
    <w:pPr>
      <w:spacing w:line="720" w:lineRule="exact"/>
      <w:jc w:val="center"/>
    </w:pPr>
    <w:rPr>
      <w:rFonts w:ascii="创艺简标宋" w:hAnsi="创艺简标宋" w:eastAsia="创艺简标宋" w:cs="方正小标宋简体"/>
      <w:sz w:val="44"/>
      <w:szCs w:val="36"/>
    </w:rPr>
  </w:style>
  <w:style w:type="character" w:customStyle="1" w:styleId="18">
    <w:name w:val="font11"/>
    <w:basedOn w:val="11"/>
    <w:qFormat/>
    <w:uiPriority w:val="0"/>
    <w:rPr>
      <w:rFonts w:hint="eastAsia" w:ascii="宋体" w:hAnsi="宋体" w:eastAsia="宋体" w:cs="宋体"/>
      <w:color w:val="000000"/>
      <w:sz w:val="22"/>
      <w:szCs w:val="22"/>
      <w:u w:val="none"/>
    </w:rPr>
  </w:style>
  <w:style w:type="character" w:customStyle="1" w:styleId="19">
    <w:name w:val="font01"/>
    <w:basedOn w:val="11"/>
    <w:qFormat/>
    <w:uiPriority w:val="0"/>
    <w:rPr>
      <w:rFonts w:hint="eastAsia" w:ascii="宋体" w:hAnsi="宋体" w:eastAsia="宋体" w:cs="宋体"/>
      <w:color w:val="FF0000"/>
      <w:sz w:val="22"/>
      <w:szCs w:val="22"/>
      <w:u w:val="none"/>
    </w:rPr>
  </w:style>
  <w:style w:type="character" w:customStyle="1" w:styleId="20">
    <w:name w:val="批注框文本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省社会保险基金管理局</Company>
  <Pages>1</Pages>
  <Words>1196</Words>
  <Characters>6823</Characters>
  <Lines>56</Lines>
  <Paragraphs>16</Paragraphs>
  <TotalTime>2</TotalTime>
  <ScaleCrop>false</ScaleCrop>
  <LinksUpToDate>false</LinksUpToDate>
  <CharactersWithSpaces>8003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2021-07-20T04:03:00Z</dcterms:created>
  <dc:creator>邵雪媚</dc:creator>
  <cp:lastModifiedBy>黎妙娟</cp:lastModifiedBy>
  <cp:lastPrinted>2021-09-06T09:50:00Z</cp:lastPrinted>
  <dcterms:modified xsi:type="dcterms:W3CDTF">2021-09-22T03:41:10Z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close">
    <vt:lpwstr>true</vt:lpwstr>
  </property>
  <property fmtid="{D5CDD505-2E9C-101B-9397-08002B2CF9AE}" pid="4" name="showFlag">
    <vt:bool>true</vt:bool>
  </property>
</Properties>
</file>