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21"/>
          <w:szCs w:val="21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21"/>
          <w:szCs w:val="21"/>
          <w:highlight w:val="none"/>
          <w:u w:val="none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44"/>
          <w:szCs w:val="44"/>
          <w:highlight w:val="none"/>
          <w:u w:val="none"/>
          <w:lang w:val="en-US" w:eastAsia="zh-CN" w:bidi="ar"/>
        </w:rPr>
        <w:t>致家长一封信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360" w:lineRule="auto"/>
        <w:ind w:firstLine="2880" w:firstLineChars="1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24"/>
          <w:szCs w:val="24"/>
          <w:highlight w:val="none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/>
          <w:b w:val="0"/>
          <w:i w:val="0"/>
          <w:caps w:val="0"/>
          <w:color w:val="000000"/>
          <w:spacing w:val="0"/>
          <w:w w:val="100"/>
          <w:sz w:val="24"/>
          <w:szCs w:val="24"/>
          <w:highlight w:val="none"/>
          <w:lang w:val="en-US" w:eastAsia="zh-CN"/>
        </w:rPr>
        <w:t>中小学校、幼儿园版</w:t>
      </w:r>
      <w:r>
        <w:rPr>
          <w:rFonts w:hint="default" w:ascii="Times New Roman" w:hAnsi="Times New Roman" w:eastAsia="仿宋_GB2312" w:cs="Times New Roman"/>
          <w:b w:val="0"/>
          <w:i w:val="0"/>
          <w:color w:val="000000"/>
          <w:kern w:val="2"/>
          <w:sz w:val="24"/>
          <w:szCs w:val="24"/>
          <w:highlight w:val="none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尊敬的家长：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您好！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年度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我市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城乡居民基本医疗保险（以下简称城乡居民医保）参保缴费工作已经开始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。为了确保您的孩子能够正常享受医保待遇，友情提醒您及时给您的孩子参保缴费。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、缴费时间和标准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 w:firstLineChars="200"/>
        <w:jc w:val="left"/>
        <w:textAlignment w:val="baseline"/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2022年城乡居民医保在校学</w:t>
      </w:r>
      <w:r>
        <w:rPr>
          <w:rFonts w:hint="eastAsia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生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个人缴费标准为320元。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480" w:firstLineChars="200"/>
        <w:jc w:val="left"/>
        <w:textAlignment w:val="baseline"/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缴费时间为2021年9月1日-12月31日。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2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highlight w:val="none"/>
          <w:lang w:val="en-US" w:eastAsia="zh-CN"/>
        </w:rPr>
        <w:t>二、缴费方式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您可以利用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“粤税通”“粤省事”小程序</w:t>
      </w:r>
      <w:r>
        <w:rPr>
          <w:rFonts w:hint="eastAsia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，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智能APP</w:t>
      </w:r>
      <w:r>
        <w:rPr>
          <w:rFonts w:hint="default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以及金融机构提供的线上渠道缴费，也可到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邮储、农商行</w:t>
      </w:r>
      <w:r>
        <w:rPr>
          <w:rFonts w:hint="eastAsia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、建行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等</w:t>
      </w:r>
      <w:r>
        <w:rPr>
          <w:rFonts w:hint="default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柜台或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税务大</w:t>
      </w:r>
      <w:r>
        <w:rPr>
          <w:rFonts w:hint="default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厅</w:t>
      </w:r>
      <w:r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前台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缴费。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1538605" cy="1548130"/>
            <wp:effectExtent l="0" t="0" r="635" b="6350"/>
            <wp:docPr id="18" name="图片 6" descr="粤税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 descr="粤税通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1524000" cy="1524000"/>
            <wp:effectExtent l="0" t="0" r="0" b="0"/>
            <wp:docPr id="19" name="图片 7" descr="粤省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粤省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2" w:firstLineChars="20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highlight w:val="none"/>
          <w:lang w:val="en-US" w:eastAsia="zh-CN"/>
        </w:rPr>
        <w:t>三</w:t>
      </w:r>
      <w:r>
        <w:rPr>
          <w:rFonts w:hint="default" w:ascii="黑体" w:hAnsi="黑体" w:eastAsia="黑体" w:cs="黑体"/>
          <w:b/>
          <w:bCs/>
          <w:color w:val="000000"/>
          <w:sz w:val="24"/>
          <w:szCs w:val="24"/>
          <w:highlight w:val="none"/>
          <w:lang w:val="en-US" w:eastAsia="zh-CN"/>
        </w:rPr>
        <w:t>、待遇享受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（一）享受时间：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年1月1日至202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年12月31日。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2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（二）门诊待遇。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普通门诊需到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选定的一家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定点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基层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医疗机构就诊，无起付线，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支付比例为50%，最高支付限额每人每年150元，不能结转下年度使用。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（三）特门待遇。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目前我市纳入基本医疗保险特定病种门诊的病种56种，统筹基金每季度（或年度）最高支付限额标准实行当季度（或年度）有效、不滚存、不累计。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住院待遇。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一级及以下、二级、三级定点医疗机构住院发生的合规医疗费用，起付线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分别为200元/次、600元/次、1000元/次，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报销比例分别为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%、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%、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%。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）异地就医。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市外就医起付标准为市内同级医院的120%。按规定转诊到指定转诊市外定点医疗机构就医的，报销比例比市内同级定点医疗机构降低10个百分点，未按规定转诊到市外定点医疗机构（异地自主选择就医），报销比例比市内同级定点医疗机构降低30个百分点。参保人可以选择“粤省事”“粤医保”</w:t>
      </w:r>
      <w:r>
        <w:rPr>
          <w:rFonts w:hint="eastAsia" w:eastAsia="仿宋_GB2312" w:cs="Times New Roman"/>
          <w:color w:val="000000"/>
          <w:sz w:val="24"/>
          <w:szCs w:val="24"/>
          <w:highlight w:val="none"/>
          <w:lang w:val="en-US" w:eastAsia="zh-CN"/>
        </w:rPr>
        <w:t>小程序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和国家医保服务APP进行异地就医备案。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（六）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  <w:szCs w:val="24"/>
          <w:highlight w:val="none"/>
          <w:lang w:val="en-US" w:eastAsia="zh-CN"/>
        </w:rPr>
        <w:t>电子医保凭证激活。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为减少特殊时期就医购药直接接触，防范疫情传播，保障您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和您的孩子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的健康，我们特倡议您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和您的孩子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激活并使用医保电子凭证，就医购药时可以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零接触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结算支付。共有三种激活途径：一、国家医保服务平台app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下载国家医保服务平台app，点击医保电子凭证进行激活领取。使用时打开app，点击医保电子凭证出示二维码进行医保支付。二、微信激活方式：打开微信，扫描下方二维码，根据提示即可激活医保电子凭证。三、支付宝激活方式：打开支付宝，扫描下方二维码，根据提示即可激活医保电子凭证。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如需了解更多医保咨询，可关注“肇庆医疗保障”微信公众号。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1736725</wp:posOffset>
            </wp:positionH>
            <wp:positionV relativeFrom="paragraph">
              <wp:posOffset>221615</wp:posOffset>
            </wp:positionV>
            <wp:extent cx="1306830" cy="1317625"/>
            <wp:effectExtent l="0" t="0" r="3810" b="8255"/>
            <wp:wrapNone/>
            <wp:docPr id="20" name="图片 1" descr="275ab0a536e489a34786144a505b8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 descr="275ab0a536e489a34786144a505b8c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/>
          <w:b/>
          <w:spacing w:val="-20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162560</wp:posOffset>
            </wp:positionV>
            <wp:extent cx="1409065" cy="1409065"/>
            <wp:effectExtent l="0" t="0" r="8255" b="8255"/>
            <wp:wrapSquare wrapText="bothSides"/>
            <wp:docPr id="21" name="图片 4" descr="4ed21d867cafc004ca49c0e017cfb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 descr="4ed21d867cafc004ca49c0e017cfb4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237490</wp:posOffset>
            </wp:positionV>
            <wp:extent cx="1257300" cy="1299845"/>
            <wp:effectExtent l="0" t="0" r="7620" b="10795"/>
            <wp:wrapNone/>
            <wp:docPr id="22" name="图片 2" descr="4436ded8ab074c68955ef6a0e240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 descr="4436ded8ab074c68955ef6a0e240913"/>
                    <pic:cNvPicPr>
                      <a:picLocks noChangeAspect="1"/>
                    </pic:cNvPicPr>
                  </pic:nvPicPr>
                  <pic:blipFill>
                    <a:blip r:embed="rId9"/>
                    <a:srcRect l="3996" t="2158" r="250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360" w:lineRule="auto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olor w:val="000000"/>
          <w:kern w:val="2"/>
          <w:sz w:val="21"/>
          <w:szCs w:val="21"/>
          <w:highlight w:val="none"/>
          <w:u w:val="none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D7E36"/>
    <w:rsid w:val="01A43488"/>
    <w:rsid w:val="02CD7E36"/>
    <w:rsid w:val="040F014F"/>
    <w:rsid w:val="07404D30"/>
    <w:rsid w:val="113C0D38"/>
    <w:rsid w:val="12464681"/>
    <w:rsid w:val="1745595D"/>
    <w:rsid w:val="17B11442"/>
    <w:rsid w:val="20071818"/>
    <w:rsid w:val="2EC74454"/>
    <w:rsid w:val="33CB3AAA"/>
    <w:rsid w:val="35F5589C"/>
    <w:rsid w:val="3A4A580B"/>
    <w:rsid w:val="3F052519"/>
    <w:rsid w:val="41A9468A"/>
    <w:rsid w:val="45873917"/>
    <w:rsid w:val="46D72C6F"/>
    <w:rsid w:val="477C723C"/>
    <w:rsid w:val="47BD5A27"/>
    <w:rsid w:val="489D632B"/>
    <w:rsid w:val="4A695E0A"/>
    <w:rsid w:val="4E8C4E1E"/>
    <w:rsid w:val="4ECE712E"/>
    <w:rsid w:val="4F886530"/>
    <w:rsid w:val="50A9719A"/>
    <w:rsid w:val="50DA5BD2"/>
    <w:rsid w:val="58226A6A"/>
    <w:rsid w:val="5F292CAD"/>
    <w:rsid w:val="66275FC9"/>
    <w:rsid w:val="676617E4"/>
    <w:rsid w:val="68D25EE1"/>
    <w:rsid w:val="69D20F62"/>
    <w:rsid w:val="6A1346BD"/>
    <w:rsid w:val="6A2F6B0C"/>
    <w:rsid w:val="6B0C312D"/>
    <w:rsid w:val="6CDD739B"/>
    <w:rsid w:val="72291FFC"/>
    <w:rsid w:val="73791DA0"/>
    <w:rsid w:val="79F51021"/>
    <w:rsid w:val="7CA45529"/>
    <w:rsid w:val="7F6B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默认段落字体 Para Char Char Char Char Char Char Char Char Char Char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2020-01-10T01:34:00Z</dcterms:created>
  <dc:creator>lenovo</dc:creator>
  <cp:lastModifiedBy>麦勇</cp:lastModifiedBy>
  <cp:lastPrinted>2021-08-12T04:21:00Z</cp:lastPrinted>
  <dcterms:modified xsi:type="dcterms:W3CDTF">2021-09-30T06:53:20Z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5EB46D32EA1848DDB48E7A312AC3D39B</vt:lpwstr>
  </property>
</Properties>
</file>