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国家税务总局中山市税务局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20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lang w:val="en-US" w:eastAsia="zh-CN"/>
        </w:rPr>
        <w:t>24</w:t>
      </w: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年行政许可实施和监督管理情况报告</w:t>
      </w:r>
    </w:p>
    <w:p>
      <w:pPr>
        <w:pStyle w:val="4"/>
        <w:keepNext w:val="0"/>
        <w:keepLines w:val="0"/>
        <w:widowControl/>
        <w:suppressLineNumbers w:val="0"/>
        <w:rPr>
          <w:rFonts w:ascii="仿宋_GB2312" w:hAnsi="仿宋_GB2312" w:eastAsia="仿宋_GB2312" w:cs="仿宋_GB2312"/>
          <w:color w:val="000000"/>
          <w:sz w:val="31"/>
          <w:szCs w:val="31"/>
        </w:rPr>
      </w:pP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color w:val="auto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按照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《广东省行政许可监督管理条例》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有关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规定</w:t>
      </w:r>
      <w:r>
        <w:rPr>
          <w:rFonts w:ascii="仿宋_GB2312" w:hAnsi="仿宋_GB2312" w:eastAsia="仿宋_GB2312" w:cs="仿宋_GB2312"/>
          <w:color w:val="auto"/>
          <w:sz w:val="31"/>
          <w:szCs w:val="31"/>
        </w:rPr>
        <w:t>，现将我局202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val="en-US" w:eastAsia="zh-CN"/>
        </w:rPr>
        <w:t>4</w:t>
      </w:r>
      <w:r>
        <w:rPr>
          <w:rFonts w:ascii="仿宋_GB2312" w:hAnsi="仿宋_GB2312" w:eastAsia="仿宋_GB2312" w:cs="仿宋_GB2312"/>
          <w:color w:val="auto"/>
          <w:sz w:val="31"/>
          <w:szCs w:val="31"/>
        </w:rPr>
        <w:t>年行政许可实施和监督管理情况报告如下：</w:t>
      </w:r>
    </w:p>
    <w:p>
      <w:pPr>
        <w:pStyle w:val="4"/>
        <w:keepNext w:val="0"/>
        <w:keepLines w:val="0"/>
        <w:pageBreakBefore w:val="0"/>
        <w:widowControl/>
        <w:numPr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2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  <w:lang w:eastAsia="zh-CN"/>
        </w:rPr>
        <w:t>一、</w:t>
      </w: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</w:rPr>
        <w:t>现有事项及办理情况</w:t>
      </w: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按照《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国家税务总局关于全面实行税务行政许可事项清单管理的公告》（国家税务总局公告2022年第19号）规定，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自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20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11月1日起“对纳税人延期申报的核准”“对纳税人变更纳税定额的核准”“对采取实际利润额预缴以外的其他企业所得税预缴方式的核定”等3个事项不再作为行政许可事项管理。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我局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认真落实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税务总局、省税务局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关于全面实行税务行政许可事项清单管理的工作部署，依照全国统一实施的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税务行政许可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事项清单实施行政许可，按规定保留“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增值税防伪税控系统最高开票限额审批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税务行政许可事项，并已向社会公开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2024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我局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作出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行政许可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决定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共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559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件，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没有发生超期办结的情况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实施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的许可事项通过全国金税三期税收管理系统、省电子税务局等专网进行统一受理、审批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省政务服务网相关栏目设有链接，可引导许可申请人登陆省电子税务局完成许可事项办理。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2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</w:rPr>
        <w:t>二</w:t>
      </w: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  <w:lang w:eastAsia="zh-CN"/>
        </w:rPr>
        <w:t>、</w:t>
      </w: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</w:rPr>
        <w:t>依法实施情况。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我局严格按照规定的审批权限、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范围、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程序、条件等实施税务行政许可，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按照标准化、规范化、便利化要求，持续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落实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各项减环节、减材料、减时限措施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压缩许可办理时间、简并许可申请文书、减少材料报送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简化文书送达程序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、实现网上办理等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2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</w:rPr>
        <w:t>三</w:t>
      </w: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  <w:lang w:eastAsia="zh-CN"/>
        </w:rPr>
        <w:t>、</w:t>
      </w: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</w:rPr>
        <w:t>公开公示情况。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一是按规定在我局门户网站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执法信息公示平台行政许可栏目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公开许可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事项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名称、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设定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依据、实施机关、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许可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条件、申请材料等事项，接受社会监督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；在监督救济途径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栏目公开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纳税咨询、纳税服务投诉的途径和方式，接受申请人咨询和投诉。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二是</w:t>
      </w:r>
      <w:r>
        <w:rPr>
          <w:rFonts w:ascii="仿宋_GB2312" w:hAnsi="宋体" w:eastAsia="仿宋_GB2312" w:cs="仿宋_GB2312"/>
          <w:color w:val="auto"/>
          <w:kern w:val="2"/>
          <w:sz w:val="32"/>
          <w:szCs w:val="32"/>
          <w:lang w:val="en-US" w:eastAsia="zh-CN" w:bidi="ar"/>
        </w:rPr>
        <w:t>作出行政许可决定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lang w:val="en-US" w:eastAsia="zh-CN" w:bidi="ar"/>
        </w:rPr>
        <w:t>后，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行政许可实施结果推送至省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税务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局网站公示，我局门户网站对公示内容进行链接，公示信息同步推送至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市发改局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的中山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市公共信用信息管理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系统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20" w:firstLineChars="200"/>
        <w:textAlignment w:val="auto"/>
        <w:rPr>
          <w:rFonts w:ascii="仿宋_GB2312" w:hAnsi="仿宋_GB2312" w:eastAsia="仿宋_GB2312" w:cs="仿宋_GB2312"/>
          <w:color w:val="auto"/>
          <w:sz w:val="31"/>
          <w:szCs w:val="31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</w:rPr>
        <w:t>四</w:t>
      </w: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  <w:lang w:eastAsia="zh-CN"/>
        </w:rPr>
        <w:t>、</w:t>
      </w: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</w:rPr>
        <w:t>监督管理情况。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我局将行政许可实施情况列入执法督察、内部审计的检查项目，202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年对全市基层税务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eastAsia="zh-CN"/>
        </w:rPr>
        <w:t>机关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行政许可办理情况进行了数据监控。从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eastAsia="zh-CN"/>
        </w:rPr>
        <w:t>监督检查和数据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监控情况看，不存在违法违规实施行政许可的行为。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eastAsia="zh-CN"/>
        </w:rPr>
        <w:t>截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至目前，我局未收到行政许可方面的举报投诉。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20" w:firstLineChars="200"/>
        <w:textAlignment w:val="auto"/>
        <w:rPr>
          <w:rFonts w:hint="eastAsia" w:ascii="仿宋_GB2312" w:hAnsi="仿宋_GB2312" w:eastAsia="仿宋_GB2312" w:cs="仿宋_GB2312"/>
          <w:color w:val="auto"/>
          <w:sz w:val="31"/>
          <w:szCs w:val="31"/>
          <w:highlight w:val="none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</w:rPr>
        <w:t>五</w:t>
      </w: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  <w:lang w:eastAsia="zh-CN"/>
        </w:rPr>
        <w:t>、</w:t>
      </w:r>
      <w:r>
        <w:rPr>
          <w:rFonts w:hint="eastAsia" w:ascii="黑体" w:hAnsi="黑体" w:eastAsia="黑体" w:cs="黑体"/>
          <w:b w:val="0"/>
          <w:bCs w:val="0"/>
          <w:color w:val="auto"/>
          <w:sz w:val="31"/>
          <w:szCs w:val="31"/>
        </w:rPr>
        <w:t>实施效果。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eastAsia="zh-CN"/>
        </w:rPr>
        <w:t>推动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许可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eastAsia="zh-CN"/>
        </w:rPr>
        <w:t>事项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、办理流程和结果公开透明，便于社会监督；审批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eastAsia="zh-CN"/>
        </w:rPr>
        <w:t>流程持续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优化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lang w:eastAsia="zh-CN"/>
        </w:rPr>
        <w:t>规范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</w:rPr>
        <w:t>，许可事项办理便利度不断提高</w:t>
      </w:r>
      <w:r>
        <w:rPr>
          <w:rFonts w:hint="eastAsia" w:ascii="仿宋_GB2312" w:hAnsi="仿宋_GB2312" w:eastAsia="仿宋_GB2312" w:cs="仿宋_GB2312"/>
          <w:color w:val="auto"/>
          <w:sz w:val="31"/>
          <w:szCs w:val="31"/>
          <w:highlight w:val="none"/>
        </w:rPr>
        <w:t>。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20" w:firstLineChars="200"/>
        <w:textAlignment w:val="auto"/>
        <w:rPr>
          <w:rFonts w:hint="eastAsia" w:ascii="仿宋_GB2312" w:hAnsi="仿宋_GB2312" w:eastAsia="仿宋_GB2312" w:cs="仿宋_GB2312"/>
          <w:color w:val="auto"/>
          <w:sz w:val="31"/>
          <w:szCs w:val="31"/>
          <w:highlight w:val="none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附件：1.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国家税务总局</w:t>
      </w:r>
      <w:r>
        <w:rPr>
          <w:rFonts w:hint="eastAsia" w:ascii="仿宋_GB2312" w:hAnsi="仿宋_GB2312" w:eastAsia="仿宋_GB2312" w:cs="仿宋_GB2312"/>
          <w:sz w:val="32"/>
          <w:szCs w:val="32"/>
        </w:rPr>
        <w:t>中山市税务局20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sz w:val="32"/>
          <w:szCs w:val="32"/>
        </w:rPr>
        <w:t>年行政许可</w:t>
      </w:r>
    </w:p>
    <w:p>
      <w:p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实施和监督管理情况表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2.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国家税务总局</w:t>
      </w:r>
      <w:r>
        <w:rPr>
          <w:rFonts w:hint="eastAsia" w:ascii="仿宋_GB2312" w:hAnsi="仿宋_GB2312" w:eastAsia="仿宋_GB2312" w:cs="仿宋_GB2312"/>
          <w:sz w:val="32"/>
          <w:szCs w:val="32"/>
        </w:rPr>
        <w:t>中山市税务局20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sz w:val="32"/>
          <w:szCs w:val="32"/>
        </w:rPr>
        <w:t>年取消和转</w:t>
      </w:r>
    </w:p>
    <w:p>
      <w:pPr>
        <w:ind w:firstLine="1920" w:firstLineChars="600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移事项监督管理情况表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20" w:firstLineChars="200"/>
        <w:textAlignment w:val="auto"/>
        <w:rPr>
          <w:rFonts w:hint="eastAsia" w:ascii="仿宋_GB2312" w:hAnsi="仿宋_GB2312" w:eastAsia="仿宋_GB2312" w:cs="仿宋_GB2312"/>
          <w:color w:val="auto"/>
          <w:sz w:val="31"/>
          <w:szCs w:val="31"/>
          <w:highlight w:val="none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3840" w:firstLineChars="1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国家税务总局中山市税务局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textAlignment w:val="auto"/>
        <w:rPr>
          <w:color w:val="auto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           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 202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年3月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25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5916AE"/>
    <w:rsid w:val="019B433B"/>
    <w:rsid w:val="02593032"/>
    <w:rsid w:val="02B46AA6"/>
    <w:rsid w:val="02D82CD8"/>
    <w:rsid w:val="041C131D"/>
    <w:rsid w:val="0422283C"/>
    <w:rsid w:val="05102C0F"/>
    <w:rsid w:val="08956654"/>
    <w:rsid w:val="0ED23932"/>
    <w:rsid w:val="122A5A8B"/>
    <w:rsid w:val="12A05FF8"/>
    <w:rsid w:val="161F248A"/>
    <w:rsid w:val="184B3C99"/>
    <w:rsid w:val="186116AD"/>
    <w:rsid w:val="18A61F34"/>
    <w:rsid w:val="1AD63455"/>
    <w:rsid w:val="1BA83DA4"/>
    <w:rsid w:val="1E293A60"/>
    <w:rsid w:val="21B25EB4"/>
    <w:rsid w:val="21DD7A94"/>
    <w:rsid w:val="2ABB4DA6"/>
    <w:rsid w:val="2D70341E"/>
    <w:rsid w:val="2E975A4A"/>
    <w:rsid w:val="305916AE"/>
    <w:rsid w:val="322E2017"/>
    <w:rsid w:val="34D51EB2"/>
    <w:rsid w:val="35A86AFB"/>
    <w:rsid w:val="35F5469A"/>
    <w:rsid w:val="363E5831"/>
    <w:rsid w:val="36A208FE"/>
    <w:rsid w:val="374E39D7"/>
    <w:rsid w:val="3EDB2799"/>
    <w:rsid w:val="3FEA540A"/>
    <w:rsid w:val="411B7D06"/>
    <w:rsid w:val="42432A09"/>
    <w:rsid w:val="44CE128C"/>
    <w:rsid w:val="4AC94E94"/>
    <w:rsid w:val="4CD31611"/>
    <w:rsid w:val="51797C04"/>
    <w:rsid w:val="5208419A"/>
    <w:rsid w:val="5DCF208B"/>
    <w:rsid w:val="61814B5D"/>
    <w:rsid w:val="62605DBF"/>
    <w:rsid w:val="64972B16"/>
    <w:rsid w:val="77C142A5"/>
    <w:rsid w:val="7F313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0"/>
    <w:pPr>
      <w:spacing w:after="120"/>
    </w:pPr>
    <w:rPr>
      <w:rFonts w:ascii="Times New Roman" w:hAnsi="Times New Roman"/>
    </w:r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FollowedHyperlink"/>
    <w:basedOn w:val="7"/>
    <w:qFormat/>
    <w:uiPriority w:val="0"/>
    <w:rPr>
      <w:color w:val="3894C1"/>
      <w:u w:val="none"/>
    </w:rPr>
  </w:style>
  <w:style w:type="character" w:styleId="10">
    <w:name w:val="Hyperlink"/>
    <w:basedOn w:val="7"/>
    <w:qFormat/>
    <w:uiPriority w:val="0"/>
    <w:rPr>
      <w:color w:val="3894C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2022-03-17T02:24:00Z</dcterms:created>
  <dc:creator>吴宇慧</dc:creator>
  <cp:lastModifiedBy>林咏华</cp:lastModifiedBy>
  <cp:lastPrinted>2024-09-09T00:58:00Z</cp:lastPrinted>
  <dcterms:modified xsi:type="dcterms:W3CDTF">2025-03-25T05:10:56Z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