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ackground w:color="FFFFFF"/>
  <w:body>
    <w:p w14:paraId="05DCC438" w14:textId="77777777" w:rsidR="00985C84" w:rsidRDefault="0008319C" w:rsidP="00B73817">
      <w:pPr>
        <w:spacing w:line="560" w:lineRule="exact"/>
        <w:jc w:val="center"/>
        <w:rPr>
          <w:b/>
          <w:bCs/>
          <w:sz w:val="44"/>
          <w:szCs w:val="44"/>
        </w:rPr>
      </w:pPr>
      <w:bookmarkStart w:id="0" w:name="_Hlk6153938"/>
      <w:r w:rsidRPr="00635188">
        <w:rPr>
          <w:rFonts w:hint="eastAsia"/>
          <w:b/>
          <w:bCs/>
          <w:sz w:val="44"/>
          <w:szCs w:val="44"/>
        </w:rPr>
        <w:t>国家税务总局中山市税务局</w:t>
      </w:r>
    </w:p>
    <w:p w14:paraId="50F2C157" w14:textId="01604AD9" w:rsidR="00B73817" w:rsidRDefault="0008319C" w:rsidP="00B73817">
      <w:pPr>
        <w:spacing w:line="560" w:lineRule="exact"/>
        <w:jc w:val="center"/>
        <w:rPr>
          <w:b/>
          <w:bCs/>
          <w:sz w:val="44"/>
          <w:szCs w:val="44"/>
        </w:rPr>
      </w:pPr>
      <w:r w:rsidRPr="00635188">
        <w:rPr>
          <w:rFonts w:hint="eastAsia"/>
          <w:b/>
          <w:bCs/>
          <w:sz w:val="44"/>
          <w:szCs w:val="44"/>
        </w:rPr>
        <w:t>关于我市跨地区经营汇总纳税企业所得税征收管理有关问题的公告</w:t>
      </w:r>
    </w:p>
    <w:p w14:paraId="0A979121" w14:textId="6065B70E" w:rsidR="00B73817" w:rsidRPr="00635188" w:rsidRDefault="00B73817" w:rsidP="00B73817">
      <w:pPr>
        <w:spacing w:line="560" w:lineRule="exact"/>
        <w:jc w:val="center"/>
        <w:rPr>
          <w:b/>
          <w:bCs/>
          <w:sz w:val="44"/>
          <w:szCs w:val="44"/>
        </w:rPr>
      </w:pPr>
      <w:r>
        <w:rPr>
          <w:rFonts w:hint="eastAsia"/>
          <w:b/>
          <w:bCs/>
          <w:sz w:val="44"/>
          <w:szCs w:val="44"/>
        </w:rPr>
        <w:t>（征求意见稿）</w:t>
      </w:r>
    </w:p>
    <w:bookmarkEnd w:id="0"/>
    <w:p w14:paraId="46FE0DA4" w14:textId="77777777" w:rsidR="0008319C" w:rsidRDefault="0008319C" w:rsidP="005A488E">
      <w:pPr>
        <w:spacing w:line="560" w:lineRule="exact"/>
        <w:ind w:firstLineChars="200" w:firstLine="560"/>
        <w:rPr>
          <w:sz w:val="28"/>
          <w:szCs w:val="24"/>
        </w:rPr>
      </w:pPr>
    </w:p>
    <w:p w14:paraId="1B5E297E" w14:textId="5C9A13FC" w:rsidR="0008319C" w:rsidRPr="002731F4" w:rsidRDefault="0008319C" w:rsidP="00635188">
      <w:pPr>
        <w:spacing w:line="560" w:lineRule="exact"/>
        <w:ind w:firstLineChars="200" w:firstLine="640"/>
        <w:rPr>
          <w:rFonts w:ascii="仿宋" w:eastAsia="仿宋" w:hAnsi="仿宋"/>
          <w:sz w:val="32"/>
          <w:szCs w:val="32"/>
        </w:rPr>
      </w:pPr>
      <w:bookmarkStart w:id="1" w:name="_Hlk6153990"/>
      <w:r w:rsidRPr="002731F4">
        <w:rPr>
          <w:rFonts w:ascii="仿宋" w:eastAsia="仿宋" w:hAnsi="仿宋" w:hint="eastAsia"/>
          <w:sz w:val="32"/>
          <w:szCs w:val="32"/>
        </w:rPr>
        <w:t>根据</w:t>
      </w:r>
      <w:bookmarkStart w:id="2" w:name="_Hlk7790517"/>
      <w:r w:rsidRPr="002731F4">
        <w:rPr>
          <w:rFonts w:ascii="仿宋" w:eastAsia="仿宋" w:hAnsi="仿宋" w:hint="eastAsia"/>
          <w:sz w:val="32"/>
          <w:szCs w:val="32"/>
        </w:rPr>
        <w:t>《国家税务总局关于印发〈跨地区经营汇总纳税企业所得税征收管理办法〉的公告》（国家税务总局公告2012年第57号</w:t>
      </w:r>
      <w:r w:rsidR="00DB54F9" w:rsidRPr="002731F4">
        <w:rPr>
          <w:rFonts w:ascii="仿宋" w:eastAsia="仿宋" w:hAnsi="仿宋" w:hint="eastAsia"/>
          <w:sz w:val="32"/>
          <w:szCs w:val="32"/>
        </w:rPr>
        <w:t>,</w:t>
      </w:r>
      <w:r w:rsidR="006702C7" w:rsidRPr="002731F4">
        <w:rPr>
          <w:rFonts w:ascii="仿宋" w:eastAsia="仿宋" w:hAnsi="仿宋" w:hint="eastAsia"/>
          <w:sz w:val="32"/>
          <w:szCs w:val="32"/>
        </w:rPr>
        <w:t>以下</w:t>
      </w:r>
      <w:r w:rsidR="00A33CDA" w:rsidRPr="002731F4">
        <w:rPr>
          <w:rFonts w:ascii="仿宋" w:eastAsia="仿宋" w:hAnsi="仿宋" w:hint="eastAsia"/>
          <w:sz w:val="32"/>
          <w:szCs w:val="32"/>
        </w:rPr>
        <w:t>简称“2012年第57号公告”</w:t>
      </w:r>
      <w:r w:rsidR="00DB54F9" w:rsidRPr="002731F4">
        <w:rPr>
          <w:rFonts w:ascii="仿宋" w:eastAsia="仿宋" w:hAnsi="仿宋" w:hint="eastAsia"/>
          <w:sz w:val="32"/>
          <w:szCs w:val="32"/>
        </w:rPr>
        <w:t>）</w:t>
      </w:r>
      <w:bookmarkEnd w:id="2"/>
      <w:r w:rsidR="00DB54F9" w:rsidRPr="002731F4">
        <w:rPr>
          <w:rFonts w:ascii="仿宋" w:eastAsia="仿宋" w:hAnsi="仿宋" w:hint="eastAsia"/>
          <w:sz w:val="32"/>
          <w:szCs w:val="32"/>
        </w:rPr>
        <w:t>、</w:t>
      </w:r>
      <w:r w:rsidRPr="002731F4">
        <w:rPr>
          <w:rFonts w:ascii="仿宋" w:eastAsia="仿宋" w:hAnsi="仿宋" w:hint="eastAsia"/>
          <w:sz w:val="32"/>
          <w:szCs w:val="32"/>
        </w:rPr>
        <w:t>《广东省国家税务局 广东省地方税务局关于我省跨地区经营汇总纳税企业所得税征收管理有关问题的公告》（广东省国家税务局 广东省</w:t>
      </w:r>
      <w:bookmarkStart w:id="3" w:name="_GoBack"/>
      <w:bookmarkEnd w:id="3"/>
      <w:r w:rsidRPr="002731F4">
        <w:rPr>
          <w:rFonts w:ascii="仿宋" w:eastAsia="仿宋" w:hAnsi="仿宋" w:hint="eastAsia"/>
          <w:sz w:val="32"/>
          <w:szCs w:val="32"/>
        </w:rPr>
        <w:t>地方税务局公告2013年第13</w:t>
      </w:r>
      <w:r w:rsidR="00DB54F9" w:rsidRPr="002731F4">
        <w:rPr>
          <w:rFonts w:ascii="仿宋" w:eastAsia="仿宋" w:hAnsi="仿宋" w:hint="eastAsia"/>
          <w:sz w:val="32"/>
          <w:szCs w:val="32"/>
        </w:rPr>
        <w:t>号）和</w:t>
      </w:r>
      <w:r w:rsidR="009C116D" w:rsidRPr="002731F4">
        <w:rPr>
          <w:rFonts w:ascii="仿宋" w:eastAsia="仿宋" w:hAnsi="仿宋" w:hint="eastAsia"/>
          <w:sz w:val="32"/>
          <w:szCs w:val="32"/>
        </w:rPr>
        <w:t>《</w:t>
      </w:r>
      <w:r w:rsidRPr="002731F4">
        <w:rPr>
          <w:rFonts w:ascii="仿宋" w:eastAsia="仿宋" w:hAnsi="仿宋" w:hint="eastAsia"/>
          <w:sz w:val="32"/>
          <w:szCs w:val="32"/>
        </w:rPr>
        <w:t>广东省财政厅、广东省国家税务局、广东省地方税务局、中国人民银行广州分行关于印发〈跨市总分机构企业所得税分配及预算管理实施办法〉的通知》（粤财预〔2013〕83号），</w:t>
      </w:r>
      <w:bookmarkEnd w:id="1"/>
      <w:r w:rsidRPr="002731F4">
        <w:rPr>
          <w:rFonts w:ascii="仿宋" w:eastAsia="仿宋" w:hAnsi="仿宋" w:hint="eastAsia"/>
          <w:sz w:val="32"/>
          <w:szCs w:val="32"/>
        </w:rPr>
        <w:t>现就</w:t>
      </w:r>
      <w:r w:rsidR="0014361F" w:rsidRPr="002731F4">
        <w:rPr>
          <w:rFonts w:ascii="仿宋" w:eastAsia="仿宋" w:hAnsi="仿宋" w:hint="eastAsia"/>
          <w:sz w:val="32"/>
          <w:szCs w:val="32"/>
        </w:rPr>
        <w:t>我市跨地区经营汇总纳税企业所得税征收管理</w:t>
      </w:r>
      <w:r w:rsidRPr="002731F4">
        <w:rPr>
          <w:rFonts w:ascii="仿宋" w:eastAsia="仿宋" w:hAnsi="仿宋" w:hint="eastAsia"/>
          <w:sz w:val="32"/>
          <w:szCs w:val="32"/>
        </w:rPr>
        <w:t>有关问题明确如下：</w:t>
      </w:r>
    </w:p>
    <w:p w14:paraId="066A833F" w14:textId="433DF384" w:rsidR="0008319C" w:rsidRPr="002731F4" w:rsidRDefault="0008319C" w:rsidP="00635188">
      <w:pPr>
        <w:spacing w:line="560" w:lineRule="exact"/>
        <w:ind w:firstLineChars="200" w:firstLine="640"/>
        <w:rPr>
          <w:rFonts w:ascii="仿宋" w:eastAsia="仿宋" w:hAnsi="仿宋"/>
          <w:sz w:val="32"/>
          <w:szCs w:val="32"/>
        </w:rPr>
      </w:pPr>
      <w:bookmarkStart w:id="4" w:name="_Hlk6165813"/>
      <w:r w:rsidRPr="002731F4">
        <w:rPr>
          <w:rFonts w:ascii="仿宋" w:eastAsia="仿宋" w:hAnsi="仿宋" w:hint="eastAsia"/>
          <w:sz w:val="32"/>
          <w:szCs w:val="32"/>
        </w:rPr>
        <w:t>一、</w:t>
      </w:r>
      <w:bookmarkStart w:id="5" w:name="_Hlk6165525"/>
      <w:bookmarkStart w:id="6" w:name="_Hlk7885417"/>
      <w:r w:rsidRPr="002731F4">
        <w:rPr>
          <w:rFonts w:ascii="仿宋" w:eastAsia="仿宋" w:hAnsi="仿宋" w:hint="eastAsia"/>
          <w:sz w:val="32"/>
          <w:szCs w:val="32"/>
        </w:rPr>
        <w:t>居民企业总机构和分支机构</w:t>
      </w:r>
      <w:r w:rsidR="00F5638C" w:rsidRPr="002731F4">
        <w:rPr>
          <w:rFonts w:ascii="仿宋" w:eastAsia="仿宋" w:hAnsi="仿宋" w:hint="eastAsia"/>
          <w:sz w:val="32"/>
          <w:szCs w:val="32"/>
        </w:rPr>
        <w:t>均</w:t>
      </w:r>
      <w:r w:rsidRPr="002731F4">
        <w:rPr>
          <w:rFonts w:ascii="仿宋" w:eastAsia="仿宋" w:hAnsi="仿宋" w:hint="eastAsia"/>
          <w:sz w:val="32"/>
          <w:szCs w:val="32"/>
        </w:rPr>
        <w:t>在我市</w:t>
      </w:r>
      <w:bookmarkEnd w:id="5"/>
      <w:r w:rsidRPr="002731F4">
        <w:rPr>
          <w:rFonts w:ascii="仿宋" w:eastAsia="仿宋" w:hAnsi="仿宋" w:hint="eastAsia"/>
          <w:sz w:val="32"/>
          <w:szCs w:val="32"/>
        </w:rPr>
        <w:t>范围内的</w:t>
      </w:r>
      <w:bookmarkEnd w:id="6"/>
      <w:r w:rsidRPr="002731F4">
        <w:rPr>
          <w:rFonts w:ascii="仿宋" w:eastAsia="仿宋" w:hAnsi="仿宋" w:hint="eastAsia"/>
          <w:sz w:val="32"/>
          <w:szCs w:val="32"/>
        </w:rPr>
        <w:t>，可由总机构选择以下</w:t>
      </w:r>
      <w:r w:rsidR="00527800" w:rsidRPr="002731F4">
        <w:rPr>
          <w:rFonts w:ascii="仿宋" w:eastAsia="仿宋" w:hAnsi="仿宋" w:hint="eastAsia"/>
          <w:sz w:val="32"/>
          <w:szCs w:val="32"/>
        </w:rPr>
        <w:t>两</w:t>
      </w:r>
      <w:r w:rsidR="00F24323">
        <w:rPr>
          <w:rFonts w:ascii="仿宋" w:eastAsia="仿宋" w:hAnsi="仿宋" w:hint="eastAsia"/>
          <w:sz w:val="32"/>
          <w:szCs w:val="32"/>
        </w:rPr>
        <w:t>种方式之一申报缴纳企业所得税</w:t>
      </w:r>
      <w:r w:rsidR="002766CB">
        <w:rPr>
          <w:rFonts w:ascii="仿宋" w:eastAsia="仿宋" w:hAnsi="仿宋" w:hint="eastAsia"/>
          <w:sz w:val="32"/>
          <w:szCs w:val="32"/>
        </w:rPr>
        <w:t>，</w:t>
      </w:r>
      <w:r w:rsidR="002766CB" w:rsidRPr="002766CB">
        <w:rPr>
          <w:rFonts w:ascii="仿宋" w:eastAsia="仿宋" w:hAnsi="仿宋" w:hint="eastAsia"/>
          <w:sz w:val="32"/>
          <w:szCs w:val="32"/>
        </w:rPr>
        <w:t>按现行分税制比例入库</w:t>
      </w:r>
      <w:r w:rsidR="00F24323">
        <w:rPr>
          <w:rFonts w:ascii="仿宋" w:eastAsia="仿宋" w:hAnsi="仿宋" w:hint="eastAsia"/>
          <w:sz w:val="32"/>
          <w:szCs w:val="32"/>
        </w:rPr>
        <w:t>。</w:t>
      </w:r>
    </w:p>
    <w:p w14:paraId="3F39AB67" w14:textId="3AB3DCA8" w:rsidR="0008319C" w:rsidRPr="002731F4" w:rsidRDefault="0008319C" w:rsidP="00635188">
      <w:pPr>
        <w:spacing w:line="560" w:lineRule="exact"/>
        <w:ind w:firstLineChars="200" w:firstLine="640"/>
        <w:rPr>
          <w:rFonts w:ascii="仿宋" w:eastAsia="仿宋" w:hAnsi="仿宋"/>
          <w:sz w:val="32"/>
          <w:szCs w:val="32"/>
        </w:rPr>
      </w:pPr>
      <w:r w:rsidRPr="002731F4">
        <w:rPr>
          <w:rFonts w:ascii="仿宋" w:eastAsia="仿宋" w:hAnsi="仿宋" w:hint="eastAsia"/>
          <w:sz w:val="32"/>
          <w:szCs w:val="32"/>
        </w:rPr>
        <w:t>（一）</w:t>
      </w:r>
      <w:bookmarkStart w:id="7" w:name="_Hlk7790747"/>
      <w:r w:rsidRPr="002731F4">
        <w:rPr>
          <w:rFonts w:ascii="仿宋" w:eastAsia="仿宋" w:hAnsi="仿宋" w:hint="eastAsia"/>
          <w:sz w:val="32"/>
          <w:szCs w:val="32"/>
        </w:rPr>
        <w:t>由总机构汇总计算并申报缴纳企业所得税，分支机构不实行就地预缴。</w:t>
      </w:r>
      <w:bookmarkEnd w:id="7"/>
    </w:p>
    <w:p w14:paraId="7449372E" w14:textId="1B9EACCD" w:rsidR="00346C83" w:rsidRPr="002731F4" w:rsidRDefault="0008319C" w:rsidP="0014361F">
      <w:pPr>
        <w:spacing w:line="560" w:lineRule="exact"/>
        <w:ind w:firstLineChars="200" w:firstLine="640"/>
        <w:rPr>
          <w:rFonts w:ascii="仿宋" w:eastAsia="仿宋" w:hAnsi="仿宋"/>
          <w:sz w:val="32"/>
          <w:szCs w:val="32"/>
        </w:rPr>
      </w:pPr>
      <w:r w:rsidRPr="002731F4">
        <w:rPr>
          <w:rFonts w:ascii="仿宋" w:eastAsia="仿宋" w:hAnsi="仿宋" w:hint="eastAsia"/>
          <w:sz w:val="32"/>
          <w:szCs w:val="32"/>
        </w:rPr>
        <w:t>（二）</w:t>
      </w:r>
      <w:bookmarkStart w:id="8" w:name="_Hlk7798253"/>
      <w:r w:rsidRPr="002731F4">
        <w:rPr>
          <w:rFonts w:ascii="仿宋" w:eastAsia="仿宋" w:hAnsi="仿宋" w:hint="eastAsia"/>
          <w:sz w:val="32"/>
          <w:szCs w:val="32"/>
        </w:rPr>
        <w:t>总机构和分支机构按照</w:t>
      </w:r>
      <w:bookmarkStart w:id="9" w:name="_Hlk7794154"/>
      <w:r w:rsidR="00A33CDA" w:rsidRPr="002731F4">
        <w:rPr>
          <w:rFonts w:ascii="仿宋" w:eastAsia="仿宋" w:hAnsi="仿宋" w:hint="eastAsia"/>
          <w:sz w:val="32"/>
          <w:szCs w:val="32"/>
        </w:rPr>
        <w:t>2012年第57号公告</w:t>
      </w:r>
      <w:bookmarkEnd w:id="9"/>
      <w:r w:rsidRPr="002731F4">
        <w:rPr>
          <w:rFonts w:ascii="仿宋" w:eastAsia="仿宋" w:hAnsi="仿宋" w:hint="eastAsia"/>
          <w:sz w:val="32"/>
          <w:szCs w:val="32"/>
        </w:rPr>
        <w:t>有关规定，</w:t>
      </w:r>
      <w:bookmarkStart w:id="10" w:name="_Hlk7790688"/>
      <w:r w:rsidRPr="002731F4">
        <w:rPr>
          <w:rFonts w:ascii="仿宋" w:eastAsia="仿宋" w:hAnsi="仿宋" w:hint="eastAsia"/>
          <w:sz w:val="32"/>
          <w:szCs w:val="32"/>
        </w:rPr>
        <w:t>实行“统一计算、分级管理、就地预缴、汇总清算”的企业所得税征收管理办法</w:t>
      </w:r>
      <w:bookmarkEnd w:id="10"/>
      <w:r w:rsidRPr="002731F4">
        <w:rPr>
          <w:rFonts w:ascii="仿宋" w:eastAsia="仿宋" w:hAnsi="仿宋" w:hint="eastAsia"/>
          <w:sz w:val="32"/>
          <w:szCs w:val="32"/>
        </w:rPr>
        <w:t>。</w:t>
      </w:r>
      <w:bookmarkEnd w:id="8"/>
    </w:p>
    <w:p w14:paraId="37D6D13A" w14:textId="01942475" w:rsidR="0008319C" w:rsidRPr="002731F4" w:rsidRDefault="0008319C" w:rsidP="00635188">
      <w:pPr>
        <w:spacing w:line="560" w:lineRule="exact"/>
        <w:ind w:firstLineChars="200" w:firstLine="640"/>
        <w:rPr>
          <w:rFonts w:ascii="仿宋" w:eastAsia="仿宋" w:hAnsi="仿宋"/>
          <w:sz w:val="32"/>
          <w:szCs w:val="32"/>
        </w:rPr>
      </w:pPr>
      <w:bookmarkStart w:id="11" w:name="_Hlk7786681"/>
      <w:r w:rsidRPr="002731F4">
        <w:rPr>
          <w:rFonts w:ascii="仿宋" w:eastAsia="仿宋" w:hAnsi="仿宋" w:hint="eastAsia"/>
          <w:sz w:val="32"/>
          <w:szCs w:val="32"/>
        </w:rPr>
        <w:t>以上方式一经确定，一个纳税年度内不得变更。总机构</w:t>
      </w:r>
      <w:r w:rsidRPr="002731F4">
        <w:rPr>
          <w:rFonts w:ascii="仿宋" w:eastAsia="仿宋" w:hAnsi="仿宋" w:hint="eastAsia"/>
          <w:sz w:val="32"/>
          <w:szCs w:val="32"/>
        </w:rPr>
        <w:lastRenderedPageBreak/>
        <w:t>需要</w:t>
      </w:r>
      <w:r w:rsidR="00DE5C37">
        <w:rPr>
          <w:rFonts w:ascii="仿宋" w:eastAsia="仿宋" w:hAnsi="仿宋" w:hint="eastAsia"/>
          <w:sz w:val="32"/>
          <w:szCs w:val="32"/>
        </w:rPr>
        <w:t>变更征管</w:t>
      </w:r>
      <w:r w:rsidRPr="002731F4">
        <w:rPr>
          <w:rFonts w:ascii="仿宋" w:eastAsia="仿宋" w:hAnsi="仿宋" w:hint="eastAsia"/>
          <w:sz w:val="32"/>
          <w:szCs w:val="32"/>
        </w:rPr>
        <w:t>方式的，应于当年3月底前分别向总机构、分支机构所在地主管税务机关提交《</w:t>
      </w:r>
      <w:r w:rsidR="005A488E" w:rsidRPr="002731F4">
        <w:rPr>
          <w:rFonts w:ascii="仿宋" w:eastAsia="仿宋" w:hAnsi="仿宋" w:hint="eastAsia"/>
          <w:sz w:val="32"/>
          <w:szCs w:val="32"/>
        </w:rPr>
        <w:t>企业所得税汇总纳税总分机构信息备案表</w:t>
      </w:r>
      <w:r w:rsidRPr="002731F4">
        <w:rPr>
          <w:rFonts w:ascii="仿宋" w:eastAsia="仿宋" w:hAnsi="仿宋" w:hint="eastAsia"/>
          <w:sz w:val="32"/>
          <w:szCs w:val="32"/>
        </w:rPr>
        <w:t>》办理备案</w:t>
      </w:r>
      <w:r w:rsidR="00390E0E">
        <w:rPr>
          <w:rFonts w:ascii="仿宋" w:eastAsia="仿宋" w:hAnsi="仿宋" w:hint="eastAsia"/>
          <w:sz w:val="32"/>
          <w:szCs w:val="32"/>
        </w:rPr>
        <w:t>，</w:t>
      </w:r>
      <w:r w:rsidRPr="002731F4">
        <w:rPr>
          <w:rFonts w:ascii="仿宋" w:eastAsia="仿宋" w:hAnsi="仿宋" w:hint="eastAsia"/>
          <w:sz w:val="32"/>
          <w:szCs w:val="32"/>
        </w:rPr>
        <w:t>2019年度办理变更备案时间可推迟至6</w:t>
      </w:r>
      <w:r w:rsidR="00E763BC" w:rsidRPr="002731F4">
        <w:rPr>
          <w:rFonts w:ascii="仿宋" w:eastAsia="仿宋" w:hAnsi="仿宋" w:hint="eastAsia"/>
          <w:sz w:val="32"/>
          <w:szCs w:val="32"/>
        </w:rPr>
        <w:t>月底前</w:t>
      </w:r>
      <w:r w:rsidR="008A2F47">
        <w:rPr>
          <w:rFonts w:ascii="仿宋" w:eastAsia="仿宋" w:hAnsi="仿宋" w:hint="eastAsia"/>
          <w:sz w:val="32"/>
          <w:szCs w:val="32"/>
        </w:rPr>
        <w:t>,</w:t>
      </w:r>
      <w:r w:rsidR="00A6145A">
        <w:rPr>
          <w:rFonts w:ascii="仿宋" w:eastAsia="仿宋" w:hAnsi="仿宋" w:hint="eastAsia"/>
          <w:sz w:val="32"/>
          <w:szCs w:val="32"/>
        </w:rPr>
        <w:t>如选择</w:t>
      </w:r>
      <w:r w:rsidR="005F4959" w:rsidRPr="00D5492C">
        <w:rPr>
          <w:rFonts w:ascii="仿宋" w:eastAsia="仿宋" w:hAnsi="仿宋" w:hint="eastAsia"/>
          <w:sz w:val="32"/>
          <w:szCs w:val="32"/>
        </w:rPr>
        <w:t>2019年度征管方式</w:t>
      </w:r>
      <w:r w:rsidR="00A6145A">
        <w:rPr>
          <w:rFonts w:ascii="仿宋" w:eastAsia="仿宋" w:hAnsi="仿宋" w:hint="eastAsia"/>
          <w:sz w:val="32"/>
          <w:szCs w:val="32"/>
        </w:rPr>
        <w:t>由上述方式</w:t>
      </w:r>
      <w:proofErr w:type="gramStart"/>
      <w:r w:rsidR="00A6145A">
        <w:rPr>
          <w:rFonts w:ascii="仿宋" w:eastAsia="仿宋" w:hAnsi="仿宋" w:hint="eastAsia"/>
          <w:sz w:val="32"/>
          <w:szCs w:val="32"/>
        </w:rPr>
        <w:t>一</w:t>
      </w:r>
      <w:proofErr w:type="gramEnd"/>
      <w:r w:rsidR="00A6145A">
        <w:rPr>
          <w:rFonts w:ascii="仿宋" w:eastAsia="仿宋" w:hAnsi="仿宋" w:hint="eastAsia"/>
          <w:sz w:val="32"/>
          <w:szCs w:val="32"/>
        </w:rPr>
        <w:t>变更为方式二</w:t>
      </w:r>
      <w:r w:rsidR="002F4092">
        <w:rPr>
          <w:rFonts w:ascii="仿宋" w:eastAsia="仿宋" w:hAnsi="仿宋" w:hint="eastAsia"/>
          <w:sz w:val="32"/>
          <w:szCs w:val="32"/>
        </w:rPr>
        <w:t>的</w:t>
      </w:r>
      <w:r w:rsidR="005F4959" w:rsidRPr="00D5492C">
        <w:rPr>
          <w:rFonts w:ascii="仿宋" w:eastAsia="仿宋" w:hAnsi="仿宋" w:hint="eastAsia"/>
          <w:sz w:val="32"/>
          <w:szCs w:val="32"/>
        </w:rPr>
        <w:t>，</w:t>
      </w:r>
      <w:r w:rsidR="00A6145A">
        <w:rPr>
          <w:rFonts w:ascii="仿宋" w:eastAsia="仿宋" w:hAnsi="仿宋" w:hint="eastAsia"/>
          <w:sz w:val="32"/>
          <w:szCs w:val="32"/>
        </w:rPr>
        <w:t>总机构</w:t>
      </w:r>
      <w:r w:rsidR="002F4092" w:rsidRPr="00D5492C">
        <w:rPr>
          <w:rFonts w:ascii="仿宋" w:eastAsia="仿宋" w:hAnsi="仿宋" w:hint="eastAsia"/>
          <w:sz w:val="32"/>
          <w:szCs w:val="32"/>
        </w:rPr>
        <w:t>在</w:t>
      </w:r>
      <w:r w:rsidR="00A6145A">
        <w:rPr>
          <w:rFonts w:ascii="仿宋" w:eastAsia="仿宋" w:hAnsi="仿宋" w:hint="eastAsia"/>
          <w:sz w:val="32"/>
          <w:szCs w:val="32"/>
        </w:rPr>
        <w:t>第一季度预缴申报时已</w:t>
      </w:r>
      <w:r w:rsidR="002F4092" w:rsidRPr="00D5492C">
        <w:rPr>
          <w:rFonts w:ascii="仿宋" w:eastAsia="仿宋" w:hAnsi="仿宋" w:hint="eastAsia"/>
          <w:sz w:val="32"/>
          <w:szCs w:val="32"/>
        </w:rPr>
        <w:t>汇总缴纳企业所得税</w:t>
      </w:r>
      <w:r w:rsidR="00A6145A">
        <w:rPr>
          <w:rFonts w:ascii="仿宋" w:eastAsia="仿宋" w:hAnsi="仿宋" w:hint="eastAsia"/>
          <w:sz w:val="32"/>
          <w:szCs w:val="32"/>
        </w:rPr>
        <w:t>款，统一由总机构在以后</w:t>
      </w:r>
      <w:r w:rsidR="002F4092">
        <w:rPr>
          <w:rFonts w:ascii="仿宋" w:eastAsia="仿宋" w:hAnsi="仿宋" w:hint="eastAsia"/>
          <w:sz w:val="32"/>
          <w:szCs w:val="32"/>
        </w:rPr>
        <w:t>季度预缴</w:t>
      </w:r>
      <w:r w:rsidR="00A6145A">
        <w:rPr>
          <w:rFonts w:ascii="仿宋" w:eastAsia="仿宋" w:hAnsi="仿宋" w:hint="eastAsia"/>
          <w:sz w:val="32"/>
          <w:szCs w:val="32"/>
        </w:rPr>
        <w:t>企业所得税时抵减，</w:t>
      </w:r>
      <w:r w:rsidR="00315D80">
        <w:rPr>
          <w:rFonts w:ascii="仿宋" w:eastAsia="仿宋" w:hAnsi="仿宋" w:hint="eastAsia"/>
          <w:sz w:val="32"/>
          <w:szCs w:val="32"/>
        </w:rPr>
        <w:t>年度</w:t>
      </w:r>
      <w:r w:rsidR="00315D80">
        <w:rPr>
          <w:rFonts w:ascii="仿宋" w:eastAsia="仿宋" w:hAnsi="仿宋" w:cstheme="minorBidi" w:hint="eastAsia"/>
          <w:sz w:val="32"/>
          <w:szCs w:val="32"/>
        </w:rPr>
        <w:t>汇算清缴期内</w:t>
      </w:r>
      <w:r w:rsidR="00A6145A">
        <w:rPr>
          <w:rFonts w:ascii="仿宋" w:eastAsia="仿宋" w:hAnsi="仿宋" w:cstheme="minorBidi" w:hint="eastAsia"/>
          <w:sz w:val="32"/>
          <w:szCs w:val="32"/>
        </w:rPr>
        <w:t>再由总机构</w:t>
      </w:r>
      <w:r w:rsidR="00C4635E" w:rsidRPr="00EB45D6">
        <w:rPr>
          <w:rFonts w:ascii="仿宋" w:eastAsia="仿宋" w:hAnsi="仿宋" w:cstheme="minorBidi" w:hint="eastAsia"/>
          <w:sz w:val="32"/>
          <w:szCs w:val="32"/>
        </w:rPr>
        <w:t>按照</w:t>
      </w:r>
      <w:r w:rsidR="00C4635E" w:rsidRPr="002731F4">
        <w:rPr>
          <w:rFonts w:ascii="仿宋" w:eastAsia="仿宋" w:hAnsi="仿宋" w:hint="eastAsia"/>
          <w:sz w:val="32"/>
          <w:szCs w:val="32"/>
        </w:rPr>
        <w:t>2012年第57号公告</w:t>
      </w:r>
      <w:r w:rsidR="00C4635E" w:rsidRPr="00EB45D6">
        <w:rPr>
          <w:rFonts w:ascii="仿宋" w:eastAsia="仿宋" w:hAnsi="仿宋" w:cstheme="minorBidi" w:hint="eastAsia"/>
          <w:sz w:val="32"/>
          <w:szCs w:val="32"/>
        </w:rPr>
        <w:t>规定的税款分摊方法计算总机构和分支机构的企业所得税应缴应退税款，分别由总机构和分支机构就地办理税款缴库或退库。</w:t>
      </w:r>
    </w:p>
    <w:bookmarkEnd w:id="11"/>
    <w:p w14:paraId="47257F1A" w14:textId="4851767C" w:rsidR="0008319C" w:rsidRPr="002731F4" w:rsidRDefault="0008319C" w:rsidP="00635188">
      <w:pPr>
        <w:spacing w:line="560" w:lineRule="exact"/>
        <w:ind w:firstLineChars="200" w:firstLine="640"/>
        <w:rPr>
          <w:rFonts w:ascii="仿宋" w:eastAsia="仿宋" w:hAnsi="仿宋"/>
          <w:sz w:val="32"/>
          <w:szCs w:val="32"/>
        </w:rPr>
      </w:pPr>
      <w:r w:rsidRPr="002731F4">
        <w:rPr>
          <w:rFonts w:ascii="仿宋" w:eastAsia="仿宋" w:hAnsi="仿宋" w:hint="eastAsia"/>
          <w:sz w:val="32"/>
          <w:szCs w:val="32"/>
        </w:rPr>
        <w:t>二、居民企业的总机构在我市范围内，并同时有跨省市（含省内跨市）分支机构及市内分支机构的，对其在我市范围内的分支机构和其跨省市（含省内跨市）的分支机构均按照</w:t>
      </w:r>
      <w:r w:rsidR="00A33CDA" w:rsidRPr="002731F4">
        <w:rPr>
          <w:rFonts w:ascii="仿宋" w:eastAsia="仿宋" w:hAnsi="仿宋" w:hint="eastAsia"/>
          <w:sz w:val="32"/>
          <w:szCs w:val="32"/>
        </w:rPr>
        <w:t>2012年第57号公告</w:t>
      </w:r>
      <w:r w:rsidRPr="002731F4">
        <w:rPr>
          <w:rFonts w:ascii="仿宋" w:eastAsia="仿宋" w:hAnsi="仿宋" w:hint="eastAsia"/>
          <w:sz w:val="32"/>
          <w:szCs w:val="32"/>
        </w:rPr>
        <w:t>执行。</w:t>
      </w:r>
      <w:bookmarkEnd w:id="4"/>
    </w:p>
    <w:p w14:paraId="0B47C29C" w14:textId="4E17FBB6" w:rsidR="00527800" w:rsidRPr="002731F4" w:rsidRDefault="00527800" w:rsidP="00635188">
      <w:pPr>
        <w:spacing w:line="560" w:lineRule="exact"/>
        <w:ind w:firstLineChars="200" w:firstLine="640"/>
        <w:rPr>
          <w:rFonts w:ascii="仿宋" w:eastAsia="仿宋" w:hAnsi="仿宋"/>
          <w:sz w:val="32"/>
          <w:szCs w:val="32"/>
        </w:rPr>
      </w:pPr>
      <w:r w:rsidRPr="002731F4">
        <w:rPr>
          <w:rFonts w:ascii="仿宋" w:eastAsia="仿宋" w:hAnsi="仿宋" w:hint="eastAsia"/>
          <w:sz w:val="32"/>
          <w:szCs w:val="32"/>
        </w:rPr>
        <w:t>三、以总机构名义进行生产经营的非法人分支机构，无法提供汇总纳税企业分支机构所得税分配表，也无法提供2012年第57号公告第二十三条规定相关证据证明其二级及以下分支机构身份的，应视同独立纳税人计算并就地缴纳企业所得税。</w:t>
      </w:r>
    </w:p>
    <w:p w14:paraId="0489EAE8" w14:textId="47E7669D" w:rsidR="0008319C" w:rsidRPr="002731F4" w:rsidRDefault="00527800" w:rsidP="00635188">
      <w:pPr>
        <w:spacing w:line="560" w:lineRule="exact"/>
        <w:ind w:firstLineChars="200" w:firstLine="640"/>
        <w:rPr>
          <w:rFonts w:ascii="仿宋" w:eastAsia="仿宋" w:hAnsi="仿宋"/>
          <w:sz w:val="32"/>
          <w:szCs w:val="32"/>
        </w:rPr>
      </w:pPr>
      <w:r w:rsidRPr="002731F4">
        <w:rPr>
          <w:rFonts w:ascii="仿宋" w:eastAsia="仿宋" w:hAnsi="仿宋" w:hint="eastAsia"/>
          <w:sz w:val="32"/>
          <w:szCs w:val="32"/>
        </w:rPr>
        <w:t>四</w:t>
      </w:r>
      <w:r w:rsidR="0008319C" w:rsidRPr="002731F4">
        <w:rPr>
          <w:rFonts w:ascii="仿宋" w:eastAsia="仿宋" w:hAnsi="仿宋" w:hint="eastAsia"/>
          <w:sz w:val="32"/>
          <w:szCs w:val="32"/>
        </w:rPr>
        <w:t>、</w:t>
      </w:r>
      <w:bookmarkStart w:id="12" w:name="_Hlk6156220"/>
      <w:r w:rsidR="0008319C" w:rsidRPr="002731F4">
        <w:rPr>
          <w:rFonts w:ascii="仿宋" w:eastAsia="仿宋" w:hAnsi="仿宋" w:hint="eastAsia"/>
          <w:sz w:val="32"/>
          <w:szCs w:val="32"/>
        </w:rPr>
        <w:t>本公告自</w:t>
      </w:r>
      <w:r w:rsidR="002308F7" w:rsidRPr="002731F4">
        <w:rPr>
          <w:rFonts w:ascii="仿宋" w:eastAsia="仿宋" w:hAnsi="仿宋" w:hint="eastAsia"/>
          <w:sz w:val="32"/>
          <w:szCs w:val="32"/>
        </w:rPr>
        <w:t>发布之日起施行</w:t>
      </w:r>
      <w:r w:rsidR="0008319C" w:rsidRPr="002731F4">
        <w:rPr>
          <w:rFonts w:ascii="仿宋" w:eastAsia="仿宋" w:hAnsi="仿宋" w:hint="eastAsia"/>
          <w:sz w:val="32"/>
          <w:szCs w:val="32"/>
        </w:rPr>
        <w:t>。</w:t>
      </w:r>
      <w:bookmarkStart w:id="13" w:name="_Hlk6165095"/>
      <w:bookmarkEnd w:id="12"/>
      <w:r w:rsidR="0008319C" w:rsidRPr="002731F4">
        <w:rPr>
          <w:rFonts w:ascii="仿宋" w:eastAsia="仿宋" w:hAnsi="仿宋" w:hint="eastAsia"/>
          <w:sz w:val="32"/>
          <w:szCs w:val="32"/>
        </w:rPr>
        <w:t>《中山市国家税务局 中山市地方税务局关于我市跨地区经营汇总纳税企业所得税征收管理有关问题的公告》（中山市国家税务局 中山市地方税务局公告2013年3号）同时停止执行。</w:t>
      </w:r>
      <w:bookmarkEnd w:id="13"/>
    </w:p>
    <w:p w14:paraId="3A056D52" w14:textId="77777777" w:rsidR="0008319C" w:rsidRPr="002731F4" w:rsidRDefault="0008319C" w:rsidP="00635188">
      <w:pPr>
        <w:spacing w:line="560" w:lineRule="exact"/>
        <w:ind w:firstLineChars="200" w:firstLine="640"/>
        <w:rPr>
          <w:rFonts w:ascii="仿宋" w:eastAsia="仿宋" w:hAnsi="仿宋"/>
          <w:sz w:val="32"/>
          <w:szCs w:val="32"/>
        </w:rPr>
      </w:pPr>
      <w:r w:rsidRPr="002731F4">
        <w:rPr>
          <w:rFonts w:ascii="仿宋" w:eastAsia="仿宋" w:hAnsi="仿宋" w:hint="eastAsia"/>
          <w:sz w:val="32"/>
          <w:szCs w:val="32"/>
        </w:rPr>
        <w:t>特此公告</w:t>
      </w:r>
    </w:p>
    <w:p w14:paraId="7D3FAE9D" w14:textId="77777777" w:rsidR="0008319C" w:rsidRPr="002731F4" w:rsidRDefault="0008319C" w:rsidP="00635188">
      <w:pPr>
        <w:spacing w:line="560" w:lineRule="exact"/>
        <w:ind w:firstLineChars="200" w:firstLine="640"/>
        <w:rPr>
          <w:rFonts w:ascii="仿宋" w:eastAsia="仿宋" w:hAnsi="仿宋"/>
          <w:sz w:val="32"/>
          <w:szCs w:val="32"/>
        </w:rPr>
      </w:pPr>
    </w:p>
    <w:p w14:paraId="0F1AB659" w14:textId="77777777" w:rsidR="0008319C" w:rsidRDefault="0008319C" w:rsidP="00635188">
      <w:pPr>
        <w:spacing w:line="560" w:lineRule="exact"/>
        <w:ind w:firstLineChars="200" w:firstLine="640"/>
        <w:rPr>
          <w:rFonts w:ascii="仿宋" w:eastAsia="仿宋" w:hAnsi="仿宋" w:hint="eastAsia"/>
          <w:sz w:val="32"/>
          <w:szCs w:val="32"/>
        </w:rPr>
      </w:pPr>
      <w:r w:rsidRPr="002731F4">
        <w:rPr>
          <w:rFonts w:ascii="仿宋" w:eastAsia="仿宋" w:hAnsi="仿宋" w:hint="eastAsia"/>
          <w:sz w:val="32"/>
          <w:szCs w:val="32"/>
        </w:rPr>
        <w:t>附件：</w:t>
      </w:r>
      <w:r w:rsidR="005A488E" w:rsidRPr="002731F4">
        <w:rPr>
          <w:rFonts w:ascii="仿宋" w:eastAsia="仿宋" w:hAnsi="仿宋" w:hint="eastAsia"/>
          <w:sz w:val="32"/>
          <w:szCs w:val="32"/>
        </w:rPr>
        <w:t>企业所得税汇总纳税总分机构信息备案表</w:t>
      </w:r>
    </w:p>
    <w:p w14:paraId="644FE751" w14:textId="77777777" w:rsidR="00B26366" w:rsidRDefault="00B26366" w:rsidP="00635188">
      <w:pPr>
        <w:spacing w:line="560" w:lineRule="exact"/>
        <w:ind w:firstLineChars="200" w:firstLine="640"/>
        <w:rPr>
          <w:rFonts w:ascii="仿宋" w:eastAsia="仿宋" w:hAnsi="仿宋" w:hint="eastAsia"/>
          <w:sz w:val="32"/>
          <w:szCs w:val="32"/>
        </w:rPr>
      </w:pPr>
    </w:p>
    <w:p w14:paraId="4C413CE8" w14:textId="77777777" w:rsidR="00B26366" w:rsidRDefault="00B26366" w:rsidP="00635188">
      <w:pPr>
        <w:spacing w:line="560" w:lineRule="exact"/>
        <w:ind w:firstLineChars="200" w:firstLine="640"/>
        <w:rPr>
          <w:rFonts w:ascii="仿宋" w:eastAsia="仿宋" w:hAnsi="仿宋" w:hint="eastAsia"/>
          <w:sz w:val="32"/>
          <w:szCs w:val="32"/>
        </w:rPr>
      </w:pPr>
    </w:p>
    <w:p w14:paraId="6869F620" w14:textId="421845A6" w:rsidR="00B26366" w:rsidRDefault="00B26366" w:rsidP="00B26366">
      <w:pPr>
        <w:spacing w:line="560" w:lineRule="exact"/>
        <w:ind w:firstLineChars="200" w:firstLine="640"/>
        <w:jc w:val="right"/>
        <w:rPr>
          <w:rFonts w:ascii="仿宋" w:eastAsia="仿宋" w:hAnsi="仿宋" w:hint="eastAsia"/>
          <w:sz w:val="32"/>
          <w:szCs w:val="32"/>
        </w:rPr>
      </w:pPr>
      <w:r>
        <w:rPr>
          <w:rFonts w:ascii="仿宋" w:eastAsia="仿宋" w:hAnsi="仿宋" w:hint="eastAsia"/>
          <w:sz w:val="32"/>
          <w:szCs w:val="32"/>
        </w:rPr>
        <w:t>国家税务总局中山市税务局</w:t>
      </w:r>
    </w:p>
    <w:p w14:paraId="3834D376" w14:textId="72414000" w:rsidR="00B26366" w:rsidRPr="00B26366" w:rsidRDefault="00B26366" w:rsidP="00B26366">
      <w:pPr>
        <w:spacing w:line="560" w:lineRule="exact"/>
        <w:ind w:firstLineChars="200" w:firstLine="640"/>
        <w:jc w:val="right"/>
        <w:rPr>
          <w:rFonts w:ascii="仿宋" w:eastAsia="仿宋" w:hAnsi="仿宋"/>
          <w:sz w:val="32"/>
          <w:szCs w:val="32"/>
        </w:rPr>
      </w:pPr>
      <w:r>
        <w:rPr>
          <w:rFonts w:ascii="仿宋" w:eastAsia="仿宋" w:hAnsi="仿宋" w:hint="eastAsia"/>
          <w:sz w:val="32"/>
          <w:szCs w:val="32"/>
        </w:rPr>
        <w:t>2019年   月   日</w:t>
      </w:r>
    </w:p>
    <w:p w14:paraId="47658B57" w14:textId="77777777" w:rsidR="00B26366" w:rsidRPr="002731F4" w:rsidRDefault="00B26366">
      <w:pPr>
        <w:spacing w:line="560" w:lineRule="exact"/>
        <w:ind w:firstLineChars="200" w:firstLine="640"/>
        <w:rPr>
          <w:rFonts w:ascii="仿宋" w:eastAsia="仿宋" w:hAnsi="仿宋"/>
          <w:sz w:val="32"/>
          <w:szCs w:val="32"/>
        </w:rPr>
      </w:pPr>
    </w:p>
    <w:sectPr w:rsidR="00B26366" w:rsidRPr="002731F4">
      <w:footerReference w:type="default" r:id="rId7"/>
      <w:pgSz w:w="11906" w:h="16838"/>
      <w:pgMar w:top="1440" w:right="1800" w:bottom="1440" w:left="1800" w:header="851" w:footer="992" w:gutter="0"/>
      <w:cols w:space="720"/>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3BC86EA8" w14:textId="77777777" w:rsidR="00585FDE" w:rsidRDefault="00585FDE">
      <w:r>
        <w:separator/>
      </w:r>
    </w:p>
  </w:endnote>
  <w:endnote w:type="continuationSeparator" w:id="0">
    <w:p w14:paraId="14D65275" w14:textId="77777777" w:rsidR="00585FDE" w:rsidRDefault="00585FD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2A87" w:usb1="00000000" w:usb2="00000000"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仿宋">
    <w:panose1 w:val="02010609060101010101"/>
    <w:charset w:val="86"/>
    <w:family w:val="modern"/>
    <w:pitch w:val="fixed"/>
    <w:sig w:usb0="800002BF" w:usb1="38CF7CFA" w:usb2="00000016" w:usb3="00000000" w:csb0="00040001" w:csb1="00000000"/>
  </w:font>
  <w:font w:name="等线 Light">
    <w:altName w:val="Arial Unicode MS"/>
    <w:charset w:val="86"/>
    <w:family w:val="auto"/>
    <w:pitch w:val="variable"/>
    <w:sig w:usb0="00000000" w:usb1="38CF7CFA" w:usb2="00000016" w:usb3="00000000" w:csb0="0004000F" w:csb1="00000000"/>
  </w:font>
  <w:font w:name="等线">
    <w:altName w:val="Arial Unicode MS"/>
    <w:charset w:val="86"/>
    <w:family w:val="auto"/>
    <w:pitch w:val="variable"/>
    <w:sig w:usb0="00000000" w:usb1="38CF7CFA" w:usb2="00000016" w:usb3="00000000" w:csb0="0004000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8475D85" w14:textId="1CB56F1E" w:rsidR="0008319C" w:rsidRDefault="00CB7002">
    <w:pPr>
      <w:pStyle w:val="a4"/>
    </w:pPr>
    <w:r>
      <w:rPr>
        <w:noProof/>
      </w:rPr>
      <mc:AlternateContent>
        <mc:Choice Requires="wps">
          <w:drawing>
            <wp:anchor distT="0" distB="0" distL="114300" distR="114300" simplePos="0" relativeHeight="251657728" behindDoc="0" locked="0" layoutInCell="1" allowOverlap="1" wp14:anchorId="44DEB609" wp14:editId="0201DE2F">
              <wp:simplePos x="0" y="0"/>
              <wp:positionH relativeFrom="margin">
                <wp:align>center</wp:align>
              </wp:positionH>
              <wp:positionV relativeFrom="paragraph">
                <wp:posOffset>0</wp:posOffset>
              </wp:positionV>
              <wp:extent cx="57785" cy="131445"/>
              <wp:effectExtent l="0" t="0" r="0" b="0"/>
              <wp:wrapNone/>
              <wp:docPr id="1" name="文本框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785" cy="1314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EFA48CB" w14:textId="77777777" w:rsidR="0008319C" w:rsidRDefault="0008319C">
                          <w:pPr>
                            <w:snapToGrid w:val="0"/>
                            <w:rPr>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rsidR="00A5016A">
                            <w:rPr>
                              <w:noProof/>
                              <w:sz w:val="18"/>
                            </w:rPr>
                            <w:t>2</w:t>
                          </w:r>
                          <w:r>
                            <w:rPr>
                              <w:rFonts w:hint="eastAsia"/>
                              <w:sz w:val="18"/>
                            </w:rPr>
                            <w:fldChar w:fldCharType="end"/>
                          </w: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文本框 1" o:spid="_x0000_s1026" type="#_x0000_t202" style="position:absolute;margin-left:0;margin-top:0;width:4.55pt;height:10.35pt;z-index:251657728;visibility:visible;mso-wrap-style:non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" filled="f" stroked="f">
              <v:textbox style="mso-fit-shape-to-text:t" inset="0,0,0,0">
                <w:txbxContent>
                  <w:p w14:paraId="2EFA48CB" w14:textId="77777777" w:rsidR="0008319C" w:rsidRDefault="0008319C">
                    <w:pPr>
                      <w:snapToGrid w:val="0"/>
                      <w:rPr>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rsidR="00A5016A">
                      <w:rPr>
                        <w:noProof/>
                        <w:sz w:val="18"/>
                      </w:rPr>
                      <w:t>2</w:t>
                    </w:r>
                    <w:r>
                      <w:rPr>
                        <w:rFonts w:hint="eastAsia"/>
                        <w:sz w:val="18"/>
                      </w:rPr>
                      <w:fldChar w:fldCharType="end"/>
                    </w:r>
                  </w:p>
                </w:txbxContent>
              </v:textbox>
              <w10:wrap anchorx="margin"/>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00FE2ACA" w14:textId="77777777" w:rsidR="00585FDE" w:rsidRDefault="00585FDE">
      <w:r>
        <w:separator/>
      </w:r>
    </w:p>
  </w:footnote>
  <w:footnote w:type="continuationSeparator" w:id="0">
    <w:p w14:paraId="1D337B36" w14:textId="77777777" w:rsidR="00585FDE" w:rsidRDefault="00585FDE">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420"/>
  <w:drawingGridVerticalSpacing w:val="156"/>
  <w:displayHorizontalDrawingGridEvery w:val="0"/>
  <w:displayVerticalDrawingGridEvery w:val="2"/>
  <w:characterSpacingControl w:val="compressPunctuation"/>
  <w:doNotValidateAgainstSchema/>
  <w:doNotDemarcateInvalidXml/>
  <w:hdrShapeDefaults>
    <o:shapedefaults v:ext="edit" spidmax="2049" fillcolor="#9cbee0" strokecolor="#739cc3">
      <v:fill color="#9cbee0" color2="#bbd5f0" type="gradient">
        <o:fill v:ext="view" type="gradientUnscaled"/>
      </v:fill>
      <v:stroke color="#739cc3" weight="1.25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72A27"/>
    <w:rsid w:val="00013394"/>
    <w:rsid w:val="00074C24"/>
    <w:rsid w:val="0008319C"/>
    <w:rsid w:val="00134A39"/>
    <w:rsid w:val="00134FA4"/>
    <w:rsid w:val="0014361F"/>
    <w:rsid w:val="00172A27"/>
    <w:rsid w:val="00195A0C"/>
    <w:rsid w:val="001D7176"/>
    <w:rsid w:val="00223982"/>
    <w:rsid w:val="002308F7"/>
    <w:rsid w:val="00267AEC"/>
    <w:rsid w:val="002731F4"/>
    <w:rsid w:val="0027499F"/>
    <w:rsid w:val="002766CB"/>
    <w:rsid w:val="002E366A"/>
    <w:rsid w:val="002F4092"/>
    <w:rsid w:val="00315D80"/>
    <w:rsid w:val="00346C83"/>
    <w:rsid w:val="0035300B"/>
    <w:rsid w:val="003642FD"/>
    <w:rsid w:val="00390E0E"/>
    <w:rsid w:val="00395C99"/>
    <w:rsid w:val="003D3F36"/>
    <w:rsid w:val="004458D3"/>
    <w:rsid w:val="00515564"/>
    <w:rsid w:val="00527800"/>
    <w:rsid w:val="00585FDE"/>
    <w:rsid w:val="0059209D"/>
    <w:rsid w:val="005A488E"/>
    <w:rsid w:val="005F4959"/>
    <w:rsid w:val="00635188"/>
    <w:rsid w:val="006702C7"/>
    <w:rsid w:val="006C3F57"/>
    <w:rsid w:val="006F5982"/>
    <w:rsid w:val="0071421B"/>
    <w:rsid w:val="00715D72"/>
    <w:rsid w:val="007F2B74"/>
    <w:rsid w:val="00833307"/>
    <w:rsid w:val="008A2F47"/>
    <w:rsid w:val="009027A7"/>
    <w:rsid w:val="00935F52"/>
    <w:rsid w:val="00985C84"/>
    <w:rsid w:val="009B24DF"/>
    <w:rsid w:val="009C116D"/>
    <w:rsid w:val="00A33CDA"/>
    <w:rsid w:val="00A5016A"/>
    <w:rsid w:val="00A6145A"/>
    <w:rsid w:val="00A87209"/>
    <w:rsid w:val="00B26366"/>
    <w:rsid w:val="00B606CD"/>
    <w:rsid w:val="00B73817"/>
    <w:rsid w:val="00B87E17"/>
    <w:rsid w:val="00BC58F9"/>
    <w:rsid w:val="00C4635E"/>
    <w:rsid w:val="00C72DE8"/>
    <w:rsid w:val="00CB7002"/>
    <w:rsid w:val="00D5492C"/>
    <w:rsid w:val="00DB54F9"/>
    <w:rsid w:val="00DB7A90"/>
    <w:rsid w:val="00DE5C37"/>
    <w:rsid w:val="00DF1821"/>
    <w:rsid w:val="00E11FBD"/>
    <w:rsid w:val="00E763BC"/>
    <w:rsid w:val="00EC0D36"/>
    <w:rsid w:val="00F110BF"/>
    <w:rsid w:val="00F24323"/>
    <w:rsid w:val="00F5638C"/>
    <w:rsid w:val="00FA20AF"/>
    <w:rsid w:val="00FA3575"/>
    <w:rsid w:val="00FA62A5"/>
    <w:rsid w:val="03F54915"/>
    <w:rsid w:val="05D13322"/>
    <w:rsid w:val="0DD35008"/>
    <w:rsid w:val="12190BB1"/>
    <w:rsid w:val="1E3635A0"/>
    <w:rsid w:val="364D474D"/>
    <w:rsid w:val="3E546BD2"/>
    <w:rsid w:val="44F362C4"/>
    <w:rsid w:val="69BF7693"/>
    <w:rsid w:val="7C18435D"/>
    <w:rsid w:val="7D56305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fillcolor="#9cbee0" strokecolor="#739cc3">
      <v:fill color="#9cbee0" color2="#bbd5f0" type="gradient">
        <o:fill v:ext="view" type="gradientUnscaled"/>
      </v:fill>
      <v:stroke color="#739cc3" weight="1.25pt"/>
    </o:shapedefaults>
    <o:shapelayout v:ext="edit">
      <o:idmap v:ext="edit" data="1"/>
    </o:shapelayout>
  </w:shapeDefaults>
  <w:decimalSymbol w:val="."/>
  <w:listSeparator w:val=","/>
  <w14:docId w14:val="2315689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宋体" w:hAnsi="Times New Roman" w:cs="Times New Roman"/>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semiHidden="0" w:uiPriority="0" w:unhideWhenUsed="0"/>
    <w:lsdException w:name="footer" w:semiHidden="0" w:uiPriority="0" w:unhideWhenUsed="0"/>
    <w:lsdException w:name="caption" w:uiPriority="35" w:qFormat="1"/>
    <w:lsdException w:name="Title" w:semiHidden="0" w:uiPriority="10" w:unhideWhenUsed="0" w:qFormat="1"/>
    <w:lsdException w:name="Default Paragraph Font" w:semiHidden="0" w:uiPriority="0" w:unhideWhenUsed="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nhideWhenUsed="0" w:qFormat="1"/>
    <w:lsdException w:name="Intense Quote" w:semiHidden="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rPr>
      <w:kern w:val="2"/>
      <w:sz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pPr>
      <w:pBdr>
        <w:top w:val="none" w:sz="0" w:space="1" w:color="auto"/>
        <w:left w:val="none" w:sz="0" w:space="4" w:color="auto"/>
        <w:bottom w:val="none" w:sz="0" w:space="1" w:color="auto"/>
        <w:right w:val="none" w:sz="0" w:space="4" w:color="auto"/>
      </w:pBdr>
      <w:tabs>
        <w:tab w:val="center" w:pos="4153"/>
        <w:tab w:val="right" w:pos="8306"/>
      </w:tabs>
      <w:snapToGrid w:val="0"/>
    </w:pPr>
    <w:rPr>
      <w:sz w:val="18"/>
    </w:rPr>
  </w:style>
  <w:style w:type="paragraph" w:styleId="a4">
    <w:name w:val="footer"/>
    <w:basedOn w:val="a"/>
    <w:pPr>
      <w:tabs>
        <w:tab w:val="center" w:pos="4153"/>
        <w:tab w:val="right" w:pos="8306"/>
      </w:tabs>
      <w:snapToGrid w:val="0"/>
      <w:jc w:val="left"/>
    </w:pPr>
    <w:rPr>
      <w:sz w:val="18"/>
    </w:rPr>
  </w:style>
  <w:style w:type="character" w:styleId="a5">
    <w:name w:val="Hyperlink"/>
    <w:uiPriority w:val="99"/>
    <w:semiHidden/>
    <w:unhideWhenUsed/>
    <w:rsid w:val="00395C99"/>
    <w:rPr>
      <w:color w:val="0000FF"/>
      <w:u w:val="single"/>
    </w:rPr>
  </w:style>
  <w:style w:type="paragraph" w:styleId="a6">
    <w:name w:val="Balloon Text"/>
    <w:basedOn w:val="a"/>
    <w:link w:val="Char"/>
    <w:uiPriority w:val="99"/>
    <w:semiHidden/>
    <w:unhideWhenUsed/>
    <w:rsid w:val="00E11FBD"/>
    <w:rPr>
      <w:sz w:val="18"/>
      <w:szCs w:val="18"/>
    </w:rPr>
  </w:style>
  <w:style w:type="character" w:customStyle="1" w:styleId="Char">
    <w:name w:val="批注框文本 Char"/>
    <w:basedOn w:val="a0"/>
    <w:link w:val="a6"/>
    <w:uiPriority w:val="99"/>
    <w:semiHidden/>
    <w:rsid w:val="00E11FBD"/>
    <w:rPr>
      <w:kern w:val="2"/>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宋体" w:hAnsi="Times New Roman" w:cs="Times New Roman"/>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semiHidden="0" w:uiPriority="0" w:unhideWhenUsed="0"/>
    <w:lsdException w:name="footer" w:semiHidden="0" w:uiPriority="0" w:unhideWhenUsed="0"/>
    <w:lsdException w:name="caption" w:uiPriority="35" w:qFormat="1"/>
    <w:lsdException w:name="Title" w:semiHidden="0" w:uiPriority="10" w:unhideWhenUsed="0" w:qFormat="1"/>
    <w:lsdException w:name="Default Paragraph Font" w:semiHidden="0" w:uiPriority="0" w:unhideWhenUsed="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nhideWhenUsed="0" w:qFormat="1"/>
    <w:lsdException w:name="Intense Quote" w:semiHidden="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rPr>
      <w:kern w:val="2"/>
      <w:sz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pPr>
      <w:pBdr>
        <w:top w:val="none" w:sz="0" w:space="1" w:color="auto"/>
        <w:left w:val="none" w:sz="0" w:space="4" w:color="auto"/>
        <w:bottom w:val="none" w:sz="0" w:space="1" w:color="auto"/>
        <w:right w:val="none" w:sz="0" w:space="4" w:color="auto"/>
      </w:pBdr>
      <w:tabs>
        <w:tab w:val="center" w:pos="4153"/>
        <w:tab w:val="right" w:pos="8306"/>
      </w:tabs>
      <w:snapToGrid w:val="0"/>
    </w:pPr>
    <w:rPr>
      <w:sz w:val="18"/>
    </w:rPr>
  </w:style>
  <w:style w:type="paragraph" w:styleId="a4">
    <w:name w:val="footer"/>
    <w:basedOn w:val="a"/>
    <w:pPr>
      <w:tabs>
        <w:tab w:val="center" w:pos="4153"/>
        <w:tab w:val="right" w:pos="8306"/>
      </w:tabs>
      <w:snapToGrid w:val="0"/>
      <w:jc w:val="left"/>
    </w:pPr>
    <w:rPr>
      <w:sz w:val="18"/>
    </w:rPr>
  </w:style>
  <w:style w:type="character" w:styleId="a5">
    <w:name w:val="Hyperlink"/>
    <w:uiPriority w:val="99"/>
    <w:semiHidden/>
    <w:unhideWhenUsed/>
    <w:rsid w:val="00395C99"/>
    <w:rPr>
      <w:color w:val="0000FF"/>
      <w:u w:val="single"/>
    </w:rPr>
  </w:style>
  <w:style w:type="paragraph" w:styleId="a6">
    <w:name w:val="Balloon Text"/>
    <w:basedOn w:val="a"/>
    <w:link w:val="Char"/>
    <w:uiPriority w:val="99"/>
    <w:semiHidden/>
    <w:unhideWhenUsed/>
    <w:rsid w:val="00E11FBD"/>
    <w:rPr>
      <w:sz w:val="18"/>
      <w:szCs w:val="18"/>
    </w:rPr>
  </w:style>
  <w:style w:type="character" w:customStyle="1" w:styleId="Char">
    <w:name w:val="批注框文本 Char"/>
    <w:basedOn w:val="a0"/>
    <w:link w:val="a6"/>
    <w:uiPriority w:val="99"/>
    <w:semiHidden/>
    <w:rsid w:val="00E11FBD"/>
    <w:rPr>
      <w:kern w:val="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x-cp20936"/>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35</TotalTime>
  <Pages>3</Pages>
  <Words>165</Words>
  <Characters>944</Characters>
  <Application>Microsoft Office Word</Application>
  <DocSecurity>0</DocSecurity>
  <PresentationFormat/>
  <Lines>7</Lines>
  <Paragraphs>2</Paragraphs>
  <Slides>0</Slides>
  <Notes>0</Notes>
  <HiddenSlides>0</HiddenSlides>
  <MMClips>0</MMClips>
  <ScaleCrop>false</ScaleCrop>
  <Company/>
  <LinksUpToDate>false</LinksUpToDate>
  <CharactersWithSpaces>1107</CharactersWithSpaces>
  <SharedDoc>false</SharedDoc>
  <HLinks>
    <vt:vector size="6" baseType="variant">
      <vt:variant>
        <vt:i4>3145762</vt:i4>
      </vt:variant>
      <vt:variant>
        <vt:i4>0</vt:i4>
      </vt:variant>
      <vt:variant>
        <vt:i4>0</vt:i4>
      </vt:variant>
      <vt:variant>
        <vt:i4>5</vt:i4>
      </vt:variant>
      <vt:variant>
        <vt:lpwstr>http://www.shui5.cn/article/82/121383.html</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国家税务总局中山市税务局关于我市跨地区经营汇总纳税企业所得税征收管理有关问题的公告</dc:title>
  <dc:creator>张俊栩</dc:creator>
  <cp:lastModifiedBy>黄冠思</cp:lastModifiedBy>
  <cp:revision>12</cp:revision>
  <cp:lastPrinted>2019-05-05T01:58:00Z</cp:lastPrinted>
  <dcterms:created xsi:type="dcterms:W3CDTF">2019-05-05T09:32:00Z</dcterms:created>
  <dcterms:modified xsi:type="dcterms:W3CDTF">2019-05-30T03:03:00Z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2052-9.1.0.4894</vt:lpwstr>
  </property>
</Properties>
</file>