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附件：</w:t>
      </w:r>
    </w:p>
    <w:p>
      <w:pPr>
        <w:widowControl/>
        <w:jc w:val="center"/>
        <w:rPr>
          <w:rFonts w:ascii="宋体" w:cs="Times New Roman"/>
          <w:b/>
          <w:bCs/>
          <w:kern w:val="0"/>
          <w:sz w:val="24"/>
          <w:szCs w:val="24"/>
        </w:rPr>
      </w:pPr>
      <w:bookmarkStart w:id="0" w:name="_GoBack"/>
      <w:r>
        <w:rPr>
          <w:rFonts w:hint="eastAsia" w:ascii="宋体" w:hAnsi="宋体" w:cs="宋体"/>
          <w:b/>
          <w:bCs/>
          <w:kern w:val="0"/>
          <w:sz w:val="36"/>
          <w:szCs w:val="36"/>
        </w:rPr>
        <w:t>政府信息公开工作年度报告格式模板</w:t>
      </w:r>
    </w:p>
    <w:bookmarkEnd w:id="0"/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</w:p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一、总体情况</w:t>
      </w:r>
    </w:p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（文字描述）</w:t>
      </w:r>
    </w:p>
    <w:p>
      <w:pPr>
        <w:widowControl/>
        <w:spacing w:after="240"/>
        <w:ind w:firstLine="480"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二、主动公开政府信息情况</w:t>
      </w:r>
    </w:p>
    <w:tbl>
      <w:tblPr>
        <w:tblStyle w:val="11"/>
        <w:tblW w:w="814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3"/>
        <w:gridCol w:w="1875"/>
        <w:gridCol w:w="6"/>
        <w:gridCol w:w="1265"/>
        <w:gridCol w:w="188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8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本年新</w:t>
            </w:r>
            <w:r>
              <w:rPr>
                <w:rFonts w:ascii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制作数量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本年新</w:t>
            </w:r>
            <w:r>
              <w:rPr>
                <w:rFonts w:ascii="宋体" w:cs="Times New Roman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公开数量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对外公开总数量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18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  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规范性文件</w:t>
            </w:r>
          </w:p>
        </w:tc>
        <w:tc>
          <w:tcPr>
            <w:tcW w:w="18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 xml:space="preserve">  </w:t>
            </w:r>
          </w:p>
        </w:tc>
        <w:tc>
          <w:tcPr>
            <w:tcW w:w="127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上一年项目数量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本年增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/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减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处理决定数量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其他对外管理服务事项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8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上一年项目数量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本年增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/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减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处理决定数量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8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上一年项目数量</w:t>
            </w:r>
          </w:p>
        </w:tc>
        <w:tc>
          <w:tcPr>
            <w:tcW w:w="314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本年增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/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314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8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第二十条第（九）项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采购项目数量</w:t>
            </w:r>
          </w:p>
        </w:tc>
        <w:tc>
          <w:tcPr>
            <w:tcW w:w="314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采购总金额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31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政府集中采购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314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</w:tr>
    </w:tbl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</w:p>
    <w:p>
      <w:pPr>
        <w:widowControl/>
        <w:spacing w:after="240"/>
        <w:ind w:firstLine="480"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三、收到和处理政府信息公开申请情况</w:t>
      </w:r>
    </w:p>
    <w:tbl>
      <w:tblPr>
        <w:tblStyle w:val="11"/>
        <w:tblW w:w="90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"/>
        <w:gridCol w:w="855"/>
        <w:gridCol w:w="2130"/>
        <w:gridCol w:w="825"/>
        <w:gridCol w:w="765"/>
        <w:gridCol w:w="765"/>
        <w:gridCol w:w="825"/>
        <w:gridCol w:w="990"/>
        <w:gridCol w:w="720"/>
        <w:gridCol w:w="7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79" w:type="dxa"/>
            <w:gridSpan w:val="3"/>
            <w:vMerge w:val="restart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5592" w:type="dxa"/>
            <w:gridSpan w:val="7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申请人情况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79" w:type="dxa"/>
            <w:gridSpan w:val="3"/>
            <w:vMerge w:val="continue"/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25" w:type="dxa"/>
            <w:vMerge w:val="restart"/>
            <w:tcBorders>
              <w:top w:val="nil"/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自然人</w:t>
            </w:r>
          </w:p>
        </w:tc>
        <w:tc>
          <w:tcPr>
            <w:tcW w:w="4065" w:type="dxa"/>
            <w:gridSpan w:val="5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法人或其他组织</w:t>
            </w:r>
          </w:p>
        </w:tc>
        <w:tc>
          <w:tcPr>
            <w:tcW w:w="702" w:type="dxa"/>
            <w:vMerge w:val="restart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79" w:type="dxa"/>
            <w:gridSpan w:val="3"/>
            <w:vMerge w:val="continue"/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2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商业企业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科研机构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社会公益组织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法律服务机构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其他</w:t>
            </w:r>
          </w:p>
        </w:tc>
        <w:tc>
          <w:tcPr>
            <w:tcW w:w="702" w:type="dxa"/>
            <w:vMerge w:val="continue"/>
            <w:tcBorders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79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79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restart"/>
            <w:tcBorders>
              <w:top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三、本年度办理结果</w:t>
            </w:r>
          </w:p>
        </w:tc>
        <w:tc>
          <w:tcPr>
            <w:tcW w:w="2985" w:type="dxa"/>
            <w:gridSpan w:val="2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0"/>
                <w:szCs w:val="20"/>
              </w:rPr>
              <w:t>（一）予以公开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985" w:type="dxa"/>
            <w:gridSpan w:val="2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0"/>
                <w:szCs w:val="20"/>
              </w:rPr>
              <w:t>（二）部分公开（区分处理的，只计这一情形，不计其他情形）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0"/>
                <w:szCs w:val="20"/>
              </w:rPr>
              <w:t>（三）不予公开</w:t>
            </w: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1.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属于国家秘密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2.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其他法律行政法规禁止公开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3.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危及“三安全一稳定”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4.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保护第三方合法权益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5.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属于三类内部事务信息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6.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属于四类过程性信息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7.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属于行政执法案卷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8.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属于行政查询事项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0"/>
                <w:szCs w:val="20"/>
              </w:rPr>
              <w:t>（四）无法提供</w:t>
            </w: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1.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本机关不掌握相关政府信息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2.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没有现成信息需要另行制作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3.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补正后申请内容仍不明确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restart"/>
            <w:tcBorders>
              <w:top w:val="nil"/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0"/>
                <w:szCs w:val="20"/>
              </w:rPr>
              <w:t>（五）不予处理</w:t>
            </w: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1.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信访举报投诉类申请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2.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重复申请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3.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要求提供公开出版物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4.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无正当理由大量反复申请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楷体"/>
                <w:sz w:val="20"/>
                <w:szCs w:val="20"/>
              </w:rPr>
              <w:t>5.</w:t>
            </w:r>
            <w:r>
              <w:rPr>
                <w:rFonts w:hint="eastAsia" w:ascii="楷体" w:hAnsi="楷体" w:eastAsia="楷体" w:cs="楷体"/>
                <w:sz w:val="20"/>
                <w:szCs w:val="20"/>
              </w:rPr>
              <w:t>要求行政机关确认或重新出具已获取信息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985" w:type="dxa"/>
            <w:gridSpan w:val="2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0"/>
                <w:szCs w:val="20"/>
              </w:rPr>
              <w:t>（六）其他处理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985" w:type="dxa"/>
            <w:gridSpan w:val="2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0"/>
                <w:szCs w:val="20"/>
              </w:rPr>
              <w:t>（七）总计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79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四、结转下年度继续办理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82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</w:tr>
    </w:tbl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</w:p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四、政府信息公开行政复议、行政诉讼情况</w:t>
      </w:r>
    </w:p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</w:p>
    <w:tbl>
      <w:tblPr>
        <w:tblStyle w:val="11"/>
        <w:tblW w:w="90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74" w:type="dxa"/>
            <w:gridSpan w:val="5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行政复议</w:t>
            </w:r>
          </w:p>
        </w:tc>
        <w:tc>
          <w:tcPr>
            <w:tcW w:w="5997" w:type="dxa"/>
            <w:gridSpan w:val="10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行政诉讼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604" w:type="dxa"/>
            <w:vMerge w:val="restart"/>
            <w:tcBorders>
              <w:top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结果维持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结果纠正</w:t>
            </w:r>
          </w:p>
        </w:tc>
        <w:tc>
          <w:tcPr>
            <w:tcW w:w="604" w:type="dxa"/>
            <w:vMerge w:val="restart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其他结果</w:t>
            </w:r>
          </w:p>
        </w:tc>
        <w:tc>
          <w:tcPr>
            <w:tcW w:w="604" w:type="dxa"/>
            <w:vMerge w:val="restart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尚未审结</w:t>
            </w:r>
          </w:p>
        </w:tc>
        <w:tc>
          <w:tcPr>
            <w:tcW w:w="658" w:type="dxa"/>
            <w:vMerge w:val="restart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总计</w:t>
            </w:r>
          </w:p>
        </w:tc>
        <w:tc>
          <w:tcPr>
            <w:tcW w:w="2970" w:type="dxa"/>
            <w:gridSpan w:val="5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复议后起诉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4" w:type="dxa"/>
            <w:vMerge w:val="continue"/>
            <w:tcBorders>
              <w:top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604" w:type="dxa"/>
            <w:vMerge w:val="continue"/>
            <w:tcBorders>
              <w:top w:val="nil"/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604" w:type="dxa"/>
            <w:vMerge w:val="continue"/>
            <w:tcBorders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604" w:type="dxa"/>
            <w:vMerge w:val="continue"/>
            <w:tcBorders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658" w:type="dxa"/>
            <w:vMerge w:val="continue"/>
            <w:tcBorders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结果纠正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其他结果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尚未审结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结果纠正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06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cs="宋体"/>
                <w:sz w:val="20"/>
                <w:szCs w:val="20"/>
              </w:rPr>
              <w:t>尚未审结</w:t>
            </w:r>
          </w:p>
        </w:tc>
        <w:tc>
          <w:tcPr>
            <w:tcW w:w="606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4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4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4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4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58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06" w:type="dxa"/>
            <w:tcBorders>
              <w:left w:val="nil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sz w:val="20"/>
                <w:szCs w:val="20"/>
              </w:rPr>
              <w:t> </w:t>
            </w:r>
          </w:p>
        </w:tc>
        <w:tc>
          <w:tcPr>
            <w:tcW w:w="606" w:type="dxa"/>
            <w:tcBorders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</w:tc>
      </w:tr>
    </w:tbl>
    <w:p>
      <w:pPr>
        <w:widowControl/>
        <w:jc w:val="center"/>
        <w:rPr>
          <w:rFonts w:ascii="宋体" w:cs="Times New Roman"/>
          <w:kern w:val="0"/>
          <w:sz w:val="24"/>
          <w:szCs w:val="24"/>
        </w:rPr>
      </w:pPr>
    </w:p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五、存在的主要问题及改进情况</w:t>
      </w:r>
    </w:p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（文字描述）</w:t>
      </w:r>
    </w:p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六、其他需要报告的事项</w:t>
      </w:r>
    </w:p>
    <w:p>
      <w:pPr>
        <w:widowControl/>
        <w:ind w:firstLine="480"/>
        <w:rPr>
          <w:rFonts w:ascii="宋体" w:cs="Times New Roman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（文字描述）</w:t>
      </w:r>
    </w:p>
    <w:p>
      <w:pPr>
        <w:rPr>
          <w:rFonts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3C1"/>
    <w:rsid w:val="001840A9"/>
    <w:rsid w:val="00413273"/>
    <w:rsid w:val="005563B3"/>
    <w:rsid w:val="00646173"/>
    <w:rsid w:val="006A63C1"/>
    <w:rsid w:val="007468F8"/>
    <w:rsid w:val="00756132"/>
    <w:rsid w:val="007D6A53"/>
    <w:rsid w:val="00860B91"/>
    <w:rsid w:val="008A6907"/>
    <w:rsid w:val="008D7CCA"/>
    <w:rsid w:val="00901530"/>
    <w:rsid w:val="00907475"/>
    <w:rsid w:val="009B6A58"/>
    <w:rsid w:val="00A054DB"/>
    <w:rsid w:val="00A2497F"/>
    <w:rsid w:val="00A537FC"/>
    <w:rsid w:val="00A55CC3"/>
    <w:rsid w:val="00AB36B5"/>
    <w:rsid w:val="00BD158D"/>
    <w:rsid w:val="00C4556A"/>
    <w:rsid w:val="00DB4B72"/>
    <w:rsid w:val="00E24646"/>
    <w:rsid w:val="00E94D62"/>
    <w:rsid w:val="00F02D2B"/>
    <w:rsid w:val="00F07B94"/>
    <w:rsid w:val="69637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name="header"/>
    <w:lsdException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nhideWhenUsed="0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qFormat/>
    <w:uiPriority w:val="99"/>
    <w:pPr>
      <w:keepNext/>
      <w:keepLines/>
      <w:spacing w:before="120" w:after="120"/>
      <w:jc w:val="center"/>
      <w:outlineLvl w:val="1"/>
    </w:pPr>
    <w:rPr>
      <w:rFonts w:ascii="Cambria" w:hAnsi="Cambria" w:eastAsia="方正小标宋简体" w:cs="Cambria"/>
      <w:sz w:val="36"/>
      <w:szCs w:val="36"/>
    </w:rPr>
  </w:style>
  <w:style w:type="character" w:default="1" w:styleId="9">
    <w:name w:val="Default Paragraph Font"/>
    <w:semiHidden/>
    <w:uiPriority w:val="99"/>
  </w:style>
  <w:style w:type="table" w:default="1" w:styleId="11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4"/>
    <w:semiHidden/>
    <w:uiPriority w:val="99"/>
    <w:pPr>
      <w:ind w:left="100" w:leftChars="2500"/>
    </w:pPr>
  </w:style>
  <w:style w:type="paragraph" w:styleId="5">
    <w:name w:val="Balloon Text"/>
    <w:basedOn w:val="1"/>
    <w:link w:val="17"/>
    <w:semiHidden/>
    <w:uiPriority w:val="99"/>
    <w:rPr>
      <w:sz w:val="18"/>
      <w:szCs w:val="18"/>
    </w:rPr>
  </w:style>
  <w:style w:type="paragraph" w:styleId="6">
    <w:name w:val="footer"/>
    <w:basedOn w:val="1"/>
    <w:link w:val="16"/>
    <w:semiHidden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semiHidden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semiHidden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10">
    <w:name w:val="Hyperlink"/>
    <w:basedOn w:val="9"/>
    <w:semiHidden/>
    <w:uiPriority w:val="99"/>
    <w:rPr>
      <w:color w:val="0000FF"/>
      <w:u w:val="single"/>
    </w:rPr>
  </w:style>
  <w:style w:type="character" w:customStyle="1" w:styleId="12">
    <w:name w:val="Heading 1 Char"/>
    <w:basedOn w:val="9"/>
    <w:link w:val="2"/>
    <w:locked/>
    <w:uiPriority w:val="99"/>
    <w:rPr>
      <w:rFonts w:ascii="Calibri" w:hAnsi="Calibri" w:eastAsia="宋体" w:cs="Calibri"/>
      <w:b/>
      <w:bCs/>
      <w:kern w:val="44"/>
      <w:sz w:val="44"/>
      <w:szCs w:val="44"/>
    </w:rPr>
  </w:style>
  <w:style w:type="character" w:customStyle="1" w:styleId="13">
    <w:name w:val="Heading 2 Char"/>
    <w:basedOn w:val="9"/>
    <w:link w:val="3"/>
    <w:locked/>
    <w:uiPriority w:val="99"/>
    <w:rPr>
      <w:rFonts w:ascii="Cambria" w:hAnsi="Cambria" w:eastAsia="方正小标宋简体" w:cs="Cambria"/>
      <w:sz w:val="36"/>
      <w:szCs w:val="36"/>
    </w:rPr>
  </w:style>
  <w:style w:type="character" w:customStyle="1" w:styleId="14">
    <w:name w:val="Date Char"/>
    <w:basedOn w:val="9"/>
    <w:link w:val="4"/>
    <w:semiHidden/>
    <w:locked/>
    <w:uiPriority w:val="99"/>
    <w:rPr>
      <w:rFonts w:ascii="Calibri" w:hAnsi="Calibri" w:eastAsia="宋体" w:cs="Calibri"/>
      <w:sz w:val="21"/>
      <w:szCs w:val="21"/>
    </w:rPr>
  </w:style>
  <w:style w:type="character" w:customStyle="1" w:styleId="15">
    <w:name w:val="Header Char"/>
    <w:basedOn w:val="9"/>
    <w:link w:val="7"/>
    <w:semiHidden/>
    <w:locked/>
    <w:uiPriority w:val="99"/>
    <w:rPr>
      <w:rFonts w:ascii="Calibri" w:hAnsi="Calibri" w:eastAsia="宋体" w:cs="Calibri"/>
      <w:sz w:val="18"/>
      <w:szCs w:val="18"/>
    </w:rPr>
  </w:style>
  <w:style w:type="character" w:customStyle="1" w:styleId="16">
    <w:name w:val="Footer Char"/>
    <w:basedOn w:val="9"/>
    <w:link w:val="6"/>
    <w:semiHidden/>
    <w:locked/>
    <w:uiPriority w:val="99"/>
    <w:rPr>
      <w:rFonts w:ascii="Calibri" w:hAnsi="Calibri" w:eastAsia="宋体" w:cs="Calibri"/>
      <w:sz w:val="18"/>
      <w:szCs w:val="18"/>
    </w:rPr>
  </w:style>
  <w:style w:type="character" w:customStyle="1" w:styleId="17">
    <w:name w:val="Balloon Text Char"/>
    <w:basedOn w:val="9"/>
    <w:link w:val="5"/>
    <w:semiHidden/>
    <w:locked/>
    <w:uiPriority w:val="99"/>
    <w:rPr>
      <w:rFonts w:ascii="Calibri" w:hAnsi="Calibri" w:eastAsia="宋体" w:cs="Calibri"/>
      <w:sz w:val="18"/>
      <w:szCs w:val="18"/>
    </w:rPr>
  </w:style>
  <w:style w:type="character" w:customStyle="1" w:styleId="18">
    <w:name w:val="font"/>
    <w:basedOn w:val="9"/>
    <w:uiPriority w:val="99"/>
  </w:style>
  <w:style w:type="character" w:customStyle="1" w:styleId="19">
    <w:name w:val="bigger"/>
    <w:basedOn w:val="9"/>
    <w:uiPriority w:val="99"/>
  </w:style>
  <w:style w:type="character" w:customStyle="1" w:styleId="20">
    <w:name w:val="medium"/>
    <w:basedOn w:val="9"/>
    <w:uiPriority w:val="99"/>
  </w:style>
  <w:style w:type="character" w:customStyle="1" w:styleId="21">
    <w:name w:val="smaller"/>
    <w:basedOn w:val="9"/>
    <w:uiPriority w:val="99"/>
  </w:style>
  <w:style w:type="character" w:customStyle="1" w:styleId="22">
    <w:name w:val="gwds_more"/>
    <w:basedOn w:val="9"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3</Pages>
  <Words>201</Words>
  <Characters>1150</Characters>
  <Lines>0</Lines>
  <Paragraphs>0</Paragraphs>
  <TotalTime>67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2019-12-03T02:47:00Z</dcterms:created>
  <dc:creator>undefined</dc:creator>
  <cp:lastModifiedBy>谭琳</cp:lastModifiedBy>
  <dcterms:modified xsi:type="dcterms:W3CDTF">2020-03-13T02:00:07Z</dcterms:modified>
  <dc:title>附件：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