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b/>
          <w:bCs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b/>
          <w:bCs/>
          <w:color w:val="auto"/>
          <w:sz w:val="36"/>
          <w:szCs w:val="36"/>
        </w:rPr>
        <w:t>国家税务总局广州市税务局第一税务分局税务行政职权运行流程图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</w:p>
    <w:p>
      <w:pPr>
        <w:numPr>
          <w:ilvl w:val="0"/>
          <w:numId w:val="1"/>
        </w:numPr>
        <w:adjustRightInd w:val="0"/>
        <w:snapToGrid w:val="0"/>
        <w:spacing w:line="620" w:lineRule="exact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监管执法</w:t>
      </w:r>
    </w:p>
    <w:p>
      <w:pPr>
        <w:numPr>
          <w:ilvl w:val="0"/>
          <w:numId w:val="0"/>
        </w:numPr>
        <w:adjustRightInd w:val="0"/>
        <w:snapToGrid w:val="0"/>
        <w:spacing w:line="620" w:lineRule="exact"/>
        <w:rPr>
          <w:rFonts w:hint="default" w:ascii="黑体" w:hAnsi="黑体" w:eastAsia="黑体"/>
          <w:color w:val="auto"/>
          <w:sz w:val="32"/>
          <w:szCs w:val="22"/>
          <w:lang w:val="en-US" w:eastAsia="zh-CN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纳税人税收风险分析及组织应对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5" o:spt="75" type="#_x0000_t75" style="height:241.5pt;width:128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6EC4B"/>
    <w:multiLevelType w:val="singleLevel"/>
    <w:tmpl w:val="6176EC4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D7465"/>
    <w:rsid w:val="0E433C4A"/>
    <w:rsid w:val="45ED7465"/>
    <w:rsid w:val="528D77B6"/>
    <w:rsid w:val="7D863887"/>
    <w:rsid w:val="7D9A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2025-03-07T02:29:00Z</dcterms:created>
  <dc:creator>Administrator</dc:creator>
  <cp:lastModifiedBy>朱晓</cp:lastModifiedBy>
  <dcterms:modified xsi:type="dcterms:W3CDTF">2026-09-30T08:37:57Z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