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jc w:val="center"/>
        <w:rPr>
          <w:rFonts w:ascii="方正小标宋简体" w:eastAsia="方正小标宋简体" w:cs="Times New Roman"/>
          <w:b/>
          <w:bCs/>
          <w:kern w:val="0"/>
          <w:sz w:val="36"/>
          <w:szCs w:val="36"/>
        </w:rPr>
      </w:pPr>
      <w:r>
        <w:rPr>
          <w:rFonts w:hint="eastAsia" w:ascii="方正小标宋简体" w:hAnsi="宋体" w:eastAsia="方正小标宋简体" w:cs="宋体"/>
          <w:b/>
          <w:bCs/>
          <w:kern w:val="0"/>
          <w:sz w:val="36"/>
          <w:szCs w:val="36"/>
        </w:rPr>
        <w:t>龙门县非营利组织免税资格认定申报指引</w:t>
      </w:r>
    </w:p>
    <w:p>
      <w:pPr>
        <w:widowControl/>
        <w:spacing w:beforeLines="50" w:afterLines="50" w:line="360" w:lineRule="auto"/>
        <w:ind w:firstLine="554" w:firstLineChars="197"/>
        <w:jc w:val="left"/>
        <w:rPr>
          <w:rFonts w:ascii="楷体_GB2312" w:hAnsi="宋体" w:eastAsia="楷体_GB2312" w:cs="Times New Roman"/>
          <w:b/>
          <w:bCs/>
          <w:sz w:val="28"/>
          <w:szCs w:val="28"/>
        </w:rPr>
      </w:pP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一、受理方式及时间</w:t>
      </w:r>
    </w:p>
    <w:p>
      <w:pPr>
        <w:widowControl/>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楷体_GB2312"/>
          <w:sz w:val="32"/>
          <w:szCs w:val="32"/>
        </w:rPr>
        <w:t>为方便社会组织，经县级（或以上）登记机关批准设立的社会组织，其非营利组织免税资格申请材料，先交至主管税务机关，接收</w:t>
      </w:r>
      <w:r>
        <w:rPr>
          <w:rFonts w:hint="eastAsia" w:ascii="仿宋_GB2312" w:hAnsi="宋体" w:eastAsia="仿宋_GB2312" w:cs="楷体_GB2312"/>
          <w:sz w:val="32"/>
          <w:szCs w:val="32"/>
          <w:lang w:eastAsia="zh-CN"/>
        </w:rPr>
        <w:t>初审</w:t>
      </w:r>
      <w:r>
        <w:rPr>
          <w:rFonts w:hint="eastAsia" w:ascii="仿宋_GB2312" w:hAnsi="宋体" w:eastAsia="仿宋_GB2312" w:cs="楷体_GB2312"/>
          <w:sz w:val="32"/>
          <w:szCs w:val="32"/>
        </w:rPr>
        <w:t>后交由县级财税部门联合审核认定。</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202</w:t>
      </w:r>
      <w:r>
        <w:rPr>
          <w:rFonts w:hint="eastAsia" w:ascii="仿宋_GB2312" w:hAnsi="宋体" w:eastAsia="仿宋_GB2312" w:cs="楷体_GB2312"/>
          <w:sz w:val="32"/>
          <w:szCs w:val="32"/>
          <w:lang w:val="en-US" w:eastAsia="zh-CN"/>
        </w:rPr>
        <w:t>1</w:t>
      </w:r>
      <w:r>
        <w:rPr>
          <w:rFonts w:hint="eastAsia" w:ascii="仿宋_GB2312" w:hAnsi="宋体" w:eastAsia="仿宋_GB2312" w:cs="楷体_GB2312"/>
          <w:sz w:val="32"/>
          <w:szCs w:val="32"/>
        </w:rPr>
        <w:t>年度</w:t>
      </w:r>
      <w:r>
        <w:rPr>
          <w:rFonts w:hint="eastAsia" w:ascii="仿宋_GB2312" w:hAnsi="宋体" w:eastAsia="仿宋_GB2312" w:cs="楷体_GB2312"/>
          <w:sz w:val="32"/>
          <w:szCs w:val="32"/>
          <w:lang w:eastAsia="zh-CN"/>
        </w:rPr>
        <w:t>县</w:t>
      </w:r>
      <w:r>
        <w:rPr>
          <w:rFonts w:hint="eastAsia" w:ascii="仿宋_GB2312" w:hAnsi="宋体" w:eastAsia="仿宋_GB2312" w:cs="楷体_GB2312"/>
          <w:sz w:val="32"/>
          <w:szCs w:val="32"/>
        </w:rPr>
        <w:t>级非营利组织免税资格申请受理时间为</w:t>
      </w:r>
      <w:r>
        <w:rPr>
          <w:rFonts w:hint="eastAsia" w:ascii="仿宋_GB2312" w:hAnsi="宋体" w:eastAsia="仿宋_GB2312" w:cs="楷体_GB2312"/>
          <w:sz w:val="32"/>
          <w:szCs w:val="32"/>
          <w:lang w:val="en-US" w:eastAsia="zh-CN"/>
        </w:rPr>
        <w:t>2022年2月16</w:t>
      </w:r>
      <w:r>
        <w:rPr>
          <w:rFonts w:hint="eastAsia" w:ascii="仿宋_GB2312" w:hAnsi="宋体" w:eastAsia="仿宋_GB2312" w:cs="楷体_GB2312"/>
          <w:sz w:val="32"/>
          <w:szCs w:val="32"/>
        </w:rPr>
        <w:t>日起至3月31日。</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二、政策依据</w:t>
      </w:r>
    </w:p>
    <w:p>
      <w:pPr>
        <w:widowControl/>
        <w:spacing w:line="360" w:lineRule="auto"/>
        <w:ind w:firstLine="480" w:firstLineChars="150"/>
        <w:rPr>
          <w:rFonts w:ascii="仿宋_GB2312" w:hAnsi="宋体" w:eastAsia="仿宋_GB2312" w:cs="Times New Roman"/>
          <w:sz w:val="32"/>
          <w:szCs w:val="32"/>
        </w:rPr>
      </w:pPr>
      <w:r>
        <w:rPr>
          <w:rFonts w:hint="eastAsia" w:ascii="仿宋_GB2312" w:hAnsi="宋体" w:eastAsia="仿宋_GB2312" w:cs="楷体_GB2312"/>
          <w:sz w:val="32"/>
          <w:szCs w:val="32"/>
        </w:rPr>
        <w:t>（一）《中华人民共和国企业所得税法》第二十六条；</w:t>
      </w:r>
    </w:p>
    <w:p>
      <w:pPr>
        <w:widowControl/>
        <w:spacing w:line="360" w:lineRule="auto"/>
        <w:ind w:firstLine="480" w:firstLineChars="150"/>
        <w:rPr>
          <w:rFonts w:ascii="仿宋_GB2312" w:hAnsi="宋体" w:eastAsia="仿宋_GB2312" w:cs="Times New Roman"/>
          <w:sz w:val="32"/>
          <w:szCs w:val="32"/>
        </w:rPr>
      </w:pPr>
      <w:r>
        <w:rPr>
          <w:rFonts w:hint="eastAsia" w:ascii="仿宋_GB2312" w:hAnsi="宋体" w:eastAsia="仿宋_GB2312" w:cs="楷体_GB2312"/>
          <w:sz w:val="32"/>
          <w:szCs w:val="32"/>
        </w:rPr>
        <w:t>（二）《中华人民共和国企业所得税法实施条例》第八十四条；</w:t>
      </w:r>
    </w:p>
    <w:p>
      <w:pPr>
        <w:widowControl/>
        <w:spacing w:line="360" w:lineRule="auto"/>
        <w:ind w:firstLine="480" w:firstLineChars="150"/>
        <w:rPr>
          <w:rFonts w:ascii="仿宋_GB2312" w:hAnsi="宋体" w:eastAsia="仿宋_GB2312" w:cs="Times New Roman"/>
          <w:sz w:val="32"/>
          <w:szCs w:val="32"/>
        </w:rPr>
      </w:pPr>
      <w:r>
        <w:rPr>
          <w:rFonts w:hint="eastAsia" w:ascii="仿宋_GB2312" w:hAnsi="宋体" w:eastAsia="仿宋_GB2312" w:cs="楷体_GB2312"/>
          <w:sz w:val="32"/>
          <w:szCs w:val="32"/>
        </w:rPr>
        <w:t>（三）《关于非营利组织免税资格认定管理有关问题的通知》（财税〔2018〕13号）。</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三、经认定的非营利组织免税规定</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符合条件的非营利组织经认定后，其取得的以下收入免征企业所得税：</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（一）接受其他单位或个人捐赠的收入;</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（二）除《中华人民共和国企业所得税法》第七条规定的财政拨款以外的其他政府补助收入，但不包括因政府购买服务的收入;</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（三）按照省级以上民政、财政部门规定收取的会费;</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（四）不征税收入和免税收入孳生的银行存款利息收入;</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（五）财政部、国家税务总局规定的其他收入。</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四、申请条件（须同时满足）</w:t>
      </w:r>
    </w:p>
    <w:p>
      <w:pPr>
        <w:widowControl/>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楷体_GB2312"/>
          <w:sz w:val="32"/>
          <w:szCs w:val="32"/>
        </w:rPr>
        <w:t>（一）依照国家有关法律法规设立或登记的事业单位、社会团体、基金会、社会服务机构、宗教活动场所、宗教院校以及财政部、税务总局认定的其他非营利组织；</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（二）从事公益性或者非营利性活动；</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（三）取得的收入除用于与该组织有关的、合理的支出外，全部用于登记核定或者章程规定的公益性或者非营利性事业；</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（四）财产及其孳息不用于分配，但不包括合理的工资薪金支出；</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（五）按照登记核定或者章程规定，该组织注销后的剩余财产用于公益性或者非营利性目的，或者由登记管理机关采取转赠给与该组织性质、宗旨相同的组织等处置方式，并向社会公告；</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（六）投入人对投入该组织的财产不保留或者享有任何财产权利，本款所称投入人是指除各级人民政府及其部门外的法人、自然人和其他组织；</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七）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widowControl/>
        <w:spacing w:line="360" w:lineRule="auto"/>
        <w:ind w:firstLine="480" w:firstLineChars="150"/>
        <w:jc w:val="left"/>
        <w:rPr>
          <w:rFonts w:ascii="仿宋_GB2312" w:hAnsi="宋体" w:eastAsia="仿宋_GB2312" w:cs="Times New Roman"/>
          <w:sz w:val="32"/>
          <w:szCs w:val="32"/>
        </w:rPr>
      </w:pPr>
      <w:r>
        <w:rPr>
          <w:rFonts w:hint="eastAsia" w:ascii="仿宋_GB2312" w:hAnsi="宋体" w:eastAsia="仿宋_GB2312" w:cs="楷体_GB2312"/>
          <w:sz w:val="32"/>
          <w:szCs w:val="32"/>
        </w:rPr>
        <w:t>（八）对取得的应纳税收入及其有关的成本、费用、损失应与免税收入及其有关的成本、费用、损失分别核算。</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五、报送材料（一式三份）</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（一）申请报告、审批表及申请表（见附件）；</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二）经登记管理部门核准的事业单位、社会团体、基金会、社会服务机构的组织章程或宗教活动场所、宗教院校的管理制度复印件（组织章程或管理制度骑缝盖有登记管理部门的章程核准章）注：登记核准的章程规定中必须有申请条件第四、五条的相关内容；</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（三）非营利组织注册登记证件的复印件（正反面）；</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（四）上一年度的资金来源及使用情况、公益活动和非营利活动的明细情况（例如：申请202</w:t>
      </w:r>
      <w:r>
        <w:rPr>
          <w:rFonts w:hint="eastAsia" w:ascii="仿宋_GB2312" w:hAnsi="宋体" w:eastAsia="仿宋_GB2312" w:cs="楷体_GB2312"/>
          <w:sz w:val="32"/>
          <w:szCs w:val="32"/>
          <w:lang w:val="en-US" w:eastAsia="zh-CN"/>
        </w:rPr>
        <w:t>1</w:t>
      </w:r>
      <w:r>
        <w:rPr>
          <w:rFonts w:hint="eastAsia" w:ascii="仿宋_GB2312" w:hAnsi="宋体" w:eastAsia="仿宋_GB2312" w:cs="楷体_GB2312"/>
          <w:sz w:val="32"/>
          <w:szCs w:val="32"/>
        </w:rPr>
        <w:t>-202</w:t>
      </w:r>
      <w:r>
        <w:rPr>
          <w:rFonts w:hint="eastAsia" w:ascii="仿宋_GB2312" w:hAnsi="宋体" w:eastAsia="仿宋_GB2312" w:cs="楷体_GB2312"/>
          <w:sz w:val="32"/>
          <w:szCs w:val="32"/>
          <w:lang w:val="en-US" w:eastAsia="zh-CN"/>
        </w:rPr>
        <w:t>5</w:t>
      </w:r>
      <w:r>
        <w:rPr>
          <w:rFonts w:hint="eastAsia" w:ascii="仿宋_GB2312" w:hAnsi="宋体" w:eastAsia="仿宋_GB2312" w:cs="楷体_GB2312"/>
          <w:sz w:val="32"/>
          <w:szCs w:val="32"/>
        </w:rPr>
        <w:t>年度免税资格的提供20</w:t>
      </w:r>
      <w:r>
        <w:rPr>
          <w:rFonts w:hint="eastAsia" w:ascii="仿宋_GB2312" w:hAnsi="宋体" w:eastAsia="仿宋_GB2312" w:cs="楷体_GB2312"/>
          <w:sz w:val="32"/>
          <w:szCs w:val="32"/>
          <w:lang w:val="en-US" w:eastAsia="zh-CN"/>
        </w:rPr>
        <w:t>20</w:t>
      </w:r>
      <w:r>
        <w:rPr>
          <w:rFonts w:hint="eastAsia" w:ascii="仿宋_GB2312" w:hAnsi="宋体" w:eastAsia="仿宋_GB2312" w:cs="楷体_GB2312"/>
          <w:sz w:val="32"/>
          <w:szCs w:val="32"/>
        </w:rPr>
        <w:t>年的情况）；</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公益性活动是指《慈善法》第三条规定的下列活动：扶贫、济困;扶老、救孤、恤病、助残、优抚;救助自然灾害、事故灾难和公共卫生事件等突发事件造成的损害;促进教育、科学、文化、卫生、体育等事业的发展;防治污染和其他公害，保护和改善生态环境等。</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非营利性活动是指非营利组织登记核定或者章程规定的非营利性活动。</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五）上一年度的工资薪金情况专项报告，包括薪酬制度、工作人员整体平均工资薪金水平、工资福利占总支出比例、重要人员工资薪金信息（至少包括工资薪金水平排名前10的人员，由申请单位法定代表人及财务负责人签名）；</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六）具有资质的中介机构鉴证的上一年度财务报表和审计报告。内容应包含非营利组织取得的应纳税收入与免税收入及其有关的成本、费用、损失分别核算的情况以及工作人员平均工资薪金水平的计算情况。（注：审计报告最后需附有中介机构执业证书复印件和审计人的注册会计师资格证影印件，注册会计师资格证的所在单位必须是出具审计报告的中介机构）；</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（七）登记管理机关出具的事业单位、社会团体、基金会、社会服务机构、宗教活动场所、宗教院校上一年度符合相关法律法规和国家政策的事业发展情况或非营利活动的材料；</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（八）上一年度企业所得税纳税申报情况（例如：申请202</w:t>
      </w:r>
      <w:r>
        <w:rPr>
          <w:rFonts w:hint="eastAsia" w:ascii="仿宋_GB2312" w:hAnsi="宋体" w:eastAsia="仿宋_GB2312" w:cs="楷体_GB2312"/>
          <w:sz w:val="32"/>
          <w:szCs w:val="32"/>
          <w:lang w:val="en-US" w:eastAsia="zh-CN"/>
        </w:rPr>
        <w:t>1</w:t>
      </w:r>
      <w:r>
        <w:rPr>
          <w:rFonts w:hint="eastAsia" w:ascii="仿宋_GB2312" w:hAnsi="宋体" w:eastAsia="仿宋_GB2312" w:cs="楷体_GB2312"/>
          <w:sz w:val="32"/>
          <w:szCs w:val="32"/>
        </w:rPr>
        <w:t>-202</w:t>
      </w:r>
      <w:r>
        <w:rPr>
          <w:rFonts w:hint="eastAsia" w:ascii="仿宋_GB2312" w:hAnsi="宋体" w:eastAsia="仿宋_GB2312" w:cs="楷体_GB2312"/>
          <w:sz w:val="32"/>
          <w:szCs w:val="32"/>
          <w:lang w:val="en-US" w:eastAsia="zh-CN"/>
        </w:rPr>
        <w:t>5</w:t>
      </w:r>
      <w:r>
        <w:rPr>
          <w:rFonts w:hint="eastAsia" w:ascii="仿宋_GB2312" w:hAnsi="宋体" w:eastAsia="仿宋_GB2312" w:cs="楷体_GB2312"/>
          <w:sz w:val="32"/>
          <w:szCs w:val="32"/>
        </w:rPr>
        <w:t>年度免税资格的提供20</w:t>
      </w:r>
      <w:r>
        <w:rPr>
          <w:rFonts w:hint="eastAsia" w:ascii="仿宋_GB2312" w:hAnsi="宋体" w:eastAsia="仿宋_GB2312" w:cs="楷体_GB2312"/>
          <w:sz w:val="32"/>
          <w:szCs w:val="32"/>
          <w:lang w:val="en-US" w:eastAsia="zh-CN"/>
        </w:rPr>
        <w:t>20</w:t>
      </w:r>
      <w:r>
        <w:rPr>
          <w:rFonts w:hint="eastAsia" w:ascii="仿宋_GB2312" w:hAnsi="宋体" w:eastAsia="仿宋_GB2312" w:cs="楷体_GB2312"/>
          <w:sz w:val="32"/>
          <w:szCs w:val="32"/>
        </w:rPr>
        <w:t>年</w:t>
      </w:r>
      <w:r>
        <w:rPr>
          <w:rFonts w:hint="eastAsia" w:ascii="仿宋_GB2312" w:hAnsi="宋体" w:eastAsia="仿宋_GB2312" w:cs="楷体_GB2312"/>
          <w:sz w:val="32"/>
          <w:szCs w:val="32"/>
          <w:lang w:eastAsia="zh-CN"/>
        </w:rPr>
        <w:t>度</w:t>
      </w:r>
      <w:bookmarkStart w:id="0" w:name="_GoBack"/>
      <w:bookmarkEnd w:id="0"/>
      <w:r>
        <w:rPr>
          <w:rFonts w:hint="eastAsia" w:ascii="仿宋_GB2312" w:hAnsi="宋体" w:eastAsia="仿宋_GB2312" w:cs="楷体_GB2312"/>
          <w:sz w:val="32"/>
          <w:szCs w:val="32"/>
        </w:rPr>
        <w:t>纳税申报表）。</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当年新设立或登记的非营利组织需提供本条第（一）项至第（三）项规定的材料及本条第（四）项、第（五）项规定的申请当年的材料，不需提供本条第（六）项至第（八）项规定的材料。</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以上报送的材料请携带原件（与复印件对照），加盖单位公章，并注明联系人的姓名、手机及电子邮箱。</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六、其他事项</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（一）非营利组织免税优惠资格的有效期为5年。不提出复审申请或复审不合格的，其享受免税优惠的资格到期自动失效。非营利组织免税资格复审，按照初次申请免税优惠资格的规定办理。</w:t>
      </w:r>
    </w:p>
    <w:p>
      <w:pPr>
        <w:widowControl/>
        <w:spacing w:line="360" w:lineRule="auto"/>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（二）非营利组织免税的法律责任以及取消免税资格的规定按财税〔2018〕13号文第五、六条执行，请有关非营利组织知悉并遵守有关规定。</w:t>
      </w:r>
    </w:p>
    <w:p>
      <w:pPr>
        <w:widowControl/>
        <w:spacing w:line="360" w:lineRule="auto"/>
        <w:ind w:firstLine="640" w:firstLineChars="200"/>
        <w:rPr>
          <w:rFonts w:ascii="仿宋_GB2312" w:hAnsi="宋体" w:eastAsia="仿宋_GB2312" w:cs="楷体_GB2312"/>
          <w:sz w:val="32"/>
          <w:szCs w:val="32"/>
        </w:rPr>
      </w:pPr>
    </w:p>
    <w:sectPr>
      <w:footerReference r:id="rId3" w:type="default"/>
      <w:pgSz w:w="11906" w:h="16838"/>
      <w:pgMar w:top="1701"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t.祯畴">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rPr>
        <w:rFonts w:ascii="楷体" w:hAnsi="楷体" w:eastAsia="楷体"/>
        <w:sz w:val="21"/>
        <w:szCs w:val="21"/>
      </w:rPr>
    </w:pPr>
    <w:r>
      <w:rPr>
        <w:rFonts w:hint="eastAsia" w:ascii="楷体" w:hAnsi="楷体" w:eastAsia="楷体" w:cs="楷体"/>
        <w:sz w:val="21"/>
        <w:szCs w:val="21"/>
        <w:lang w:val="zh-CN"/>
      </w:rPr>
      <w:t>第</w:t>
    </w:r>
    <w:r>
      <w:rPr>
        <w:rFonts w:ascii="楷体" w:hAnsi="楷体" w:eastAsia="楷体" w:cs="楷体"/>
        <w:sz w:val="21"/>
        <w:szCs w:val="21"/>
        <w:lang w:val="zh-CN"/>
      </w:rPr>
      <w:t xml:space="preserve"> </w:t>
    </w:r>
    <w:r>
      <w:rPr>
        <w:rFonts w:ascii="楷体" w:hAnsi="楷体" w:eastAsia="楷体" w:cs="楷体"/>
        <w:sz w:val="21"/>
        <w:szCs w:val="21"/>
      </w:rPr>
      <w:fldChar w:fldCharType="begin"/>
    </w:r>
    <w:r>
      <w:rPr>
        <w:rFonts w:ascii="楷体" w:hAnsi="楷体" w:eastAsia="楷体" w:cs="楷体"/>
        <w:sz w:val="21"/>
        <w:szCs w:val="21"/>
      </w:rPr>
      <w:instrText xml:space="preserve">PAGE</w:instrText>
    </w:r>
    <w:r>
      <w:rPr>
        <w:rFonts w:ascii="楷体" w:hAnsi="楷体" w:eastAsia="楷体" w:cs="楷体"/>
        <w:sz w:val="21"/>
        <w:szCs w:val="21"/>
      </w:rPr>
      <w:fldChar w:fldCharType="separate"/>
    </w:r>
    <w:r>
      <w:rPr>
        <w:rFonts w:ascii="楷体" w:hAnsi="楷体" w:eastAsia="楷体" w:cs="楷体"/>
        <w:sz w:val="21"/>
        <w:szCs w:val="21"/>
      </w:rPr>
      <w:t>5</w:t>
    </w:r>
    <w:r>
      <w:rPr>
        <w:rFonts w:ascii="楷体" w:hAnsi="楷体" w:eastAsia="楷体" w:cs="楷体"/>
        <w:sz w:val="21"/>
        <w:szCs w:val="21"/>
      </w:rPr>
      <w:fldChar w:fldCharType="end"/>
    </w:r>
    <w:r>
      <w:rPr>
        <w:rFonts w:ascii="楷体" w:hAnsi="楷体" w:eastAsia="楷体" w:cs="楷体"/>
        <w:sz w:val="21"/>
        <w:szCs w:val="21"/>
        <w:lang w:val="zh-CN"/>
      </w:rPr>
      <w:t xml:space="preserve"> </w:t>
    </w:r>
    <w:r>
      <w:rPr>
        <w:rFonts w:hint="eastAsia" w:ascii="楷体" w:hAnsi="楷体" w:eastAsia="楷体" w:cs="楷体"/>
        <w:sz w:val="21"/>
        <w:szCs w:val="21"/>
        <w:lang w:val="zh-CN"/>
      </w:rPr>
      <w:t>页</w:t>
    </w:r>
    <w:r>
      <w:rPr>
        <w:rFonts w:ascii="楷体" w:hAnsi="楷体" w:eastAsia="楷体" w:cs="楷体"/>
        <w:sz w:val="21"/>
        <w:szCs w:val="21"/>
        <w:lang w:val="zh-CN"/>
      </w:rPr>
      <w:t xml:space="preserve">/ </w:t>
    </w:r>
    <w:r>
      <w:rPr>
        <w:rFonts w:hint="eastAsia" w:ascii="楷体" w:hAnsi="楷体" w:eastAsia="楷体" w:cs="楷体"/>
        <w:sz w:val="21"/>
        <w:szCs w:val="21"/>
        <w:lang w:val="zh-CN"/>
      </w:rPr>
      <w:t>共</w:t>
    </w:r>
    <w:r>
      <w:rPr>
        <w:rFonts w:ascii="楷体" w:hAnsi="楷体" w:eastAsia="楷体" w:cs="楷体"/>
        <w:sz w:val="21"/>
        <w:szCs w:val="21"/>
        <w:lang w:val="zh-CN"/>
      </w:rPr>
      <w:t xml:space="preserve"> </w:t>
    </w:r>
    <w:r>
      <w:rPr>
        <w:rFonts w:ascii="楷体" w:hAnsi="楷体" w:eastAsia="楷体" w:cs="楷体"/>
        <w:sz w:val="21"/>
        <w:szCs w:val="21"/>
      </w:rPr>
      <w:fldChar w:fldCharType="begin"/>
    </w:r>
    <w:r>
      <w:rPr>
        <w:rFonts w:ascii="楷体" w:hAnsi="楷体" w:eastAsia="楷体" w:cs="楷体"/>
        <w:sz w:val="21"/>
        <w:szCs w:val="21"/>
      </w:rPr>
      <w:instrText xml:space="preserve">NUMPAGES</w:instrText>
    </w:r>
    <w:r>
      <w:rPr>
        <w:rFonts w:ascii="楷体" w:hAnsi="楷体" w:eastAsia="楷体" w:cs="楷体"/>
        <w:sz w:val="21"/>
        <w:szCs w:val="21"/>
      </w:rPr>
      <w:fldChar w:fldCharType="separate"/>
    </w:r>
    <w:r>
      <w:rPr>
        <w:rFonts w:ascii="楷体" w:hAnsi="楷体" w:eastAsia="楷体" w:cs="楷体"/>
        <w:sz w:val="21"/>
        <w:szCs w:val="21"/>
      </w:rPr>
      <w:t>5</w:t>
    </w:r>
    <w:r>
      <w:rPr>
        <w:rFonts w:ascii="楷体" w:hAnsi="楷体" w:eastAsia="楷体" w:cs="楷体"/>
        <w:sz w:val="21"/>
        <w:szCs w:val="21"/>
      </w:rPr>
      <w:fldChar w:fldCharType="end"/>
    </w:r>
    <w:r>
      <w:rPr>
        <w:rFonts w:ascii="楷体" w:hAnsi="楷体" w:eastAsia="楷体" w:cs="楷体"/>
        <w:sz w:val="21"/>
        <w:szCs w:val="21"/>
      </w:rPr>
      <w:t xml:space="preserve"> </w:t>
    </w:r>
    <w:r>
      <w:rPr>
        <w:rFonts w:hint="eastAsia" w:ascii="楷体" w:hAnsi="楷体" w:eastAsia="楷体" w:cs="楷体"/>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957"/>
    <w:rsid w:val="00004F1E"/>
    <w:rsid w:val="00010247"/>
    <w:rsid w:val="000106DF"/>
    <w:rsid w:val="000147F6"/>
    <w:rsid w:val="000249CD"/>
    <w:rsid w:val="00025FDB"/>
    <w:rsid w:val="00037A81"/>
    <w:rsid w:val="00053451"/>
    <w:rsid w:val="00063C46"/>
    <w:rsid w:val="00067ABE"/>
    <w:rsid w:val="000A0B98"/>
    <w:rsid w:val="000A247F"/>
    <w:rsid w:val="000D6633"/>
    <w:rsid w:val="000E61F6"/>
    <w:rsid w:val="000F2EF7"/>
    <w:rsid w:val="0010666C"/>
    <w:rsid w:val="00111BFC"/>
    <w:rsid w:val="00136C72"/>
    <w:rsid w:val="00142363"/>
    <w:rsid w:val="001448C0"/>
    <w:rsid w:val="00163FFD"/>
    <w:rsid w:val="00164D1C"/>
    <w:rsid w:val="00170C90"/>
    <w:rsid w:val="0017302D"/>
    <w:rsid w:val="001B365F"/>
    <w:rsid w:val="001C312C"/>
    <w:rsid w:val="00204F82"/>
    <w:rsid w:val="00255C8F"/>
    <w:rsid w:val="002679B5"/>
    <w:rsid w:val="00292049"/>
    <w:rsid w:val="00292FF3"/>
    <w:rsid w:val="002A384C"/>
    <w:rsid w:val="002B4D4B"/>
    <w:rsid w:val="002C6BD6"/>
    <w:rsid w:val="002D5FCD"/>
    <w:rsid w:val="002E1229"/>
    <w:rsid w:val="002E6D3F"/>
    <w:rsid w:val="00301462"/>
    <w:rsid w:val="003061FD"/>
    <w:rsid w:val="00306364"/>
    <w:rsid w:val="00310F9A"/>
    <w:rsid w:val="003336BA"/>
    <w:rsid w:val="003432C4"/>
    <w:rsid w:val="003458D3"/>
    <w:rsid w:val="003479FC"/>
    <w:rsid w:val="00355884"/>
    <w:rsid w:val="0037327B"/>
    <w:rsid w:val="00375837"/>
    <w:rsid w:val="00377839"/>
    <w:rsid w:val="003A7072"/>
    <w:rsid w:val="003D18A3"/>
    <w:rsid w:val="003D3B4E"/>
    <w:rsid w:val="003E0B63"/>
    <w:rsid w:val="00406486"/>
    <w:rsid w:val="0040679D"/>
    <w:rsid w:val="00416ED0"/>
    <w:rsid w:val="00431178"/>
    <w:rsid w:val="0044586B"/>
    <w:rsid w:val="0047169A"/>
    <w:rsid w:val="00471C30"/>
    <w:rsid w:val="0048194A"/>
    <w:rsid w:val="00490DA9"/>
    <w:rsid w:val="004920FE"/>
    <w:rsid w:val="004A3C2C"/>
    <w:rsid w:val="004B7FA5"/>
    <w:rsid w:val="004D6CCB"/>
    <w:rsid w:val="004E0275"/>
    <w:rsid w:val="004E0A0E"/>
    <w:rsid w:val="004E21B2"/>
    <w:rsid w:val="004E560E"/>
    <w:rsid w:val="005014BC"/>
    <w:rsid w:val="00502003"/>
    <w:rsid w:val="0051193D"/>
    <w:rsid w:val="00517C46"/>
    <w:rsid w:val="00532681"/>
    <w:rsid w:val="0053723E"/>
    <w:rsid w:val="005379F0"/>
    <w:rsid w:val="0054153A"/>
    <w:rsid w:val="00564712"/>
    <w:rsid w:val="00575BE2"/>
    <w:rsid w:val="005A4437"/>
    <w:rsid w:val="005C4488"/>
    <w:rsid w:val="005C7313"/>
    <w:rsid w:val="005D546F"/>
    <w:rsid w:val="005D5601"/>
    <w:rsid w:val="005D756B"/>
    <w:rsid w:val="005E0FB2"/>
    <w:rsid w:val="00606843"/>
    <w:rsid w:val="00610A42"/>
    <w:rsid w:val="00611980"/>
    <w:rsid w:val="00621CF6"/>
    <w:rsid w:val="0064327E"/>
    <w:rsid w:val="00650280"/>
    <w:rsid w:val="00667867"/>
    <w:rsid w:val="0067031A"/>
    <w:rsid w:val="0067620C"/>
    <w:rsid w:val="00681B13"/>
    <w:rsid w:val="00684AB7"/>
    <w:rsid w:val="006B4BC8"/>
    <w:rsid w:val="006B72D8"/>
    <w:rsid w:val="006B7A86"/>
    <w:rsid w:val="006B7E4A"/>
    <w:rsid w:val="006D43D0"/>
    <w:rsid w:val="00723288"/>
    <w:rsid w:val="0072436F"/>
    <w:rsid w:val="0074339D"/>
    <w:rsid w:val="007512E9"/>
    <w:rsid w:val="0075296B"/>
    <w:rsid w:val="007531D3"/>
    <w:rsid w:val="00753DCC"/>
    <w:rsid w:val="0075792E"/>
    <w:rsid w:val="00774B47"/>
    <w:rsid w:val="00792127"/>
    <w:rsid w:val="007A0F09"/>
    <w:rsid w:val="007A545A"/>
    <w:rsid w:val="007D3F1B"/>
    <w:rsid w:val="007E0A70"/>
    <w:rsid w:val="008332B2"/>
    <w:rsid w:val="00855841"/>
    <w:rsid w:val="008618D0"/>
    <w:rsid w:val="008C51B0"/>
    <w:rsid w:val="008D7573"/>
    <w:rsid w:val="008E2FED"/>
    <w:rsid w:val="008F0E4C"/>
    <w:rsid w:val="00912071"/>
    <w:rsid w:val="00916F16"/>
    <w:rsid w:val="0092001E"/>
    <w:rsid w:val="009330B1"/>
    <w:rsid w:val="00934D3A"/>
    <w:rsid w:val="00975BFE"/>
    <w:rsid w:val="00984BCD"/>
    <w:rsid w:val="00987938"/>
    <w:rsid w:val="009E797E"/>
    <w:rsid w:val="00A35278"/>
    <w:rsid w:val="00A75554"/>
    <w:rsid w:val="00A91A23"/>
    <w:rsid w:val="00A9758F"/>
    <w:rsid w:val="00AC0AD1"/>
    <w:rsid w:val="00AC2AE6"/>
    <w:rsid w:val="00B06E04"/>
    <w:rsid w:val="00B201CA"/>
    <w:rsid w:val="00B21FAF"/>
    <w:rsid w:val="00B251E8"/>
    <w:rsid w:val="00B259F7"/>
    <w:rsid w:val="00B3707D"/>
    <w:rsid w:val="00B44A3C"/>
    <w:rsid w:val="00B53B96"/>
    <w:rsid w:val="00B53EF9"/>
    <w:rsid w:val="00B54CAB"/>
    <w:rsid w:val="00B63178"/>
    <w:rsid w:val="00B9039C"/>
    <w:rsid w:val="00BD352D"/>
    <w:rsid w:val="00BD7875"/>
    <w:rsid w:val="00BE0BFC"/>
    <w:rsid w:val="00BF5A3E"/>
    <w:rsid w:val="00C000F9"/>
    <w:rsid w:val="00C029A5"/>
    <w:rsid w:val="00C12B9B"/>
    <w:rsid w:val="00C173FB"/>
    <w:rsid w:val="00C30DF4"/>
    <w:rsid w:val="00C35764"/>
    <w:rsid w:val="00C564B9"/>
    <w:rsid w:val="00CB10C2"/>
    <w:rsid w:val="00CB392B"/>
    <w:rsid w:val="00CB6FB9"/>
    <w:rsid w:val="00CC5EF9"/>
    <w:rsid w:val="00D038DF"/>
    <w:rsid w:val="00D15A46"/>
    <w:rsid w:val="00D24DF1"/>
    <w:rsid w:val="00D27CC6"/>
    <w:rsid w:val="00D40E86"/>
    <w:rsid w:val="00D55C34"/>
    <w:rsid w:val="00D62006"/>
    <w:rsid w:val="00D642A0"/>
    <w:rsid w:val="00D747E3"/>
    <w:rsid w:val="00D841B6"/>
    <w:rsid w:val="00D934A6"/>
    <w:rsid w:val="00DB090C"/>
    <w:rsid w:val="00DC1FA6"/>
    <w:rsid w:val="00DE0D74"/>
    <w:rsid w:val="00DE2373"/>
    <w:rsid w:val="00DE23AD"/>
    <w:rsid w:val="00DF723C"/>
    <w:rsid w:val="00E0447B"/>
    <w:rsid w:val="00E203C7"/>
    <w:rsid w:val="00E35E18"/>
    <w:rsid w:val="00E75674"/>
    <w:rsid w:val="00E80F52"/>
    <w:rsid w:val="00E84580"/>
    <w:rsid w:val="00E9472E"/>
    <w:rsid w:val="00EA79C6"/>
    <w:rsid w:val="00EE6738"/>
    <w:rsid w:val="00EE6E69"/>
    <w:rsid w:val="00EE7369"/>
    <w:rsid w:val="00F118BB"/>
    <w:rsid w:val="00F15E06"/>
    <w:rsid w:val="00F20B93"/>
    <w:rsid w:val="00F21376"/>
    <w:rsid w:val="00F23C0D"/>
    <w:rsid w:val="00F24E19"/>
    <w:rsid w:val="00F32957"/>
    <w:rsid w:val="00F33DA8"/>
    <w:rsid w:val="00F4623B"/>
    <w:rsid w:val="00F54CD9"/>
    <w:rsid w:val="00F75BAD"/>
    <w:rsid w:val="00FC4064"/>
    <w:rsid w:val="00FE0112"/>
    <w:rsid w:val="00FE4F8F"/>
    <w:rsid w:val="00FF4F92"/>
    <w:rsid w:val="00FF51C8"/>
    <w:rsid w:val="10BE0857"/>
    <w:rsid w:val="4CBE3E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rFonts w:cs="Times New Roman"/>
      <w:kern w:val="0"/>
      <w:sz w:val="2"/>
      <w:szCs w:val="2"/>
    </w:rPr>
  </w:style>
  <w:style w:type="paragraph" w:styleId="3">
    <w:name w:val="footer"/>
    <w:basedOn w:val="1"/>
    <w:link w:val="9"/>
    <w:uiPriority w:val="99"/>
    <w:pPr>
      <w:tabs>
        <w:tab w:val="center" w:pos="4153"/>
        <w:tab w:val="right" w:pos="8306"/>
      </w:tabs>
      <w:snapToGrid w:val="0"/>
      <w:jc w:val="left"/>
    </w:pPr>
    <w:rPr>
      <w:rFonts w:cs="Times New Roman"/>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7">
    <w:name w:val="Strong"/>
    <w:qFormat/>
    <w:uiPriority w:val="99"/>
    <w:rPr>
      <w:b/>
      <w:bCs/>
    </w:rPr>
  </w:style>
  <w:style w:type="character" w:customStyle="1" w:styleId="8">
    <w:name w:val="页眉 Char"/>
    <w:link w:val="4"/>
    <w:locked/>
    <w:uiPriority w:val="99"/>
    <w:rPr>
      <w:sz w:val="18"/>
      <w:szCs w:val="18"/>
    </w:rPr>
  </w:style>
  <w:style w:type="character" w:customStyle="1" w:styleId="9">
    <w:name w:val="页脚 Char"/>
    <w:link w:val="3"/>
    <w:locked/>
    <w:uiPriority w:val="99"/>
    <w:rPr>
      <w:sz w:val="18"/>
      <w:szCs w:val="18"/>
    </w:rPr>
  </w:style>
  <w:style w:type="character" w:customStyle="1" w:styleId="10">
    <w:name w:val="批注框文本 Char"/>
    <w:link w:val="2"/>
    <w:semiHidden/>
    <w:locked/>
    <w:uiPriority w:val="99"/>
    <w:rPr>
      <w:sz w:val="2"/>
      <w:szCs w:val="2"/>
    </w:rPr>
  </w:style>
  <w:style w:type="paragraph" w:customStyle="1" w:styleId="11">
    <w:name w:val="Default"/>
    <w:uiPriority w:val="99"/>
    <w:pPr>
      <w:widowControl w:val="0"/>
      <w:autoSpaceDE w:val="0"/>
      <w:autoSpaceDN w:val="0"/>
      <w:adjustRightInd w:val="0"/>
    </w:pPr>
    <w:rPr>
      <w:rFonts w:ascii="宋体t.祯畴" w:hAnsi="Calibri" w:eastAsia="宋体t.祯畴" w:cs="宋体t.祯畴"/>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Pages>
  <Words>301</Words>
  <Characters>1718</Characters>
  <Lines>14</Lines>
  <Paragraphs>4</Paragraphs>
  <TotalTime>5</TotalTime>
  <ScaleCrop>false</ScaleCrop>
  <LinksUpToDate>false</LinksUpToDate>
  <CharactersWithSpaces>2015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2021-02-01T03:27:00Z</dcterms:created>
  <dc:creator>lenovo</dc:creator>
  <cp:lastModifiedBy>曾文丹</cp:lastModifiedBy>
  <cp:lastPrinted>2018-01-10T16:11:00Z</cp:lastPrinted>
  <dcterms:modified xsi:type="dcterms:W3CDTF">2022-01-26T03:46:03Z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