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pPr w:leftFromText="180" w:rightFromText="180" w:vertAnchor="text" w:horzAnchor="page" w:tblpX="1307" w:tblpY="851"/>
        <w:tblOverlap w:val="never"/>
        <w:tblW w:w="9720" w:type="dxa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357"/>
        <w:gridCol w:w="1882"/>
        <w:gridCol w:w="1649"/>
        <w:gridCol w:w="1416"/>
        <w:gridCol w:w="1618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98" w:type="dxa"/>
            <w:tcBorders>
              <w:top w:val="thinThickSmallGap" w:color="auto" w:sz="12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非营利组织名称</w:t>
            </w:r>
          </w:p>
        </w:tc>
        <w:tc>
          <w:tcPr>
            <w:tcW w:w="3239" w:type="dxa"/>
            <w:gridSpan w:val="2"/>
            <w:tcBorders>
              <w:top w:val="thinThickSmall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thinThickSmall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设立登记时间</w:t>
            </w:r>
          </w:p>
        </w:tc>
        <w:tc>
          <w:tcPr>
            <w:tcW w:w="3034" w:type="dxa"/>
            <w:gridSpan w:val="2"/>
            <w:tcBorders>
              <w:top w:val="thinThickSmallGap" w:color="auto" w:sz="12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98" w:type="dxa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登记管理机关</w:t>
            </w:r>
          </w:p>
        </w:tc>
        <w:tc>
          <w:tcPr>
            <w:tcW w:w="3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spacing w:val="-10"/>
                <w:kern w:val="0"/>
                <w:sz w:val="24"/>
                <w:szCs w:val="24"/>
              </w:rPr>
              <w:t>业务主管单位</w:t>
            </w:r>
          </w:p>
        </w:tc>
        <w:tc>
          <w:tcPr>
            <w:tcW w:w="30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98" w:type="dxa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3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98" w:type="dxa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3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0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798" w:type="dxa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宗　　旨</w:t>
            </w:r>
          </w:p>
        </w:tc>
        <w:tc>
          <w:tcPr>
            <w:tcW w:w="79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</w:tcPr>
          <w:p>
            <w:pPr>
              <w:snapToGrid w:val="0"/>
              <w:spacing w:line="240" w:lineRule="exact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798" w:type="dxa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业务范围</w:t>
            </w:r>
          </w:p>
        </w:tc>
        <w:tc>
          <w:tcPr>
            <w:tcW w:w="79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</w:tcPr>
          <w:p>
            <w:pPr>
              <w:snapToGrid w:val="0"/>
              <w:spacing w:line="240" w:lineRule="exact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98" w:type="dxa"/>
            <w:vMerge w:val="restart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是否符合税法</w:t>
            </w:r>
          </w:p>
          <w:p>
            <w:pPr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相关规定</w:t>
            </w:r>
          </w:p>
        </w:tc>
        <w:tc>
          <w:tcPr>
            <w:tcW w:w="63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依法履行非营利组织登记手续</w:t>
            </w: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vAlign w:val="center"/>
          </w:tcPr>
          <w:p>
            <w:pPr>
              <w:spacing w:line="240" w:lineRule="exact"/>
              <w:ind w:firstLine="118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□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1798" w:type="dxa"/>
            <w:vMerge w:val="continue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从事公益性或者非营利性活动</w:t>
            </w: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vAlign w:val="center"/>
          </w:tcPr>
          <w:p>
            <w:pPr>
              <w:spacing w:line="240" w:lineRule="exact"/>
              <w:ind w:firstLine="118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□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798" w:type="dxa"/>
            <w:vMerge w:val="continue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取得的收入除用于与该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组织有关的、合理的支出外，全部用于登记核定或者章程规定的公益性或者非营利性事业</w:t>
            </w: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vAlign w:val="center"/>
          </w:tcPr>
          <w:p>
            <w:pPr>
              <w:spacing w:line="240" w:lineRule="exact"/>
              <w:ind w:firstLine="118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□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</w:trPr>
        <w:tc>
          <w:tcPr>
            <w:tcW w:w="1798" w:type="dxa"/>
            <w:vMerge w:val="continue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财产及其孳息不用于分配，但不包括合理的工资薪金支出</w:t>
            </w: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vAlign w:val="center"/>
          </w:tcPr>
          <w:p>
            <w:pPr>
              <w:spacing w:line="240" w:lineRule="exact"/>
              <w:ind w:firstLine="118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□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</w:trPr>
        <w:tc>
          <w:tcPr>
            <w:tcW w:w="1798" w:type="dxa"/>
            <w:vMerge w:val="continue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</w:rPr>
              <w:t>按照登记核定或者章程规定，该组织注销后的剩余财产用于公益性或者非营利性目的，或者由登记管理机关转赠给与该组织性质、宗旨相同的组织，并向社会公告</w:t>
            </w: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vAlign w:val="center"/>
          </w:tcPr>
          <w:p>
            <w:pPr>
              <w:spacing w:line="240" w:lineRule="exact"/>
              <w:ind w:firstLine="118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□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</w:trPr>
        <w:tc>
          <w:tcPr>
            <w:tcW w:w="1798" w:type="dxa"/>
            <w:vMerge w:val="continue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投入人对投入该组织的财产不保留或者享有任何财产权利，本款所称投入人是指除各级人民政府及其部门外的法人、自然人和其他组织</w:t>
            </w: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vAlign w:val="center"/>
          </w:tcPr>
          <w:p>
            <w:pPr>
              <w:spacing w:line="240" w:lineRule="exact"/>
              <w:ind w:firstLine="118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□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</w:trPr>
        <w:tc>
          <w:tcPr>
            <w:tcW w:w="1798" w:type="dxa"/>
            <w:vMerge w:val="continue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工作人员工资福利开支控制在规定的比例内，不变相分配该组织的财产，</w:t>
            </w:r>
            <w:r>
              <w:rPr>
                <w:rFonts w:hint="eastAsia"/>
                <w:color w:val="000000"/>
                <w:sz w:val="24"/>
                <w:szCs w:val="24"/>
              </w:rPr>
              <w:t>其中：工作人员平均工资薪金水平不得超过税务登记所在地的地市级（含地市级）以上地区的同行业同类组织平均工资水平的两倍，工作人员福利按照国家有关规定执行</w:t>
            </w: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vAlign w:val="center"/>
          </w:tcPr>
          <w:p>
            <w:pPr>
              <w:spacing w:line="240" w:lineRule="exact"/>
              <w:ind w:firstLine="118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□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1798" w:type="dxa"/>
            <w:vMerge w:val="continue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对取得的应纳税收入及其有关的成本、费用、损失应与免税收入及其有关的成本、费用、损失分别核算</w:t>
            </w: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vAlign w:val="center"/>
          </w:tcPr>
          <w:p>
            <w:pPr>
              <w:spacing w:line="240" w:lineRule="exact"/>
              <w:ind w:firstLine="118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□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1798" w:type="dxa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80" w:lineRule="exac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申请前</w:t>
            </w:r>
            <w:r>
              <w:rPr>
                <w:rFonts w:hint="eastAsia" w:hAnsi="宋体"/>
                <w:kern w:val="0"/>
                <w:sz w:val="24"/>
                <w:szCs w:val="24"/>
              </w:rPr>
              <w:t>上一</w:t>
            </w:r>
            <w:r>
              <w:rPr>
                <w:rFonts w:hAnsi="宋体"/>
                <w:kern w:val="0"/>
                <w:sz w:val="24"/>
                <w:szCs w:val="24"/>
              </w:rPr>
              <w:t>年度</w:t>
            </w:r>
            <w:r>
              <w:rPr>
                <w:rFonts w:hint="eastAsia" w:hAnsi="宋体"/>
                <w:kern w:val="0"/>
                <w:sz w:val="24"/>
                <w:szCs w:val="24"/>
              </w:rPr>
              <w:t>符合</w:t>
            </w:r>
            <w:r>
              <w:rPr>
                <w:rFonts w:hAnsi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1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kern w:val="0"/>
                <w:sz w:val="24"/>
                <w:szCs w:val="24"/>
              </w:rPr>
            </w:pPr>
            <w:r>
              <w:rPr>
                <w:color w:val="FF0000"/>
                <w:kern w:val="0"/>
                <w:sz w:val="24"/>
                <w:szCs w:val="24"/>
              </w:rPr>
              <w:t xml:space="preserve">     </w:t>
            </w:r>
            <w:r>
              <w:rPr>
                <w:rFonts w:hAnsi="宋体"/>
                <w:kern w:val="0"/>
                <w:sz w:val="24"/>
                <w:szCs w:val="24"/>
              </w:rPr>
              <w:t>年度</w:t>
            </w:r>
          </w:p>
        </w:tc>
        <w:tc>
          <w:tcPr>
            <w:tcW w:w="65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vAlign w:val="center"/>
          </w:tcPr>
          <w:p>
            <w:pPr>
              <w:spacing w:line="300" w:lineRule="exact"/>
              <w:ind w:left="120" w:hanging="120" w:hangingChars="50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□</w:t>
            </w:r>
            <w:r>
              <w:rPr>
                <w:rFonts w:hint="eastAsia" w:hAnsi="宋体"/>
                <w:kern w:val="0"/>
                <w:sz w:val="24"/>
                <w:szCs w:val="24"/>
              </w:rPr>
              <w:t>事业发展情况或非营利活动</w:t>
            </w:r>
            <w:r>
              <w:rPr>
                <w:rFonts w:hint="eastAsia"/>
                <w:kern w:val="0"/>
                <w:sz w:val="24"/>
                <w:szCs w:val="24"/>
              </w:rPr>
              <w:t>符合</w:t>
            </w:r>
            <w:r>
              <w:rPr>
                <w:rFonts w:hint="eastAsia" w:hAnsi="宋体"/>
                <w:kern w:val="0"/>
                <w:sz w:val="24"/>
                <w:szCs w:val="24"/>
              </w:rPr>
              <w:t>相关法律法规和国家政策</w:t>
            </w:r>
          </w:p>
          <w:p>
            <w:pPr>
              <w:spacing w:line="30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□</w:t>
            </w:r>
            <w:r>
              <w:rPr>
                <w:rFonts w:hAnsi="宋体"/>
                <w:kern w:val="0"/>
                <w:sz w:val="24"/>
                <w:szCs w:val="24"/>
              </w:rPr>
              <w:t>新成立</w:t>
            </w:r>
            <w:r>
              <w:rPr>
                <w:rFonts w:hint="eastAsia" w:hAnsi="宋体"/>
                <w:kern w:val="0"/>
                <w:sz w:val="24"/>
                <w:szCs w:val="24"/>
              </w:rPr>
              <w:t>或登记</w:t>
            </w:r>
          </w:p>
          <w:p>
            <w:pPr>
              <w:spacing w:line="240" w:lineRule="exact"/>
              <w:rPr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1798" w:type="dxa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复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审</w:t>
            </w:r>
          </w:p>
        </w:tc>
        <w:tc>
          <w:tcPr>
            <w:tcW w:w="79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五年有效期到期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       □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不再具备规定的免税条件的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9720" w:type="dxa"/>
            <w:gridSpan w:val="6"/>
            <w:tcBorders>
              <w:top w:val="single" w:color="auto" w:sz="6" w:space="0"/>
              <w:left w:val="thinThickSmallGap" w:color="auto" w:sz="12" w:space="0"/>
              <w:bottom w:val="thickThinSmallGap" w:color="auto" w:sz="12" w:space="0"/>
              <w:right w:val="thickThinSmallGap" w:color="auto" w:sz="12" w:space="0"/>
            </w:tcBorders>
          </w:tcPr>
          <w:p>
            <w:pPr>
              <w:spacing w:line="280" w:lineRule="exac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color w:val="000000"/>
                <w:kern w:val="0"/>
                <w:sz w:val="24"/>
                <w:szCs w:val="24"/>
              </w:rPr>
              <w:t>本非营利组织承诺：以上所填信息真实、准确。</w:t>
            </w:r>
          </w:p>
          <w:p>
            <w:pPr>
              <w:spacing w:line="280" w:lineRule="exac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ind w:firstLine="600" w:firstLineChars="25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非营利组织盖章：              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         法定代表人：（签名）</w:t>
            </w:r>
          </w:p>
          <w:p>
            <w:pPr>
              <w:spacing w:line="280" w:lineRule="exac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                                                   年     月      日</w:t>
            </w:r>
          </w:p>
        </w:tc>
      </w:tr>
    </w:tbl>
    <w:p>
      <w:pPr>
        <w:spacing w:line="576" w:lineRule="exact"/>
        <w:jc w:val="center"/>
        <w:rPr>
          <w:rFonts w:ascii="仿宋_GB2312"/>
          <w:b/>
          <w:color w:val="000000"/>
          <w:szCs w:val="32"/>
        </w:rPr>
      </w:pPr>
      <w:r>
        <w:rPr>
          <w:rFonts w:hint="eastAsia" w:ascii="仿宋_GB2312" w:hAnsi="华文中宋"/>
          <w:b/>
          <w:color w:val="000000"/>
          <w:kern w:val="0"/>
          <w:sz w:val="36"/>
          <w:szCs w:val="36"/>
        </w:rPr>
        <w:t>龙门县县级非营利组织</w:t>
      </w:r>
      <w:r>
        <w:rPr>
          <w:rFonts w:hint="eastAsia" w:ascii="仿宋_GB2312" w:hAnsi="华文中宋"/>
          <w:b/>
          <w:color w:val="000000"/>
          <w:kern w:val="0"/>
          <w:sz w:val="36"/>
          <w:szCs w:val="36"/>
          <w:u w:val="single"/>
        </w:rPr>
        <w:t>202</w:t>
      </w:r>
      <w:r>
        <w:rPr>
          <w:rFonts w:hint="eastAsia" w:ascii="仿宋_GB2312" w:hAnsi="华文中宋"/>
          <w:b/>
          <w:color w:val="000000"/>
          <w:kern w:val="0"/>
          <w:sz w:val="36"/>
          <w:szCs w:val="36"/>
          <w:u w:val="single"/>
          <w:lang w:val="en-US" w:eastAsia="zh-CN"/>
        </w:rPr>
        <w:t>1</w:t>
      </w:r>
      <w:r>
        <w:rPr>
          <w:rFonts w:hint="eastAsia" w:ascii="仿宋_GB2312" w:hAnsi="华文中宋"/>
          <w:b/>
          <w:color w:val="000000"/>
          <w:kern w:val="0"/>
          <w:sz w:val="36"/>
          <w:szCs w:val="36"/>
        </w:rPr>
        <w:t>年度免税资格申请表</w:t>
      </w:r>
    </w:p>
    <w:sectPr>
      <w:pgSz w:w="11906" w:h="16838"/>
      <w:pgMar w:top="1276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12C2"/>
    <w:rsid w:val="000040B5"/>
    <w:rsid w:val="00007EFA"/>
    <w:rsid w:val="000460EC"/>
    <w:rsid w:val="00063432"/>
    <w:rsid w:val="000F499E"/>
    <w:rsid w:val="00172A27"/>
    <w:rsid w:val="001E4422"/>
    <w:rsid w:val="002B21EA"/>
    <w:rsid w:val="0032462F"/>
    <w:rsid w:val="003E66A1"/>
    <w:rsid w:val="00407734"/>
    <w:rsid w:val="0041531C"/>
    <w:rsid w:val="00435A8B"/>
    <w:rsid w:val="004C27AA"/>
    <w:rsid w:val="00582F2B"/>
    <w:rsid w:val="005D79AA"/>
    <w:rsid w:val="0066181C"/>
    <w:rsid w:val="006F5C74"/>
    <w:rsid w:val="0071510C"/>
    <w:rsid w:val="00761380"/>
    <w:rsid w:val="00792260"/>
    <w:rsid w:val="007D053E"/>
    <w:rsid w:val="008137A9"/>
    <w:rsid w:val="00815C88"/>
    <w:rsid w:val="008669E3"/>
    <w:rsid w:val="00873576"/>
    <w:rsid w:val="00892E73"/>
    <w:rsid w:val="00911BD2"/>
    <w:rsid w:val="009244F4"/>
    <w:rsid w:val="009429BA"/>
    <w:rsid w:val="009603FB"/>
    <w:rsid w:val="00975451"/>
    <w:rsid w:val="00A601B9"/>
    <w:rsid w:val="00A83526"/>
    <w:rsid w:val="00B012FA"/>
    <w:rsid w:val="00B115A8"/>
    <w:rsid w:val="00B53630"/>
    <w:rsid w:val="00B9041B"/>
    <w:rsid w:val="00B96C4E"/>
    <w:rsid w:val="00C81FF4"/>
    <w:rsid w:val="00CF1A91"/>
    <w:rsid w:val="00D4632D"/>
    <w:rsid w:val="00D50395"/>
    <w:rsid w:val="00DE7A93"/>
    <w:rsid w:val="00F03124"/>
    <w:rsid w:val="00F13854"/>
    <w:rsid w:val="00F97269"/>
    <w:rsid w:val="347B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121</Words>
  <Characters>696</Characters>
  <Lines>5</Lines>
  <Paragraphs>1</Paragraphs>
  <TotalTime>0</TotalTime>
  <ScaleCrop>false</ScaleCrop>
  <LinksUpToDate>false</LinksUpToDate>
  <CharactersWithSpaces>816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2021-02-01T03:26:00Z</dcterms:created>
  <dc:creator>谢立兴()</dc:creator>
  <cp:lastModifiedBy>曾文丹</cp:lastModifiedBy>
  <cp:lastPrinted>2018-01-07T09:13:00Z</cp:lastPrinted>
  <dcterms:modified xsi:type="dcterms:W3CDTF">2022-01-26T03:38:41Z</dcterms:modified>
  <dc:title>广东省社会组织管理局公文稿纸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