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附表：</w:t>
      </w:r>
      <w:bookmarkStart w:id="0" w:name="_GoBack"/>
      <w:r>
        <w:rPr>
          <w:rFonts w:hint="eastAsia" w:ascii="仿宋_GB2312" w:hAnsi="宋体" w:eastAsia="仿宋_GB2312" w:cs="宋体"/>
          <w:sz w:val="32"/>
          <w:szCs w:val="32"/>
        </w:rPr>
        <w:t>揭阳市生产经营所得项目个人所得税核定征收率</w:t>
      </w:r>
    </w:p>
    <w:bookmarkEnd w:id="0"/>
    <w:tbl>
      <w:tblPr>
        <w:tblStyle w:val="3"/>
        <w:tblpPr w:leftFromText="180" w:rightFromText="180" w:vertAnchor="page" w:horzAnchor="page" w:tblpX="2057" w:tblpY="2716"/>
        <w:tblW w:w="7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4"/>
        <w:gridCol w:w="29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揭阳市生产经营所得项目个人所得税核定征收率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行业</w:t>
            </w: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带征率%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制造业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商业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交通运输业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建筑安装业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娱乐业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服务业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文化体育业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其他行业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34C0A"/>
    <w:rsid w:val="28C3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2021-02-20T02:54:00Z</dcterms:created>
  <dc:creator>张继斌</dc:creator>
  <cp:lastModifiedBy>张继斌</cp:lastModifiedBy>
  <dcterms:modified xsi:type="dcterms:W3CDTF">2021-02-20T02:54:52Z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