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color w:val="000000"/>
          <w:sz w:val="32"/>
          <w:szCs w:val="32"/>
        </w:rPr>
      </w:pPr>
      <w:bookmarkStart w:id="0" w:name="_GoBack"/>
      <w:r>
        <w:rPr>
          <w:rFonts w:hint="eastAsia" w:ascii="黑体" w:hAnsi="黑体" w:eastAsia="黑体"/>
          <w:color w:val="000000"/>
          <w:sz w:val="32"/>
          <w:szCs w:val="32"/>
        </w:rPr>
        <w:t>资源税纳税申报表</w:t>
      </w:r>
    </w:p>
    <w:bookmarkEnd w:id="0"/>
    <w:p>
      <w:pPr>
        <w:spacing w:line="320" w:lineRule="exact"/>
        <w:ind w:left="-1205" w:leftChars="-574" w:right="-838" w:rightChars="-399" w:firstLine="201" w:firstLineChars="96"/>
        <w:jc w:val="center"/>
        <w:rPr>
          <w:rFonts w:hint="eastAsia" w:ascii="宋体" w:hAnsi="宋体"/>
          <w:color w:val="000000"/>
          <w:szCs w:val="21"/>
        </w:rPr>
      </w:pPr>
      <w:r>
        <w:rPr>
          <w:rFonts w:hint="eastAsia" w:ascii="宋体" w:hAnsi="宋体"/>
          <w:color w:val="000000"/>
          <w:szCs w:val="21"/>
        </w:rPr>
        <w:t>税款所属时间：自     年   月   日至     年   月   日</w:t>
      </w:r>
    </w:p>
    <w:p>
      <w:pPr>
        <w:spacing w:line="320" w:lineRule="exact"/>
        <w:ind w:left="-1205" w:leftChars="-574" w:right="-838" w:rightChars="-399" w:firstLine="201" w:firstLineChars="96"/>
        <w:jc w:val="left"/>
        <w:rPr>
          <w:rFonts w:hint="eastAsia" w:ascii="宋体" w:hAnsi="宋体" w:cs="宋体"/>
          <w:color w:val="000000"/>
          <w:spacing w:val="-30"/>
          <w:sz w:val="36"/>
          <w:szCs w:val="36"/>
        </w:rPr>
      </w:pPr>
      <w:r>
        <w:rPr>
          <w:rFonts w:hint="eastAsia" w:ascii="宋体" w:hAnsi="宋体" w:cs="宋体"/>
          <w:color w:val="000000"/>
          <w:szCs w:val="21"/>
        </w:rPr>
        <w:t>纳税人识别号（统一社会信用代码）</w:t>
      </w:r>
      <w:r>
        <w:rPr>
          <w:rFonts w:hint="eastAsia" w:ascii="宋体" w:hAnsi="宋体" w:cs="宋体"/>
          <w:color w:val="000000"/>
          <w:sz w:val="20"/>
        </w:rPr>
        <w:t>：</w:t>
      </w:r>
      <w:r>
        <w:rPr>
          <w:rFonts w:hint="eastAsia" w:ascii="宋体" w:hAnsi="宋体" w:cs="宋体"/>
          <w:color w:val="000000"/>
          <w:spacing w:val="-30"/>
          <w:sz w:val="36"/>
          <w:szCs w:val="36"/>
        </w:rPr>
        <w:t>□□□□□□□□□□□□□□□□□□</w:t>
      </w:r>
    </w:p>
    <w:p>
      <w:pPr>
        <w:spacing w:line="320" w:lineRule="exact"/>
        <w:ind w:left="-1205" w:leftChars="-574" w:right="-838" w:rightChars="-399" w:firstLine="201" w:firstLineChars="96"/>
        <w:jc w:val="left"/>
        <w:rPr>
          <w:rFonts w:hint="eastAsia" w:ascii="宋体" w:hAnsi="宋体"/>
          <w:color w:val="000000"/>
          <w:szCs w:val="21"/>
        </w:rPr>
      </w:pPr>
      <w:r>
        <w:rPr>
          <w:rFonts w:hint="eastAsia" w:ascii="宋体" w:hAnsi="宋体" w:cs="宋体"/>
          <w:color w:val="000000"/>
          <w:szCs w:val="21"/>
        </w:rPr>
        <w:t xml:space="preserve">纳税人名称：                                                                                                        </w:t>
      </w:r>
      <w:r>
        <w:rPr>
          <w:rFonts w:hint="eastAsia" w:ascii="宋体" w:hAnsi="宋体"/>
          <w:color w:val="000000"/>
          <w:szCs w:val="21"/>
        </w:rPr>
        <w:t>金额单位：人民币元（列至角分）</w:t>
      </w:r>
    </w:p>
    <w:tbl>
      <w:tblPr>
        <w:tblStyle w:val="6"/>
        <w:tblW w:w="15904" w:type="dxa"/>
        <w:tblInd w:w="-1098" w:type="dxa"/>
        <w:tblLayout w:type="fixed"/>
        <w:tblCellMar>
          <w:top w:w="0" w:type="dxa"/>
          <w:left w:w="108" w:type="dxa"/>
          <w:bottom w:w="0" w:type="dxa"/>
          <w:right w:w="108" w:type="dxa"/>
        </w:tblCellMar>
      </w:tblPr>
      <w:tblGrid>
        <w:gridCol w:w="1831"/>
        <w:gridCol w:w="807"/>
        <w:gridCol w:w="1229"/>
        <w:gridCol w:w="893"/>
        <w:gridCol w:w="1524"/>
        <w:gridCol w:w="1545"/>
        <w:gridCol w:w="10"/>
        <w:gridCol w:w="1243"/>
        <w:gridCol w:w="1370"/>
        <w:gridCol w:w="1613"/>
        <w:gridCol w:w="1319"/>
        <w:gridCol w:w="83"/>
        <w:gridCol w:w="1003"/>
        <w:gridCol w:w="1434"/>
      </w:tblGrid>
      <w:tr>
        <w:tblPrEx>
          <w:tblLayout w:type="fixed"/>
          <w:tblCellMar>
            <w:top w:w="0" w:type="dxa"/>
            <w:left w:w="108" w:type="dxa"/>
            <w:bottom w:w="0" w:type="dxa"/>
            <w:right w:w="108" w:type="dxa"/>
          </w:tblCellMar>
        </w:tblPrEx>
        <w:trPr>
          <w:trHeight w:val="315" w:hRule="atLeast"/>
        </w:trPr>
        <w:tc>
          <w:tcPr>
            <w:tcW w:w="7829" w:type="dxa"/>
            <w:gridSpan w:val="6"/>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textAlignment w:val="auto"/>
              <w:rPr>
                <w:rFonts w:hint="eastAsia" w:ascii="宋体" w:hAnsi="宋体" w:cs="宋体"/>
                <w:color w:val="000000"/>
                <w:szCs w:val="21"/>
              </w:rPr>
            </w:pPr>
            <w:r>
              <w:rPr>
                <w:rFonts w:hint="eastAsia" w:ascii="宋体" w:hAnsi="宋体" w:cs="宋体"/>
                <w:color w:val="000000"/>
                <w:szCs w:val="21"/>
              </w:rPr>
              <w:t>本期是否适用增值税小规模纳税人减征政策（减免性质代码：</w:t>
            </w:r>
            <w:r>
              <w:rPr>
                <w:rFonts w:ascii="宋体" w:hAnsi="宋体" w:cs="宋体"/>
                <w:color w:val="000000"/>
                <w:szCs w:val="21"/>
              </w:rPr>
              <w:t>06049901</w:t>
            </w:r>
            <w:r>
              <w:rPr>
                <w:rFonts w:hint="eastAsia" w:ascii="宋体" w:hAnsi="宋体" w:cs="宋体"/>
                <w:color w:val="000000"/>
                <w:szCs w:val="21"/>
              </w:rPr>
              <w:t>）</w:t>
            </w:r>
          </w:p>
        </w:tc>
        <w:tc>
          <w:tcPr>
            <w:tcW w:w="262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center"/>
              <w:textAlignment w:val="auto"/>
              <w:rPr>
                <w:rFonts w:hint="eastAsia" w:ascii="宋体" w:hAnsi="宋体" w:cs="宋体"/>
                <w:color w:val="000000"/>
                <w:szCs w:val="21"/>
              </w:rPr>
            </w:pPr>
            <w:r>
              <w:rPr>
                <w:rFonts w:hint="eastAsia" w:ascii="宋体" w:hAnsi="宋体" w:cs="宋体"/>
                <w:color w:val="000000"/>
                <w:szCs w:val="21"/>
              </w:rPr>
              <w:t>是□  否□</w:t>
            </w:r>
          </w:p>
        </w:tc>
        <w:tc>
          <w:tcPr>
            <w:tcW w:w="3015"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center"/>
              <w:textAlignment w:val="auto"/>
              <w:rPr>
                <w:rFonts w:ascii="宋体" w:hAnsi="宋体" w:cs="宋体"/>
                <w:color w:val="000000"/>
                <w:szCs w:val="21"/>
              </w:rPr>
            </w:pPr>
            <w:r>
              <w:rPr>
                <w:rFonts w:hint="eastAsia" w:ascii="宋体" w:hAnsi="宋体" w:cs="宋体"/>
                <w:color w:val="000000"/>
                <w:szCs w:val="21"/>
              </w:rPr>
              <w:t>减征比例（%）</w:t>
            </w:r>
          </w:p>
        </w:tc>
        <w:tc>
          <w:tcPr>
            <w:tcW w:w="2437"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center"/>
              <w:textAlignment w:val="auto"/>
              <w:rPr>
                <w:rFonts w:ascii="宋体" w:hAnsi="宋体" w:cs="宋体"/>
                <w:color w:val="000000"/>
                <w:szCs w:val="21"/>
              </w:rPr>
            </w:pPr>
          </w:p>
        </w:tc>
      </w:tr>
      <w:tr>
        <w:tblPrEx>
          <w:tblLayout w:type="fixed"/>
          <w:tblCellMar>
            <w:top w:w="0" w:type="dxa"/>
            <w:left w:w="108" w:type="dxa"/>
            <w:bottom w:w="0" w:type="dxa"/>
            <w:right w:w="108" w:type="dxa"/>
          </w:tblCellMar>
        </w:tblPrEx>
        <w:trPr>
          <w:trHeight w:val="538" w:hRule="atLeast"/>
        </w:trPr>
        <w:tc>
          <w:tcPr>
            <w:tcW w:w="183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center"/>
              <w:textAlignment w:val="auto"/>
              <w:rPr>
                <w:rFonts w:ascii="宋体" w:hAnsi="宋体" w:cs="宋体"/>
                <w:bCs/>
                <w:color w:val="000000"/>
                <w:szCs w:val="21"/>
              </w:rPr>
            </w:pPr>
            <w:r>
              <w:rPr>
                <w:rFonts w:hint="eastAsia" w:ascii="宋体" w:hAnsi="宋体" w:cs="宋体"/>
                <w:bCs/>
                <w:color w:val="000000"/>
                <w:szCs w:val="21"/>
              </w:rPr>
              <w:t>税目</w:t>
            </w:r>
          </w:p>
        </w:tc>
        <w:tc>
          <w:tcPr>
            <w:tcW w:w="807"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center"/>
              <w:textAlignment w:val="auto"/>
              <w:rPr>
                <w:rFonts w:ascii="宋体" w:hAnsi="宋体" w:cs="宋体"/>
                <w:bCs/>
                <w:color w:val="000000"/>
                <w:szCs w:val="21"/>
              </w:rPr>
            </w:pPr>
            <w:r>
              <w:rPr>
                <w:rFonts w:hint="eastAsia" w:ascii="宋体" w:hAnsi="宋体" w:cs="宋体"/>
                <w:bCs/>
                <w:color w:val="000000"/>
                <w:szCs w:val="21"/>
              </w:rPr>
              <w:t>子目</w:t>
            </w:r>
          </w:p>
        </w:tc>
        <w:tc>
          <w:tcPr>
            <w:tcW w:w="122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center"/>
              <w:textAlignment w:val="auto"/>
              <w:rPr>
                <w:rFonts w:hint="eastAsia" w:ascii="宋体" w:hAnsi="宋体" w:cs="宋体"/>
                <w:bCs/>
                <w:color w:val="000000"/>
                <w:szCs w:val="21"/>
              </w:rPr>
            </w:pPr>
            <w:r>
              <w:rPr>
                <w:rFonts w:hint="eastAsia" w:ascii="宋体" w:hAnsi="宋体" w:cs="宋体"/>
                <w:bCs/>
                <w:color w:val="000000"/>
                <w:szCs w:val="21"/>
              </w:rPr>
              <w:t>折算率</w:t>
            </w:r>
          </w:p>
          <w:p>
            <w:pPr>
              <w:overflowPunct/>
              <w:autoSpaceDE/>
              <w:autoSpaceDN/>
              <w:adjustRightInd/>
              <w:jc w:val="center"/>
              <w:textAlignment w:val="auto"/>
              <w:rPr>
                <w:rFonts w:ascii="宋体" w:hAnsi="宋体" w:cs="宋体"/>
                <w:bCs/>
                <w:color w:val="000000"/>
                <w:szCs w:val="21"/>
              </w:rPr>
            </w:pPr>
            <w:r>
              <w:rPr>
                <w:rFonts w:hint="eastAsia" w:ascii="宋体" w:hAnsi="宋体" w:cs="宋体"/>
                <w:bCs/>
                <w:color w:val="000000"/>
                <w:szCs w:val="21"/>
              </w:rPr>
              <w:t>或换算比</w:t>
            </w:r>
          </w:p>
        </w:tc>
        <w:tc>
          <w:tcPr>
            <w:tcW w:w="893"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center"/>
              <w:textAlignment w:val="auto"/>
              <w:rPr>
                <w:rFonts w:ascii="宋体" w:hAnsi="宋体" w:cs="宋体"/>
                <w:bCs/>
                <w:color w:val="000000"/>
                <w:szCs w:val="21"/>
              </w:rPr>
            </w:pPr>
            <w:r>
              <w:rPr>
                <w:rFonts w:hint="eastAsia" w:ascii="宋体" w:hAnsi="宋体" w:cs="宋体"/>
                <w:bCs/>
                <w:color w:val="000000"/>
                <w:szCs w:val="21"/>
              </w:rPr>
              <w:t>计量单位</w:t>
            </w:r>
          </w:p>
        </w:tc>
        <w:tc>
          <w:tcPr>
            <w:tcW w:w="152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center"/>
              <w:textAlignment w:val="auto"/>
              <w:rPr>
                <w:rFonts w:ascii="宋体" w:hAnsi="宋体" w:cs="宋体"/>
                <w:bCs/>
                <w:color w:val="000000"/>
                <w:szCs w:val="21"/>
              </w:rPr>
            </w:pPr>
            <w:r>
              <w:rPr>
                <w:rFonts w:hint="eastAsia" w:ascii="宋体" w:hAnsi="宋体" w:cs="宋体"/>
                <w:bCs/>
                <w:color w:val="000000"/>
                <w:szCs w:val="21"/>
              </w:rPr>
              <w:t>计税销售量</w:t>
            </w:r>
          </w:p>
        </w:tc>
        <w:tc>
          <w:tcPr>
            <w:tcW w:w="1555" w:type="dxa"/>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center"/>
              <w:textAlignment w:val="auto"/>
              <w:rPr>
                <w:rFonts w:ascii="宋体" w:hAnsi="宋体" w:cs="宋体"/>
                <w:bCs/>
                <w:color w:val="000000"/>
                <w:szCs w:val="21"/>
              </w:rPr>
            </w:pPr>
            <w:r>
              <w:rPr>
                <w:rFonts w:hint="eastAsia" w:ascii="宋体" w:hAnsi="宋体" w:cs="宋体"/>
                <w:bCs/>
                <w:color w:val="000000"/>
                <w:szCs w:val="21"/>
              </w:rPr>
              <w:t>计税销售额</w:t>
            </w:r>
          </w:p>
        </w:tc>
        <w:tc>
          <w:tcPr>
            <w:tcW w:w="1243"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center"/>
              <w:textAlignment w:val="auto"/>
              <w:rPr>
                <w:rFonts w:ascii="宋体" w:hAnsi="宋体" w:cs="宋体"/>
                <w:bCs/>
                <w:color w:val="000000"/>
                <w:szCs w:val="21"/>
              </w:rPr>
            </w:pPr>
            <w:r>
              <w:rPr>
                <w:rFonts w:hint="eastAsia" w:ascii="宋体" w:hAnsi="宋体" w:cs="宋体"/>
                <w:bCs/>
                <w:color w:val="000000"/>
                <w:szCs w:val="21"/>
              </w:rPr>
              <w:t>适用税率</w:t>
            </w:r>
          </w:p>
        </w:tc>
        <w:tc>
          <w:tcPr>
            <w:tcW w:w="137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center"/>
              <w:textAlignment w:val="auto"/>
              <w:rPr>
                <w:rFonts w:hint="eastAsia" w:ascii="宋体" w:hAnsi="宋体" w:cs="宋体"/>
                <w:bCs/>
                <w:color w:val="000000"/>
                <w:szCs w:val="21"/>
              </w:rPr>
            </w:pPr>
            <w:r>
              <w:rPr>
                <w:rFonts w:hint="eastAsia" w:ascii="宋体" w:hAnsi="宋体" w:cs="宋体"/>
                <w:bCs/>
                <w:color w:val="000000"/>
                <w:szCs w:val="21"/>
              </w:rPr>
              <w:t>本期应纳</w:t>
            </w:r>
          </w:p>
          <w:p>
            <w:pPr>
              <w:overflowPunct/>
              <w:autoSpaceDE/>
              <w:autoSpaceDN/>
              <w:adjustRightInd/>
              <w:jc w:val="center"/>
              <w:textAlignment w:val="auto"/>
              <w:rPr>
                <w:rFonts w:ascii="宋体" w:hAnsi="宋体" w:cs="宋体"/>
                <w:bCs/>
                <w:color w:val="000000"/>
                <w:szCs w:val="21"/>
              </w:rPr>
            </w:pPr>
            <w:r>
              <w:rPr>
                <w:rFonts w:hint="eastAsia" w:ascii="宋体" w:hAnsi="宋体" w:cs="宋体"/>
                <w:bCs/>
                <w:color w:val="000000"/>
                <w:szCs w:val="21"/>
              </w:rPr>
              <w:t>税额</w:t>
            </w:r>
          </w:p>
        </w:tc>
        <w:tc>
          <w:tcPr>
            <w:tcW w:w="1613"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center"/>
              <w:textAlignment w:val="auto"/>
              <w:rPr>
                <w:rFonts w:ascii="宋体" w:hAnsi="宋体" w:cs="宋体"/>
                <w:bCs/>
                <w:color w:val="000000"/>
                <w:szCs w:val="21"/>
              </w:rPr>
            </w:pPr>
            <w:r>
              <w:rPr>
                <w:rFonts w:hint="eastAsia" w:ascii="宋体" w:hAnsi="宋体" w:cs="宋体"/>
                <w:bCs/>
                <w:color w:val="000000"/>
                <w:szCs w:val="21"/>
              </w:rPr>
              <w:t>本期减免税额</w:t>
            </w:r>
          </w:p>
        </w:tc>
        <w:tc>
          <w:tcPr>
            <w:tcW w:w="131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center"/>
              <w:textAlignment w:val="auto"/>
              <w:rPr>
                <w:rFonts w:ascii="宋体" w:hAnsi="宋体" w:cs="宋体"/>
                <w:bCs/>
                <w:color w:val="000000"/>
                <w:szCs w:val="21"/>
              </w:rPr>
            </w:pPr>
            <w:r>
              <w:rPr>
                <w:rFonts w:hint="eastAsia" w:ascii="宋体" w:hAnsi="宋体" w:cs="宋体"/>
                <w:bCs/>
                <w:color w:val="000000"/>
                <w:szCs w:val="21"/>
              </w:rPr>
              <w:t>本期增值税小规模纳税人减征额</w:t>
            </w:r>
          </w:p>
        </w:tc>
        <w:tc>
          <w:tcPr>
            <w:tcW w:w="1086" w:type="dxa"/>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center"/>
              <w:textAlignment w:val="auto"/>
              <w:rPr>
                <w:rFonts w:ascii="宋体" w:hAnsi="宋体" w:cs="宋体"/>
                <w:bCs/>
                <w:color w:val="000000"/>
                <w:szCs w:val="21"/>
              </w:rPr>
            </w:pPr>
            <w:r>
              <w:rPr>
                <w:rFonts w:hint="eastAsia" w:ascii="宋体" w:hAnsi="宋体" w:cs="宋体"/>
                <w:bCs/>
                <w:color w:val="000000"/>
                <w:szCs w:val="21"/>
              </w:rPr>
              <w:t>本期已缴税额</w:t>
            </w:r>
          </w:p>
        </w:tc>
        <w:tc>
          <w:tcPr>
            <w:tcW w:w="14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center"/>
              <w:textAlignment w:val="auto"/>
              <w:rPr>
                <w:rFonts w:ascii="宋体" w:hAnsi="宋体" w:cs="宋体"/>
                <w:bCs/>
                <w:color w:val="000000"/>
                <w:szCs w:val="21"/>
              </w:rPr>
            </w:pPr>
            <w:r>
              <w:rPr>
                <w:rFonts w:hint="eastAsia" w:ascii="宋体" w:hAnsi="宋体" w:cs="宋体"/>
                <w:bCs/>
                <w:color w:val="000000"/>
                <w:szCs w:val="21"/>
              </w:rPr>
              <w:t>本期应补(退)税额</w:t>
            </w:r>
          </w:p>
        </w:tc>
      </w:tr>
      <w:tr>
        <w:tblPrEx>
          <w:tblLayout w:type="fixed"/>
          <w:tblCellMar>
            <w:top w:w="0" w:type="dxa"/>
            <w:left w:w="108" w:type="dxa"/>
            <w:bottom w:w="0" w:type="dxa"/>
            <w:right w:w="108" w:type="dxa"/>
          </w:tblCellMar>
        </w:tblPrEx>
        <w:trPr>
          <w:trHeight w:val="315" w:hRule="atLeast"/>
        </w:trPr>
        <w:tc>
          <w:tcPr>
            <w:tcW w:w="1831" w:type="dxa"/>
            <w:vMerge w:val="continue"/>
            <w:tcBorders>
              <w:top w:val="single" w:color="auto" w:sz="4" w:space="0"/>
              <w:left w:val="single" w:color="auto" w:sz="4" w:space="0"/>
              <w:bottom w:val="single" w:color="auto" w:sz="4" w:space="0"/>
              <w:right w:val="single" w:color="auto" w:sz="4" w:space="0"/>
            </w:tcBorders>
            <w:vAlign w:val="center"/>
          </w:tcPr>
          <w:p>
            <w:pPr>
              <w:overflowPunct/>
              <w:autoSpaceDE/>
              <w:autoSpaceDN/>
              <w:adjustRightInd/>
              <w:jc w:val="left"/>
              <w:textAlignment w:val="auto"/>
              <w:rPr>
                <w:rFonts w:ascii="宋体" w:hAnsi="宋体" w:cs="宋体"/>
                <w:bCs/>
                <w:color w:val="000000"/>
                <w:szCs w:val="21"/>
              </w:rPr>
            </w:pPr>
          </w:p>
        </w:tc>
        <w:tc>
          <w:tcPr>
            <w:tcW w:w="807" w:type="dxa"/>
            <w:vMerge w:val="continue"/>
            <w:tcBorders>
              <w:top w:val="single" w:color="auto" w:sz="4" w:space="0"/>
              <w:left w:val="single" w:color="auto" w:sz="4" w:space="0"/>
              <w:bottom w:val="single" w:color="auto" w:sz="4" w:space="0"/>
              <w:right w:val="single" w:color="auto" w:sz="4" w:space="0"/>
            </w:tcBorders>
            <w:vAlign w:val="center"/>
          </w:tcPr>
          <w:p>
            <w:pPr>
              <w:overflowPunct/>
              <w:autoSpaceDE/>
              <w:autoSpaceDN/>
              <w:adjustRightInd/>
              <w:jc w:val="left"/>
              <w:textAlignment w:val="auto"/>
              <w:rPr>
                <w:rFonts w:ascii="宋体" w:hAnsi="宋体" w:cs="宋体"/>
                <w:bCs/>
                <w:color w:val="000000"/>
                <w:szCs w:val="21"/>
              </w:rPr>
            </w:pPr>
          </w:p>
        </w:tc>
        <w:tc>
          <w:tcPr>
            <w:tcW w:w="1229" w:type="dxa"/>
            <w:vMerge w:val="continue"/>
            <w:tcBorders>
              <w:top w:val="single" w:color="auto" w:sz="4" w:space="0"/>
              <w:left w:val="single" w:color="auto" w:sz="4" w:space="0"/>
              <w:bottom w:val="single" w:color="auto" w:sz="4" w:space="0"/>
              <w:right w:val="single" w:color="auto" w:sz="4" w:space="0"/>
            </w:tcBorders>
            <w:vAlign w:val="center"/>
          </w:tcPr>
          <w:p>
            <w:pPr>
              <w:overflowPunct/>
              <w:autoSpaceDE/>
              <w:autoSpaceDN/>
              <w:adjustRightInd/>
              <w:jc w:val="left"/>
              <w:textAlignment w:val="auto"/>
              <w:rPr>
                <w:rFonts w:ascii="宋体" w:hAnsi="宋体" w:cs="宋体"/>
                <w:bCs/>
                <w:color w:val="000000"/>
                <w:szCs w:val="21"/>
              </w:rPr>
            </w:pPr>
          </w:p>
        </w:tc>
        <w:tc>
          <w:tcPr>
            <w:tcW w:w="893" w:type="dxa"/>
            <w:vMerge w:val="continue"/>
            <w:tcBorders>
              <w:top w:val="single" w:color="auto" w:sz="4" w:space="0"/>
              <w:left w:val="single" w:color="auto" w:sz="4" w:space="0"/>
              <w:bottom w:val="single" w:color="auto" w:sz="4" w:space="0"/>
              <w:right w:val="single" w:color="auto" w:sz="4" w:space="0"/>
            </w:tcBorders>
            <w:vAlign w:val="center"/>
          </w:tcPr>
          <w:p>
            <w:pPr>
              <w:overflowPunct/>
              <w:autoSpaceDE/>
              <w:autoSpaceDN/>
              <w:adjustRightInd/>
              <w:jc w:val="left"/>
              <w:textAlignment w:val="auto"/>
              <w:rPr>
                <w:rFonts w:ascii="宋体" w:hAnsi="宋体" w:cs="宋体"/>
                <w:bCs/>
                <w:color w:val="000000"/>
                <w:szCs w:val="21"/>
              </w:rPr>
            </w:pPr>
          </w:p>
        </w:tc>
        <w:tc>
          <w:tcPr>
            <w:tcW w:w="1524" w:type="dxa"/>
            <w:vMerge w:val="continue"/>
            <w:tcBorders>
              <w:top w:val="single" w:color="auto" w:sz="4" w:space="0"/>
              <w:left w:val="single" w:color="auto" w:sz="4" w:space="0"/>
              <w:bottom w:val="single" w:color="auto" w:sz="4" w:space="0"/>
              <w:right w:val="single" w:color="auto" w:sz="4" w:space="0"/>
            </w:tcBorders>
            <w:vAlign w:val="center"/>
          </w:tcPr>
          <w:p>
            <w:pPr>
              <w:overflowPunct/>
              <w:autoSpaceDE/>
              <w:autoSpaceDN/>
              <w:adjustRightInd/>
              <w:jc w:val="left"/>
              <w:textAlignment w:val="auto"/>
              <w:rPr>
                <w:rFonts w:ascii="宋体" w:hAnsi="宋体" w:cs="宋体"/>
                <w:bCs/>
                <w:color w:val="000000"/>
                <w:szCs w:val="21"/>
              </w:rPr>
            </w:pPr>
          </w:p>
        </w:tc>
        <w:tc>
          <w:tcPr>
            <w:tcW w:w="1555" w:type="dxa"/>
            <w:gridSpan w:val="2"/>
            <w:vMerge w:val="continue"/>
            <w:tcBorders>
              <w:top w:val="single" w:color="auto" w:sz="4" w:space="0"/>
              <w:left w:val="single" w:color="auto" w:sz="4" w:space="0"/>
              <w:bottom w:val="single" w:color="auto" w:sz="4" w:space="0"/>
              <w:right w:val="single" w:color="auto" w:sz="4" w:space="0"/>
            </w:tcBorders>
            <w:vAlign w:val="center"/>
          </w:tcPr>
          <w:p>
            <w:pPr>
              <w:overflowPunct/>
              <w:autoSpaceDE/>
              <w:autoSpaceDN/>
              <w:adjustRightInd/>
              <w:jc w:val="left"/>
              <w:textAlignment w:val="auto"/>
              <w:rPr>
                <w:rFonts w:ascii="宋体" w:hAnsi="宋体" w:cs="宋体"/>
                <w:bCs/>
                <w:color w:val="000000"/>
                <w:szCs w:val="21"/>
              </w:rPr>
            </w:pPr>
          </w:p>
        </w:tc>
        <w:tc>
          <w:tcPr>
            <w:tcW w:w="1243" w:type="dxa"/>
            <w:vMerge w:val="continue"/>
            <w:tcBorders>
              <w:top w:val="single" w:color="auto" w:sz="4" w:space="0"/>
              <w:left w:val="single" w:color="auto" w:sz="4" w:space="0"/>
              <w:bottom w:val="single" w:color="auto" w:sz="4" w:space="0"/>
              <w:right w:val="single" w:color="auto" w:sz="4" w:space="0"/>
            </w:tcBorders>
            <w:vAlign w:val="center"/>
          </w:tcPr>
          <w:p>
            <w:pPr>
              <w:overflowPunct/>
              <w:autoSpaceDE/>
              <w:autoSpaceDN/>
              <w:adjustRightInd/>
              <w:jc w:val="left"/>
              <w:textAlignment w:val="auto"/>
              <w:rPr>
                <w:rFonts w:ascii="宋体" w:hAnsi="宋体" w:cs="宋体"/>
                <w:bCs/>
                <w:color w:val="000000"/>
                <w:szCs w:val="21"/>
              </w:rPr>
            </w:pPr>
          </w:p>
        </w:tc>
        <w:tc>
          <w:tcPr>
            <w:tcW w:w="1370" w:type="dxa"/>
            <w:vMerge w:val="continue"/>
            <w:tcBorders>
              <w:top w:val="single" w:color="auto" w:sz="4" w:space="0"/>
              <w:left w:val="single" w:color="auto" w:sz="4" w:space="0"/>
              <w:bottom w:val="single" w:color="auto" w:sz="4" w:space="0"/>
              <w:right w:val="single" w:color="auto" w:sz="4" w:space="0"/>
            </w:tcBorders>
            <w:vAlign w:val="center"/>
          </w:tcPr>
          <w:p>
            <w:pPr>
              <w:overflowPunct/>
              <w:autoSpaceDE/>
              <w:autoSpaceDN/>
              <w:adjustRightInd/>
              <w:jc w:val="left"/>
              <w:textAlignment w:val="auto"/>
              <w:rPr>
                <w:rFonts w:ascii="宋体" w:hAnsi="宋体" w:cs="宋体"/>
                <w:bCs/>
                <w:color w:val="000000"/>
                <w:szCs w:val="21"/>
              </w:rPr>
            </w:pPr>
          </w:p>
        </w:tc>
        <w:tc>
          <w:tcPr>
            <w:tcW w:w="1613" w:type="dxa"/>
            <w:vMerge w:val="continue"/>
            <w:tcBorders>
              <w:top w:val="single" w:color="auto" w:sz="4" w:space="0"/>
              <w:left w:val="single" w:color="auto" w:sz="4" w:space="0"/>
              <w:bottom w:val="single" w:color="auto" w:sz="4" w:space="0"/>
              <w:right w:val="single" w:color="auto" w:sz="4" w:space="0"/>
            </w:tcBorders>
            <w:vAlign w:val="center"/>
          </w:tcPr>
          <w:p>
            <w:pPr>
              <w:overflowPunct/>
              <w:autoSpaceDE/>
              <w:autoSpaceDN/>
              <w:adjustRightInd/>
              <w:jc w:val="left"/>
              <w:textAlignment w:val="auto"/>
              <w:rPr>
                <w:rFonts w:ascii="宋体" w:hAnsi="宋体" w:cs="宋体"/>
                <w:bCs/>
                <w:color w:val="000000"/>
                <w:szCs w:val="21"/>
              </w:rPr>
            </w:pPr>
          </w:p>
        </w:tc>
        <w:tc>
          <w:tcPr>
            <w:tcW w:w="1319" w:type="dxa"/>
            <w:vMerge w:val="continue"/>
            <w:tcBorders>
              <w:top w:val="single" w:color="auto" w:sz="4" w:space="0"/>
              <w:left w:val="single" w:color="auto" w:sz="4" w:space="0"/>
              <w:bottom w:val="single" w:color="auto" w:sz="4" w:space="0"/>
              <w:right w:val="single" w:color="auto" w:sz="4" w:space="0"/>
            </w:tcBorders>
            <w:vAlign w:val="center"/>
          </w:tcPr>
          <w:p>
            <w:pPr>
              <w:overflowPunct/>
              <w:autoSpaceDE/>
              <w:autoSpaceDN/>
              <w:adjustRightInd/>
              <w:jc w:val="left"/>
              <w:textAlignment w:val="auto"/>
              <w:rPr>
                <w:rFonts w:ascii="宋体" w:hAnsi="宋体" w:cs="宋体"/>
                <w:bCs/>
                <w:color w:val="000000"/>
                <w:szCs w:val="21"/>
              </w:rPr>
            </w:pPr>
          </w:p>
        </w:tc>
        <w:tc>
          <w:tcPr>
            <w:tcW w:w="1086" w:type="dxa"/>
            <w:gridSpan w:val="2"/>
            <w:vMerge w:val="continue"/>
            <w:tcBorders>
              <w:top w:val="single" w:color="auto" w:sz="4" w:space="0"/>
              <w:left w:val="single" w:color="auto" w:sz="4" w:space="0"/>
              <w:bottom w:val="single" w:color="auto" w:sz="4" w:space="0"/>
              <w:right w:val="single" w:color="auto" w:sz="4" w:space="0"/>
            </w:tcBorders>
            <w:vAlign w:val="center"/>
          </w:tcPr>
          <w:p>
            <w:pPr>
              <w:overflowPunct/>
              <w:autoSpaceDE/>
              <w:autoSpaceDN/>
              <w:adjustRightInd/>
              <w:jc w:val="left"/>
              <w:textAlignment w:val="auto"/>
              <w:rPr>
                <w:rFonts w:ascii="宋体" w:hAnsi="宋体" w:cs="宋体"/>
                <w:bCs/>
                <w:color w:val="000000"/>
                <w:szCs w:val="21"/>
              </w:rPr>
            </w:pPr>
          </w:p>
        </w:tc>
        <w:tc>
          <w:tcPr>
            <w:tcW w:w="1434" w:type="dxa"/>
            <w:vMerge w:val="continue"/>
            <w:tcBorders>
              <w:top w:val="single" w:color="auto" w:sz="4" w:space="0"/>
              <w:left w:val="single" w:color="auto" w:sz="4" w:space="0"/>
              <w:bottom w:val="single" w:color="auto" w:sz="4" w:space="0"/>
              <w:right w:val="single" w:color="auto" w:sz="4" w:space="0"/>
            </w:tcBorders>
            <w:vAlign w:val="center"/>
          </w:tcPr>
          <w:p>
            <w:pPr>
              <w:overflowPunct/>
              <w:autoSpaceDE/>
              <w:autoSpaceDN/>
              <w:adjustRightInd/>
              <w:jc w:val="left"/>
              <w:textAlignment w:val="auto"/>
              <w:rPr>
                <w:rFonts w:ascii="宋体" w:hAnsi="宋体" w:cs="宋体"/>
                <w:bCs/>
                <w:color w:val="000000"/>
                <w:szCs w:val="21"/>
              </w:rPr>
            </w:pPr>
          </w:p>
        </w:tc>
      </w:tr>
      <w:tr>
        <w:tblPrEx>
          <w:tblLayout w:type="fixed"/>
          <w:tblCellMar>
            <w:top w:w="0" w:type="dxa"/>
            <w:left w:w="108" w:type="dxa"/>
            <w:bottom w:w="0" w:type="dxa"/>
            <w:right w:w="108" w:type="dxa"/>
          </w:tblCellMar>
        </w:tblPrEx>
        <w:trPr>
          <w:trHeight w:val="315" w:hRule="atLeast"/>
        </w:trPr>
        <w:tc>
          <w:tcPr>
            <w:tcW w:w="1831" w:type="dxa"/>
            <w:vMerge w:val="restart"/>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1</w:t>
            </w:r>
          </w:p>
        </w:tc>
        <w:tc>
          <w:tcPr>
            <w:tcW w:w="807" w:type="dxa"/>
            <w:vMerge w:val="restart"/>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2</w:t>
            </w:r>
          </w:p>
        </w:tc>
        <w:tc>
          <w:tcPr>
            <w:tcW w:w="1229" w:type="dxa"/>
            <w:vMerge w:val="restart"/>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3</w:t>
            </w:r>
          </w:p>
        </w:tc>
        <w:tc>
          <w:tcPr>
            <w:tcW w:w="893" w:type="dxa"/>
            <w:vMerge w:val="restart"/>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4</w:t>
            </w:r>
          </w:p>
        </w:tc>
        <w:tc>
          <w:tcPr>
            <w:tcW w:w="1524" w:type="dxa"/>
            <w:vMerge w:val="restart"/>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5</w:t>
            </w:r>
          </w:p>
        </w:tc>
        <w:tc>
          <w:tcPr>
            <w:tcW w:w="1555" w:type="dxa"/>
            <w:gridSpan w:val="2"/>
            <w:vMerge w:val="restart"/>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6</w:t>
            </w:r>
          </w:p>
        </w:tc>
        <w:tc>
          <w:tcPr>
            <w:tcW w:w="1243" w:type="dxa"/>
            <w:vMerge w:val="restart"/>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7</w:t>
            </w:r>
          </w:p>
        </w:tc>
        <w:tc>
          <w:tcPr>
            <w:tcW w:w="1370"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rFonts w:ascii="宋体" w:hAnsi="宋体" w:cs="宋体"/>
                <w:color w:val="000000"/>
                <w:szCs w:val="21"/>
              </w:rPr>
            </w:pPr>
            <w:r>
              <w:rPr>
                <w:rFonts w:hint="eastAsia" w:ascii="宋体" w:hAnsi="宋体" w:cs="宋体"/>
                <w:color w:val="000000"/>
                <w:szCs w:val="21"/>
              </w:rPr>
              <w:t>8①</w:t>
            </w:r>
            <w:r>
              <w:rPr>
                <w:color w:val="000000"/>
                <w:szCs w:val="21"/>
              </w:rPr>
              <w:t>=6×7</w:t>
            </w:r>
          </w:p>
        </w:tc>
        <w:tc>
          <w:tcPr>
            <w:tcW w:w="1613" w:type="dxa"/>
            <w:vMerge w:val="restart"/>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9</w:t>
            </w:r>
          </w:p>
        </w:tc>
        <w:tc>
          <w:tcPr>
            <w:tcW w:w="1319" w:type="dxa"/>
            <w:vMerge w:val="restart"/>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10</w:t>
            </w:r>
          </w:p>
        </w:tc>
        <w:tc>
          <w:tcPr>
            <w:tcW w:w="1086" w:type="dxa"/>
            <w:gridSpan w:val="2"/>
            <w:vMerge w:val="restart"/>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11</w:t>
            </w:r>
          </w:p>
        </w:tc>
        <w:tc>
          <w:tcPr>
            <w:tcW w:w="1434" w:type="dxa"/>
            <w:vMerge w:val="restart"/>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rFonts w:hint="eastAsia"/>
                <w:color w:val="000000"/>
                <w:szCs w:val="21"/>
              </w:rPr>
            </w:pPr>
            <w:r>
              <w:rPr>
                <w:color w:val="000000"/>
                <w:szCs w:val="21"/>
              </w:rPr>
              <w:t>12</w:t>
            </w:r>
            <w:r>
              <w:rPr>
                <w:rFonts w:hint="eastAsia"/>
                <w:color w:val="000000"/>
                <w:szCs w:val="21"/>
              </w:rPr>
              <w:t>=8-9-10-11</w:t>
            </w:r>
          </w:p>
        </w:tc>
      </w:tr>
      <w:tr>
        <w:tblPrEx>
          <w:tblLayout w:type="fixed"/>
          <w:tblCellMar>
            <w:top w:w="0" w:type="dxa"/>
            <w:left w:w="108" w:type="dxa"/>
            <w:bottom w:w="0" w:type="dxa"/>
            <w:right w:w="108" w:type="dxa"/>
          </w:tblCellMar>
        </w:tblPrEx>
        <w:trPr>
          <w:trHeight w:val="329" w:hRule="atLeast"/>
        </w:trPr>
        <w:tc>
          <w:tcPr>
            <w:tcW w:w="183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left"/>
              <w:textAlignment w:val="auto"/>
              <w:rPr>
                <w:color w:val="000000"/>
                <w:szCs w:val="21"/>
              </w:rPr>
            </w:pPr>
          </w:p>
        </w:tc>
        <w:tc>
          <w:tcPr>
            <w:tcW w:w="807"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left"/>
              <w:textAlignment w:val="auto"/>
              <w:rPr>
                <w:color w:val="000000"/>
                <w:szCs w:val="21"/>
              </w:rPr>
            </w:pPr>
          </w:p>
        </w:tc>
        <w:tc>
          <w:tcPr>
            <w:tcW w:w="122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left"/>
              <w:textAlignment w:val="auto"/>
              <w:rPr>
                <w:color w:val="000000"/>
                <w:szCs w:val="21"/>
              </w:rPr>
            </w:pPr>
          </w:p>
        </w:tc>
        <w:tc>
          <w:tcPr>
            <w:tcW w:w="89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left"/>
              <w:textAlignment w:val="auto"/>
              <w:rPr>
                <w:color w:val="000000"/>
                <w:szCs w:val="21"/>
              </w:rPr>
            </w:pPr>
          </w:p>
        </w:tc>
        <w:tc>
          <w:tcPr>
            <w:tcW w:w="152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left"/>
              <w:textAlignment w:val="auto"/>
              <w:rPr>
                <w:color w:val="000000"/>
                <w:szCs w:val="21"/>
              </w:rPr>
            </w:pPr>
          </w:p>
        </w:tc>
        <w:tc>
          <w:tcPr>
            <w:tcW w:w="1555"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left"/>
              <w:textAlignment w:val="auto"/>
              <w:rPr>
                <w:color w:val="000000"/>
                <w:szCs w:val="21"/>
              </w:rPr>
            </w:pPr>
          </w:p>
        </w:tc>
        <w:tc>
          <w:tcPr>
            <w:tcW w:w="124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left"/>
              <w:textAlignment w:val="auto"/>
              <w:rPr>
                <w:color w:val="000000"/>
                <w:szCs w:val="21"/>
              </w:rPr>
            </w:pPr>
          </w:p>
        </w:tc>
        <w:tc>
          <w:tcPr>
            <w:tcW w:w="1370"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rFonts w:ascii="宋体" w:hAnsi="宋体" w:cs="宋体"/>
                <w:color w:val="000000"/>
                <w:szCs w:val="21"/>
              </w:rPr>
            </w:pPr>
            <w:r>
              <w:rPr>
                <w:rFonts w:hint="eastAsia" w:ascii="宋体" w:hAnsi="宋体" w:cs="宋体"/>
                <w:color w:val="000000"/>
                <w:szCs w:val="21"/>
              </w:rPr>
              <w:t>8②</w:t>
            </w:r>
            <w:r>
              <w:rPr>
                <w:color w:val="000000"/>
                <w:szCs w:val="21"/>
              </w:rPr>
              <w:t>=5×7</w:t>
            </w:r>
          </w:p>
        </w:tc>
        <w:tc>
          <w:tcPr>
            <w:tcW w:w="1613" w:type="dxa"/>
            <w:vMerge w:val="continue"/>
            <w:tcBorders>
              <w:top w:val="single" w:color="auto" w:sz="4" w:space="0"/>
              <w:left w:val="single" w:color="auto" w:sz="4" w:space="0"/>
              <w:bottom w:val="single" w:color="auto" w:sz="4" w:space="0"/>
              <w:right w:val="single" w:color="auto" w:sz="4" w:space="0"/>
            </w:tcBorders>
            <w:vAlign w:val="center"/>
          </w:tcPr>
          <w:p>
            <w:pPr>
              <w:overflowPunct/>
              <w:autoSpaceDE/>
              <w:autoSpaceDN/>
              <w:adjustRightInd/>
              <w:jc w:val="left"/>
              <w:textAlignment w:val="auto"/>
              <w:rPr>
                <w:color w:val="000000"/>
                <w:szCs w:val="21"/>
              </w:rPr>
            </w:pPr>
          </w:p>
        </w:tc>
        <w:tc>
          <w:tcPr>
            <w:tcW w:w="1319" w:type="dxa"/>
            <w:vMerge w:val="continue"/>
            <w:tcBorders>
              <w:top w:val="single" w:color="auto" w:sz="4" w:space="0"/>
              <w:left w:val="single" w:color="auto" w:sz="4" w:space="0"/>
              <w:bottom w:val="single" w:color="auto" w:sz="4" w:space="0"/>
              <w:right w:val="single" w:color="auto" w:sz="4" w:space="0"/>
            </w:tcBorders>
            <w:vAlign w:val="center"/>
          </w:tcPr>
          <w:p>
            <w:pPr>
              <w:overflowPunct/>
              <w:autoSpaceDE/>
              <w:autoSpaceDN/>
              <w:adjustRightInd/>
              <w:jc w:val="left"/>
              <w:textAlignment w:val="auto"/>
              <w:rPr>
                <w:color w:val="000000"/>
                <w:szCs w:val="21"/>
              </w:rPr>
            </w:pPr>
          </w:p>
        </w:tc>
        <w:tc>
          <w:tcPr>
            <w:tcW w:w="1086" w:type="dxa"/>
            <w:gridSpan w:val="2"/>
            <w:vMerge w:val="continue"/>
            <w:tcBorders>
              <w:top w:val="single" w:color="auto" w:sz="4" w:space="0"/>
              <w:left w:val="single" w:color="auto" w:sz="4" w:space="0"/>
              <w:bottom w:val="single" w:color="auto" w:sz="4" w:space="0"/>
              <w:right w:val="single" w:color="auto" w:sz="4" w:space="0"/>
            </w:tcBorders>
            <w:vAlign w:val="center"/>
          </w:tcPr>
          <w:p>
            <w:pPr>
              <w:overflowPunct/>
              <w:autoSpaceDE/>
              <w:autoSpaceDN/>
              <w:adjustRightInd/>
              <w:jc w:val="left"/>
              <w:textAlignment w:val="auto"/>
              <w:rPr>
                <w:color w:val="000000"/>
                <w:szCs w:val="21"/>
              </w:rPr>
            </w:pPr>
          </w:p>
        </w:tc>
        <w:tc>
          <w:tcPr>
            <w:tcW w:w="1434" w:type="dxa"/>
            <w:vMerge w:val="continue"/>
            <w:tcBorders>
              <w:top w:val="single" w:color="auto" w:sz="4" w:space="0"/>
              <w:left w:val="single" w:color="auto" w:sz="4" w:space="0"/>
              <w:bottom w:val="single" w:color="auto" w:sz="4" w:space="0"/>
              <w:right w:val="single" w:color="auto" w:sz="4" w:space="0"/>
            </w:tcBorders>
            <w:vAlign w:val="center"/>
          </w:tcPr>
          <w:p>
            <w:pPr>
              <w:overflowPunct/>
              <w:autoSpaceDE/>
              <w:autoSpaceDN/>
              <w:adjustRightInd/>
              <w:jc w:val="left"/>
              <w:textAlignment w:val="auto"/>
              <w:rPr>
                <w:color w:val="000000"/>
                <w:szCs w:val="21"/>
              </w:rPr>
            </w:pPr>
          </w:p>
        </w:tc>
      </w:tr>
      <w:tr>
        <w:tblPrEx>
          <w:tblLayout w:type="fixed"/>
          <w:tblCellMar>
            <w:top w:w="0" w:type="dxa"/>
            <w:left w:w="108" w:type="dxa"/>
            <w:bottom w:w="0" w:type="dxa"/>
            <w:right w:w="108" w:type="dxa"/>
          </w:tblCellMar>
        </w:tblPrEx>
        <w:trPr>
          <w:trHeight w:val="329" w:hRule="atLeast"/>
        </w:trPr>
        <w:tc>
          <w:tcPr>
            <w:tcW w:w="1831"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807"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229"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893"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524"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555" w:type="dxa"/>
            <w:gridSpan w:val="2"/>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243"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370"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613"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319"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left"/>
              <w:textAlignment w:val="auto"/>
              <w:rPr>
                <w:color w:val="000000"/>
                <w:szCs w:val="21"/>
              </w:rPr>
            </w:pPr>
            <w:r>
              <w:rPr>
                <w:color w:val="000000"/>
                <w:szCs w:val="21"/>
              </w:rPr>
              <w:t>　</w:t>
            </w:r>
          </w:p>
        </w:tc>
        <w:tc>
          <w:tcPr>
            <w:tcW w:w="1086" w:type="dxa"/>
            <w:gridSpan w:val="2"/>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434"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r>
      <w:tr>
        <w:tblPrEx>
          <w:tblLayout w:type="fixed"/>
          <w:tblCellMar>
            <w:top w:w="0" w:type="dxa"/>
            <w:left w:w="108" w:type="dxa"/>
            <w:bottom w:w="0" w:type="dxa"/>
            <w:right w:w="108" w:type="dxa"/>
          </w:tblCellMar>
        </w:tblPrEx>
        <w:trPr>
          <w:trHeight w:val="329" w:hRule="atLeast"/>
        </w:trPr>
        <w:tc>
          <w:tcPr>
            <w:tcW w:w="1831"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807"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229"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893"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524"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555" w:type="dxa"/>
            <w:gridSpan w:val="2"/>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243"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370"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613"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319"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left"/>
              <w:textAlignment w:val="auto"/>
              <w:rPr>
                <w:color w:val="000000"/>
                <w:szCs w:val="21"/>
              </w:rPr>
            </w:pPr>
            <w:r>
              <w:rPr>
                <w:color w:val="000000"/>
                <w:szCs w:val="21"/>
              </w:rPr>
              <w:t>　</w:t>
            </w:r>
          </w:p>
        </w:tc>
        <w:tc>
          <w:tcPr>
            <w:tcW w:w="1086" w:type="dxa"/>
            <w:gridSpan w:val="2"/>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434"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r>
      <w:tr>
        <w:tblPrEx>
          <w:tblLayout w:type="fixed"/>
          <w:tblCellMar>
            <w:top w:w="0" w:type="dxa"/>
            <w:left w:w="108" w:type="dxa"/>
            <w:bottom w:w="0" w:type="dxa"/>
            <w:right w:w="108" w:type="dxa"/>
          </w:tblCellMar>
        </w:tblPrEx>
        <w:trPr>
          <w:trHeight w:val="329" w:hRule="atLeast"/>
        </w:trPr>
        <w:tc>
          <w:tcPr>
            <w:tcW w:w="1831"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807"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229"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893"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524"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555" w:type="dxa"/>
            <w:gridSpan w:val="2"/>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243"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370"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613"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319"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left"/>
              <w:textAlignment w:val="auto"/>
              <w:rPr>
                <w:color w:val="000000"/>
                <w:szCs w:val="21"/>
              </w:rPr>
            </w:pPr>
            <w:r>
              <w:rPr>
                <w:color w:val="000000"/>
                <w:szCs w:val="21"/>
              </w:rPr>
              <w:t>　</w:t>
            </w:r>
          </w:p>
        </w:tc>
        <w:tc>
          <w:tcPr>
            <w:tcW w:w="1086" w:type="dxa"/>
            <w:gridSpan w:val="2"/>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434"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r>
      <w:tr>
        <w:tblPrEx>
          <w:tblLayout w:type="fixed"/>
          <w:tblCellMar>
            <w:top w:w="0" w:type="dxa"/>
            <w:left w:w="108" w:type="dxa"/>
            <w:bottom w:w="0" w:type="dxa"/>
            <w:right w:w="108" w:type="dxa"/>
          </w:tblCellMar>
        </w:tblPrEx>
        <w:trPr>
          <w:trHeight w:val="329" w:hRule="atLeast"/>
        </w:trPr>
        <w:tc>
          <w:tcPr>
            <w:tcW w:w="1831"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807"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229"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893"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524"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555" w:type="dxa"/>
            <w:gridSpan w:val="2"/>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243"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370"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613"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319"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left"/>
              <w:textAlignment w:val="auto"/>
              <w:rPr>
                <w:color w:val="000000"/>
                <w:szCs w:val="21"/>
              </w:rPr>
            </w:pPr>
            <w:r>
              <w:rPr>
                <w:color w:val="000000"/>
                <w:szCs w:val="21"/>
              </w:rPr>
              <w:t>　</w:t>
            </w:r>
          </w:p>
        </w:tc>
        <w:tc>
          <w:tcPr>
            <w:tcW w:w="1086" w:type="dxa"/>
            <w:gridSpan w:val="2"/>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c>
          <w:tcPr>
            <w:tcW w:w="1434"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color w:val="000000"/>
                <w:szCs w:val="21"/>
              </w:rPr>
            </w:pPr>
            <w:r>
              <w:rPr>
                <w:color w:val="000000"/>
                <w:szCs w:val="21"/>
              </w:rPr>
              <w:t>　</w:t>
            </w:r>
          </w:p>
        </w:tc>
      </w:tr>
      <w:tr>
        <w:tblPrEx>
          <w:tblLayout w:type="fixed"/>
          <w:tblCellMar>
            <w:top w:w="0" w:type="dxa"/>
            <w:left w:w="108" w:type="dxa"/>
            <w:bottom w:w="0" w:type="dxa"/>
            <w:right w:w="108" w:type="dxa"/>
          </w:tblCellMar>
        </w:tblPrEx>
        <w:trPr>
          <w:trHeight w:val="247" w:hRule="atLeast"/>
        </w:trPr>
        <w:tc>
          <w:tcPr>
            <w:tcW w:w="263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overflowPunct/>
              <w:autoSpaceDE/>
              <w:autoSpaceDN/>
              <w:adjustRightInd/>
              <w:jc w:val="center"/>
              <w:textAlignment w:val="auto"/>
              <w:rPr>
                <w:rFonts w:hint="eastAsia" w:ascii="宋体" w:hAnsi="宋体" w:cs="宋体"/>
                <w:b/>
                <w:bCs/>
                <w:color w:val="000000"/>
                <w:szCs w:val="21"/>
              </w:rPr>
            </w:pPr>
            <w:r>
              <w:rPr>
                <w:rFonts w:hint="eastAsia" w:ascii="宋体" w:hAnsi="宋体" w:cs="宋体"/>
                <w:b/>
                <w:bCs/>
                <w:color w:val="000000"/>
                <w:szCs w:val="21"/>
              </w:rPr>
              <w:t>合   计</w:t>
            </w:r>
          </w:p>
        </w:tc>
        <w:tc>
          <w:tcPr>
            <w:tcW w:w="1229"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rFonts w:ascii="宋体" w:hAnsi="宋体" w:cs="宋体"/>
                <w:b/>
                <w:bCs/>
                <w:color w:val="000000"/>
                <w:szCs w:val="21"/>
              </w:rPr>
            </w:pPr>
            <w:r>
              <w:rPr>
                <w:rFonts w:hint="eastAsia" w:ascii="宋体" w:hAnsi="宋体" w:cs="宋体"/>
                <w:b/>
                <w:bCs/>
                <w:color w:val="000000"/>
                <w:szCs w:val="21"/>
              </w:rPr>
              <w:t>—</w:t>
            </w:r>
          </w:p>
        </w:tc>
        <w:tc>
          <w:tcPr>
            <w:tcW w:w="893"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rFonts w:ascii="宋体" w:hAnsi="宋体" w:cs="宋体"/>
                <w:b/>
                <w:bCs/>
                <w:color w:val="000000"/>
                <w:szCs w:val="21"/>
              </w:rPr>
            </w:pPr>
            <w:r>
              <w:rPr>
                <w:rFonts w:hint="eastAsia" w:ascii="宋体" w:hAnsi="宋体" w:cs="宋体"/>
                <w:b/>
                <w:bCs/>
                <w:color w:val="000000"/>
                <w:szCs w:val="21"/>
              </w:rPr>
              <w:t>—</w:t>
            </w:r>
          </w:p>
        </w:tc>
        <w:tc>
          <w:tcPr>
            <w:tcW w:w="1524"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rFonts w:ascii="宋体" w:hAnsi="宋体" w:cs="宋体"/>
                <w:b/>
                <w:bCs/>
                <w:color w:val="000000"/>
                <w:szCs w:val="21"/>
              </w:rPr>
            </w:pPr>
            <w:r>
              <w:rPr>
                <w:rFonts w:hint="eastAsia" w:ascii="宋体" w:hAnsi="宋体" w:cs="宋体"/>
                <w:b/>
                <w:bCs/>
                <w:color w:val="000000"/>
                <w:szCs w:val="21"/>
              </w:rPr>
              <w:t>　</w:t>
            </w:r>
          </w:p>
        </w:tc>
        <w:tc>
          <w:tcPr>
            <w:tcW w:w="1555" w:type="dxa"/>
            <w:gridSpan w:val="2"/>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rFonts w:ascii="宋体" w:hAnsi="宋体" w:cs="宋体"/>
                <w:b/>
                <w:bCs/>
                <w:color w:val="000000"/>
                <w:szCs w:val="21"/>
              </w:rPr>
            </w:pPr>
            <w:r>
              <w:rPr>
                <w:rFonts w:hint="eastAsia" w:ascii="宋体" w:hAnsi="宋体" w:cs="宋体"/>
                <w:b/>
                <w:bCs/>
                <w:color w:val="000000"/>
                <w:szCs w:val="21"/>
              </w:rPr>
              <w:t>　</w:t>
            </w:r>
          </w:p>
        </w:tc>
        <w:tc>
          <w:tcPr>
            <w:tcW w:w="1243"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rFonts w:ascii="宋体" w:hAnsi="宋体" w:cs="宋体"/>
                <w:b/>
                <w:bCs/>
                <w:color w:val="000000"/>
                <w:szCs w:val="21"/>
              </w:rPr>
            </w:pPr>
            <w:r>
              <w:rPr>
                <w:rFonts w:hint="eastAsia" w:ascii="宋体" w:hAnsi="宋体" w:cs="宋体"/>
                <w:b/>
                <w:bCs/>
                <w:color w:val="000000"/>
                <w:szCs w:val="21"/>
              </w:rPr>
              <w:t>—</w:t>
            </w:r>
          </w:p>
        </w:tc>
        <w:tc>
          <w:tcPr>
            <w:tcW w:w="1370"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rFonts w:ascii="宋体" w:hAnsi="宋体" w:cs="宋体"/>
                <w:b/>
                <w:bCs/>
                <w:color w:val="000000"/>
                <w:szCs w:val="21"/>
              </w:rPr>
            </w:pPr>
            <w:r>
              <w:rPr>
                <w:rFonts w:hint="eastAsia" w:ascii="宋体" w:hAnsi="宋体" w:cs="宋体"/>
                <w:b/>
                <w:bCs/>
                <w:color w:val="000000"/>
                <w:szCs w:val="21"/>
              </w:rPr>
              <w:t>　</w:t>
            </w:r>
          </w:p>
        </w:tc>
        <w:tc>
          <w:tcPr>
            <w:tcW w:w="2932" w:type="dxa"/>
            <w:gridSpan w:val="2"/>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rFonts w:ascii="宋体" w:hAnsi="宋体" w:cs="宋体"/>
                <w:b/>
                <w:bCs/>
                <w:color w:val="000000"/>
                <w:szCs w:val="21"/>
              </w:rPr>
            </w:pPr>
            <w:r>
              <w:rPr>
                <w:rFonts w:hint="eastAsia" w:ascii="宋体" w:hAnsi="宋体" w:cs="宋体"/>
                <w:b/>
                <w:bCs/>
                <w:color w:val="000000"/>
                <w:szCs w:val="21"/>
              </w:rPr>
              <w:t>　</w:t>
            </w:r>
          </w:p>
        </w:tc>
        <w:tc>
          <w:tcPr>
            <w:tcW w:w="1086" w:type="dxa"/>
            <w:gridSpan w:val="2"/>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rFonts w:ascii="宋体" w:hAnsi="宋体" w:cs="宋体"/>
                <w:b/>
                <w:bCs/>
                <w:color w:val="000000"/>
                <w:szCs w:val="21"/>
              </w:rPr>
            </w:pPr>
            <w:r>
              <w:rPr>
                <w:rFonts w:hint="eastAsia" w:ascii="宋体" w:hAnsi="宋体" w:cs="宋体"/>
                <w:b/>
                <w:bCs/>
                <w:color w:val="000000"/>
                <w:szCs w:val="21"/>
              </w:rPr>
              <w:t>　</w:t>
            </w:r>
          </w:p>
        </w:tc>
        <w:tc>
          <w:tcPr>
            <w:tcW w:w="1434" w:type="dxa"/>
            <w:tcBorders>
              <w:top w:val="single" w:color="auto" w:sz="4" w:space="0"/>
              <w:left w:val="single" w:color="auto" w:sz="4" w:space="0"/>
              <w:bottom w:val="single" w:color="auto" w:sz="4" w:space="0"/>
              <w:right w:val="single" w:color="auto" w:sz="4" w:space="0"/>
            </w:tcBorders>
            <w:shd w:val="clear" w:color="auto" w:fill="auto"/>
            <w:vAlign w:val="bottom"/>
          </w:tcPr>
          <w:p>
            <w:pPr>
              <w:overflowPunct/>
              <w:autoSpaceDE/>
              <w:autoSpaceDN/>
              <w:adjustRightInd/>
              <w:jc w:val="center"/>
              <w:textAlignment w:val="auto"/>
              <w:rPr>
                <w:rFonts w:ascii="宋体" w:hAnsi="宋体" w:cs="宋体"/>
                <w:b/>
                <w:bCs/>
                <w:color w:val="000000"/>
                <w:szCs w:val="21"/>
              </w:rPr>
            </w:pPr>
            <w:r>
              <w:rPr>
                <w:rFonts w:hint="eastAsia" w:ascii="宋体" w:hAnsi="宋体" w:cs="宋体"/>
                <w:b/>
                <w:bCs/>
                <w:color w:val="000000"/>
                <w:szCs w:val="21"/>
              </w:rPr>
              <w:t>　</w:t>
            </w:r>
          </w:p>
        </w:tc>
      </w:tr>
      <w:tr>
        <w:tblPrEx>
          <w:tblLayout w:type="fixed"/>
          <w:tblCellMar>
            <w:top w:w="0" w:type="dxa"/>
            <w:left w:w="108" w:type="dxa"/>
            <w:bottom w:w="0" w:type="dxa"/>
            <w:right w:w="108" w:type="dxa"/>
          </w:tblCellMar>
        </w:tblPrEx>
        <w:trPr>
          <w:trHeight w:val="758" w:hRule="atLeast"/>
        </w:trPr>
        <w:tc>
          <w:tcPr>
            <w:tcW w:w="15904" w:type="dxa"/>
            <w:gridSpan w:val="14"/>
            <w:tcBorders>
              <w:top w:val="single" w:color="auto" w:sz="4" w:space="0"/>
              <w:left w:val="single" w:color="auto" w:sz="4" w:space="0"/>
              <w:bottom w:val="single" w:color="auto" w:sz="4" w:space="0"/>
              <w:right w:val="single" w:color="auto" w:sz="4" w:space="0"/>
            </w:tcBorders>
            <w:shd w:val="clear" w:color="auto" w:fill="auto"/>
            <w:vAlign w:val="center"/>
          </w:tcPr>
          <w:p>
            <w:pPr>
              <w:spacing w:line="320" w:lineRule="exact"/>
              <w:ind w:firstLine="400"/>
              <w:jc w:val="left"/>
              <w:rPr>
                <w:rFonts w:hint="eastAsia" w:ascii="宋体" w:hAnsi="宋体" w:cs="宋体"/>
                <w:color w:val="000000"/>
                <w:sz w:val="20"/>
              </w:rPr>
            </w:pPr>
            <w:r>
              <w:rPr>
                <w:rFonts w:hint="eastAsia" w:ascii="宋体" w:hAnsi="宋体" w:cs="宋体"/>
                <w:color w:val="000000"/>
                <w:sz w:val="20"/>
              </w:rPr>
              <w:t>谨声明：本纳税申报表是根据国家税收法律法规及相关规定填报的，是真实的、可靠的、完整的。</w:t>
            </w:r>
          </w:p>
          <w:p>
            <w:pPr>
              <w:jc w:val="right"/>
              <w:rPr>
                <w:rFonts w:ascii="宋体" w:hAnsi="宋体" w:cs="宋体"/>
                <w:color w:val="000000"/>
                <w:szCs w:val="21"/>
              </w:rPr>
            </w:pPr>
            <w:r>
              <w:rPr>
                <w:rFonts w:ascii="宋体" w:hAnsi="宋体" w:cs="宋体"/>
                <w:color w:val="000000"/>
                <w:sz w:val="20"/>
              </w:rPr>
              <w:t xml:space="preserve"> </w:t>
            </w:r>
            <w:r>
              <w:rPr>
                <w:rFonts w:hint="eastAsia" w:ascii="宋体" w:hAnsi="宋体" w:cs="宋体"/>
                <w:color w:val="000000"/>
                <w:sz w:val="20"/>
              </w:rPr>
              <w:t>纳税人（签章）：</w:t>
            </w:r>
            <w:r>
              <w:rPr>
                <w:rFonts w:ascii="宋体" w:hAnsi="宋体" w:cs="宋体"/>
                <w:color w:val="000000"/>
                <w:sz w:val="20"/>
              </w:rPr>
              <w:t xml:space="preserve">                  </w:t>
            </w:r>
            <w:r>
              <w:rPr>
                <w:rFonts w:hint="eastAsia" w:ascii="宋体" w:hAnsi="宋体" w:cs="宋体"/>
                <w:color w:val="000000"/>
                <w:sz w:val="20"/>
              </w:rPr>
              <w:t>年</w:t>
            </w:r>
            <w:r>
              <w:rPr>
                <w:rFonts w:ascii="宋体" w:hAnsi="宋体" w:cs="宋体"/>
                <w:color w:val="000000"/>
                <w:sz w:val="20"/>
              </w:rPr>
              <w:t xml:space="preserve">  </w:t>
            </w:r>
            <w:r>
              <w:rPr>
                <w:rFonts w:hint="eastAsia" w:ascii="宋体" w:hAnsi="宋体" w:cs="宋体"/>
                <w:color w:val="000000"/>
                <w:sz w:val="20"/>
              </w:rPr>
              <w:t>月</w:t>
            </w:r>
            <w:r>
              <w:rPr>
                <w:rFonts w:ascii="宋体" w:hAnsi="宋体" w:cs="宋体"/>
                <w:color w:val="000000"/>
                <w:sz w:val="20"/>
              </w:rPr>
              <w:t xml:space="preserve">  </w:t>
            </w:r>
            <w:r>
              <w:rPr>
                <w:rFonts w:hint="eastAsia" w:ascii="宋体" w:hAnsi="宋体" w:cs="宋体"/>
                <w:color w:val="000000"/>
                <w:sz w:val="20"/>
              </w:rPr>
              <w:t>日</w:t>
            </w:r>
          </w:p>
        </w:tc>
      </w:tr>
      <w:tr>
        <w:tblPrEx>
          <w:tblLayout w:type="fixed"/>
          <w:tblCellMar>
            <w:top w:w="0" w:type="dxa"/>
            <w:left w:w="108" w:type="dxa"/>
            <w:bottom w:w="0" w:type="dxa"/>
            <w:right w:w="108" w:type="dxa"/>
          </w:tblCellMar>
        </w:tblPrEx>
        <w:trPr>
          <w:trHeight w:val="640" w:hRule="atLeast"/>
        </w:trPr>
        <w:tc>
          <w:tcPr>
            <w:tcW w:w="9082" w:type="dxa"/>
            <w:gridSpan w:val="8"/>
            <w:tcBorders>
              <w:top w:val="single" w:color="auto" w:sz="4" w:space="0"/>
              <w:left w:val="single" w:color="auto" w:sz="4" w:space="0"/>
              <w:bottom w:val="single" w:color="auto" w:sz="4" w:space="0"/>
              <w:right w:val="single" w:color="auto" w:sz="4" w:space="0"/>
            </w:tcBorders>
            <w:vAlign w:val="center"/>
          </w:tcPr>
          <w:p>
            <w:pPr>
              <w:spacing w:line="320" w:lineRule="exact"/>
              <w:jc w:val="left"/>
              <w:rPr>
                <w:rFonts w:ascii="宋体" w:hAnsi="宋体"/>
                <w:color w:val="000000"/>
                <w:sz w:val="20"/>
              </w:rPr>
            </w:pPr>
            <w:r>
              <w:rPr>
                <w:rFonts w:hint="eastAsia" w:ascii="宋体" w:hAnsi="宋体" w:cs="宋体"/>
                <w:color w:val="000000"/>
                <w:sz w:val="20"/>
              </w:rPr>
              <w:t>经办人：</w:t>
            </w:r>
          </w:p>
          <w:p>
            <w:pPr>
              <w:spacing w:line="320" w:lineRule="exact"/>
              <w:jc w:val="left"/>
              <w:rPr>
                <w:rFonts w:ascii="宋体" w:hAnsi="宋体"/>
                <w:color w:val="000000"/>
                <w:sz w:val="20"/>
              </w:rPr>
            </w:pPr>
            <w:r>
              <w:rPr>
                <w:rFonts w:hint="eastAsia" w:ascii="宋体" w:hAnsi="宋体" w:cs="宋体"/>
                <w:color w:val="000000"/>
                <w:sz w:val="20"/>
              </w:rPr>
              <w:t>经办人身份证号：</w:t>
            </w:r>
          </w:p>
          <w:p>
            <w:pPr>
              <w:spacing w:line="320" w:lineRule="exact"/>
              <w:jc w:val="left"/>
              <w:rPr>
                <w:rFonts w:hint="eastAsia" w:ascii="宋体" w:hAnsi="宋体"/>
                <w:color w:val="000000"/>
                <w:sz w:val="20"/>
              </w:rPr>
            </w:pPr>
            <w:r>
              <w:rPr>
                <w:rFonts w:hint="eastAsia" w:ascii="宋体" w:hAnsi="宋体"/>
                <w:color w:val="000000"/>
                <w:sz w:val="20"/>
              </w:rPr>
              <w:t>代理机构签章：</w:t>
            </w:r>
          </w:p>
          <w:p>
            <w:pPr>
              <w:rPr>
                <w:rFonts w:hint="eastAsia" w:ascii="宋体" w:hAnsi="宋体" w:cs="宋体"/>
                <w:color w:val="000000"/>
                <w:szCs w:val="21"/>
              </w:rPr>
            </w:pPr>
            <w:r>
              <w:rPr>
                <w:rFonts w:hint="eastAsia" w:ascii="宋体" w:hAnsi="宋体"/>
                <w:color w:val="000000"/>
                <w:sz w:val="20"/>
              </w:rPr>
              <w:t>代理机构统一社会信用代码：</w:t>
            </w:r>
          </w:p>
        </w:tc>
        <w:tc>
          <w:tcPr>
            <w:tcW w:w="6822" w:type="dxa"/>
            <w:gridSpan w:val="6"/>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hint="eastAsia" w:ascii="宋体" w:hAnsi="宋体" w:cs="宋体"/>
                <w:color w:val="000000"/>
                <w:sz w:val="20"/>
              </w:rPr>
            </w:pPr>
            <w:r>
              <w:rPr>
                <w:rFonts w:hint="eastAsia" w:ascii="宋体" w:hAnsi="宋体" w:cs="宋体"/>
                <w:color w:val="000000"/>
                <w:sz w:val="20"/>
              </w:rPr>
              <w:t>受理人：</w:t>
            </w:r>
          </w:p>
          <w:p>
            <w:pPr>
              <w:spacing w:line="400" w:lineRule="exact"/>
              <w:jc w:val="left"/>
              <w:rPr>
                <w:rFonts w:hint="eastAsia" w:ascii="宋体" w:hAnsi="宋体"/>
                <w:color w:val="000000"/>
                <w:sz w:val="20"/>
              </w:rPr>
            </w:pPr>
            <w:r>
              <w:rPr>
                <w:rFonts w:hint="eastAsia" w:ascii="宋体" w:hAnsi="宋体"/>
                <w:color w:val="000000"/>
                <w:sz w:val="20"/>
              </w:rPr>
              <w:t>受理税务机关（章）：</w:t>
            </w:r>
          </w:p>
          <w:p>
            <w:pPr>
              <w:jc w:val="left"/>
              <w:rPr>
                <w:rFonts w:hint="eastAsia" w:ascii="宋体" w:hAnsi="宋体" w:cs="宋体"/>
                <w:color w:val="000000"/>
                <w:szCs w:val="21"/>
              </w:rPr>
            </w:pPr>
            <w:r>
              <w:rPr>
                <w:rFonts w:hint="eastAsia" w:ascii="宋体" w:hAnsi="宋体" w:cs="宋体"/>
                <w:color w:val="000000"/>
                <w:sz w:val="20"/>
              </w:rPr>
              <w:t>受理日期：</w:t>
            </w:r>
            <w:r>
              <w:rPr>
                <w:rFonts w:ascii="宋体" w:hAnsi="宋体" w:cs="宋体"/>
                <w:color w:val="000000"/>
                <w:sz w:val="20"/>
              </w:rPr>
              <w:t xml:space="preserve">    </w:t>
            </w:r>
            <w:r>
              <w:rPr>
                <w:rFonts w:hint="eastAsia" w:ascii="宋体" w:hAnsi="宋体" w:cs="宋体"/>
                <w:color w:val="000000"/>
                <w:sz w:val="20"/>
              </w:rPr>
              <w:t>年</w:t>
            </w:r>
            <w:r>
              <w:rPr>
                <w:rFonts w:ascii="宋体" w:hAnsi="宋体" w:cs="宋体"/>
                <w:color w:val="000000"/>
                <w:sz w:val="20"/>
              </w:rPr>
              <w:t xml:space="preserve">  </w:t>
            </w:r>
            <w:r>
              <w:rPr>
                <w:rFonts w:hint="eastAsia" w:ascii="宋体" w:hAnsi="宋体" w:cs="宋体"/>
                <w:color w:val="000000"/>
                <w:sz w:val="20"/>
              </w:rPr>
              <w:t>月</w:t>
            </w:r>
            <w:r>
              <w:rPr>
                <w:rFonts w:ascii="宋体" w:hAnsi="宋体" w:cs="宋体"/>
                <w:color w:val="000000"/>
                <w:sz w:val="20"/>
              </w:rPr>
              <w:t xml:space="preserve">  </w:t>
            </w:r>
            <w:r>
              <w:rPr>
                <w:rFonts w:hint="eastAsia" w:ascii="宋体" w:hAnsi="宋体" w:cs="宋体"/>
                <w:color w:val="000000"/>
                <w:sz w:val="20"/>
              </w:rPr>
              <w:t>日</w:t>
            </w:r>
          </w:p>
        </w:tc>
      </w:tr>
    </w:tbl>
    <w:p>
      <w:pPr>
        <w:spacing w:line="340" w:lineRule="exact"/>
        <w:ind w:left="-6" w:leftChars="-3" w:firstLine="4" w:firstLineChars="2"/>
        <w:rPr>
          <w:rFonts w:hint="eastAsia" w:ascii="宋体" w:hAnsi="宋体"/>
          <w:color w:val="000000"/>
          <w:szCs w:val="21"/>
        </w:rPr>
      </w:pPr>
    </w:p>
    <w:p>
      <w:pPr>
        <w:spacing w:line="340" w:lineRule="exact"/>
        <w:ind w:left="-6" w:leftChars="-3"/>
        <w:rPr>
          <w:rFonts w:hint="eastAsia" w:ascii="宋体" w:hAnsi="宋体"/>
          <w:color w:val="000000"/>
          <w:szCs w:val="21"/>
        </w:rPr>
      </w:pPr>
      <w:r>
        <w:rPr>
          <w:rFonts w:hint="eastAsia" w:ascii="宋体" w:hAnsi="宋体"/>
          <w:color w:val="000000"/>
          <w:szCs w:val="21"/>
        </w:rPr>
        <w:t>填表说明:</w:t>
      </w:r>
    </w:p>
    <w:p>
      <w:pPr>
        <w:spacing w:line="340" w:lineRule="exact"/>
        <w:ind w:firstLine="420" w:firstLineChars="200"/>
        <w:rPr>
          <w:rFonts w:hint="eastAsia" w:ascii="宋体" w:hAnsi="宋体"/>
          <w:color w:val="000000"/>
          <w:szCs w:val="21"/>
        </w:rPr>
      </w:pPr>
      <w:r>
        <w:rPr>
          <w:rFonts w:hint="eastAsia" w:ascii="宋体" w:hAnsi="宋体"/>
          <w:color w:val="000000"/>
          <w:szCs w:val="21"/>
        </w:rPr>
        <w:t>1．本表为资源税纳税申报表主表，适用于缴纳资源税的纳税人填报（另有规定者除外）。本表包括三个附表，分别为资源税纳税申报表附表（一）、附表（二）、附表（三），由开采或生产原矿类、精矿类税目</w:t>
      </w:r>
      <w:r>
        <w:rPr>
          <w:rFonts w:ascii="宋体" w:hAnsi="宋体"/>
          <w:color w:val="000000"/>
          <w:szCs w:val="21"/>
        </w:rPr>
        <w:t>的</w:t>
      </w:r>
      <w:r>
        <w:rPr>
          <w:rFonts w:hint="eastAsia" w:ascii="宋体" w:hAnsi="宋体"/>
          <w:color w:val="000000"/>
          <w:szCs w:val="21"/>
        </w:rPr>
        <w:t>纳税人以及发生减免税事项的纳税人填写。除“本期已缴税额”“</w:t>
      </w:r>
      <w:r>
        <w:rPr>
          <w:rFonts w:hint="eastAsia" w:ascii="宋体" w:hAnsi="宋体" w:cs="宋体"/>
          <w:color w:val="000000"/>
          <w:szCs w:val="21"/>
        </w:rPr>
        <w:t>本期是否适用增值税小规模纳税人减征政策（减免性质代码：</w:t>
      </w:r>
      <w:r>
        <w:rPr>
          <w:rFonts w:ascii="宋体" w:hAnsi="宋体" w:cs="宋体"/>
          <w:color w:val="000000"/>
          <w:szCs w:val="21"/>
        </w:rPr>
        <w:t>06049901</w:t>
      </w:r>
      <w:r>
        <w:rPr>
          <w:rFonts w:hint="eastAsia" w:ascii="宋体" w:hAnsi="宋体" w:cs="宋体"/>
          <w:color w:val="000000"/>
          <w:szCs w:val="21"/>
        </w:rPr>
        <w:t>）</w:t>
      </w:r>
      <w:r>
        <w:rPr>
          <w:rFonts w:hint="eastAsia" w:ascii="宋体" w:hAnsi="宋体"/>
          <w:color w:val="000000"/>
          <w:szCs w:val="21"/>
        </w:rPr>
        <w:t>”需要填写外，纳税人提交附表后，本表由系统自动生成，无需纳税人手工填写，仅需签章确认（特殊情况下需要手工先填写附表、再填写主表的例外）。</w:t>
      </w:r>
    </w:p>
    <w:p>
      <w:pPr>
        <w:spacing w:line="340" w:lineRule="exact"/>
        <w:ind w:left="-61" w:leftChars="-29" w:firstLine="480" w:firstLineChars="229"/>
        <w:rPr>
          <w:rFonts w:hint="eastAsia" w:ascii="宋体" w:hAnsi="宋体"/>
          <w:color w:val="000000"/>
          <w:szCs w:val="21"/>
        </w:rPr>
      </w:pPr>
      <w:r>
        <w:rPr>
          <w:rFonts w:hint="eastAsia" w:ascii="宋体" w:hAnsi="宋体"/>
          <w:color w:val="000000"/>
          <w:szCs w:val="21"/>
        </w:rPr>
        <w:t>2．“纳税人识别号（统一社会信用代码）”：填报税务机关核发的纳税人识别号或有关部门核发的统一社会信用代码。“纳税人名称”：</w:t>
      </w:r>
      <w:r>
        <w:rPr>
          <w:rFonts w:hint="eastAsia"/>
          <w:color w:val="000000"/>
        </w:rPr>
        <w:t>填报营业执照、税务登记证等证件载明的纳税人名称</w:t>
      </w:r>
      <w:r>
        <w:rPr>
          <w:rFonts w:hint="eastAsia" w:ascii="宋体" w:hAnsi="宋体"/>
          <w:color w:val="000000"/>
          <w:szCs w:val="21"/>
        </w:rPr>
        <w:t>。 “税款所属时间”是指纳税人申报的资源税应纳税额的所属时间，应填写具体的起止年、月、日。</w:t>
      </w:r>
    </w:p>
    <w:p>
      <w:pPr>
        <w:spacing w:line="340" w:lineRule="exact"/>
        <w:ind w:left="-61" w:leftChars="-29" w:firstLine="480" w:firstLineChars="229"/>
        <w:rPr>
          <w:rFonts w:hint="eastAsia" w:ascii="宋体" w:hAnsi="宋体" w:cs="宋体"/>
          <w:color w:val="000000"/>
          <w:szCs w:val="21"/>
        </w:rPr>
      </w:pPr>
      <w:r>
        <w:rPr>
          <w:rFonts w:hint="eastAsia" w:ascii="宋体" w:hAnsi="宋体" w:cs="宋体"/>
          <w:color w:val="000000"/>
          <w:szCs w:val="21"/>
        </w:rPr>
        <w:t>3.“本期是否适用增值税小规模纳税人减征政策（减免性质代码：</w:t>
      </w:r>
      <w:r>
        <w:rPr>
          <w:rFonts w:ascii="宋体" w:hAnsi="宋体" w:cs="宋体"/>
          <w:color w:val="000000"/>
          <w:szCs w:val="21"/>
        </w:rPr>
        <w:t>06049901</w:t>
      </w:r>
      <w:r>
        <w:rPr>
          <w:rFonts w:hint="eastAsia" w:ascii="宋体" w:hAnsi="宋体" w:cs="宋体"/>
          <w:color w:val="000000"/>
          <w:szCs w:val="21"/>
        </w:rPr>
        <w:t>）”：纳税人自增值税一般纳税人按规定转登记为小规模纳税人的，自成为小规模纳税人的当月起适用减征优惠。增值税小规模纳税人按规定登记为一般纳税人的,自一般纳税人生效之日起不再适用减征优惠；增值税年应税销售额超过小规模纳税人标准应当登记为一般纳税人而未登记，经税务机关通知，逾期仍不办理登记的，自逾期次月起不再适用减征优惠。纳税人本期适用增值税小规模纳税人减征政策的，勾选“是”；否则，勾选“否”。</w:t>
      </w:r>
    </w:p>
    <w:p>
      <w:pPr>
        <w:spacing w:line="340" w:lineRule="exact"/>
        <w:ind w:left="-61" w:leftChars="-29" w:firstLine="480" w:firstLineChars="229"/>
        <w:rPr>
          <w:rFonts w:hint="eastAsia" w:ascii="宋体" w:hAnsi="宋体" w:cs="宋体"/>
          <w:color w:val="000000"/>
          <w:szCs w:val="21"/>
        </w:rPr>
      </w:pPr>
      <w:r>
        <w:rPr>
          <w:rFonts w:hint="eastAsia" w:ascii="宋体" w:hAnsi="宋体" w:cs="宋体"/>
          <w:color w:val="000000"/>
          <w:szCs w:val="21"/>
        </w:rPr>
        <w:t>4.“减征比例（%）”：填写当地省级政府根据财税〔2019〕13号文件确定的减征比例，系统自动带出。</w:t>
      </w:r>
    </w:p>
    <w:p>
      <w:pPr>
        <w:spacing w:line="380" w:lineRule="exact"/>
        <w:ind w:firstLine="420" w:firstLineChars="200"/>
        <w:rPr>
          <w:rFonts w:hint="eastAsia" w:ascii="宋体" w:hAnsi="宋体"/>
          <w:color w:val="000000"/>
          <w:szCs w:val="21"/>
        </w:rPr>
      </w:pPr>
      <w:r>
        <w:rPr>
          <w:rFonts w:hint="eastAsia" w:ascii="宋体" w:hAnsi="宋体"/>
          <w:color w:val="000000"/>
          <w:szCs w:val="21"/>
        </w:rPr>
        <w:t>5．第1栏“税目”：是指规定的应税产品名称，多个税目的，可增加行次。第2栏“子目”：反映同一税目下适用税率、折算率或换算比不同的明细项目。子目名称由各省、自治区、直辖市、计划单列市税务机关根据本地区实际情况确定。</w:t>
      </w:r>
    </w:p>
    <w:p>
      <w:pPr>
        <w:spacing w:line="340" w:lineRule="exact"/>
        <w:ind w:firstLine="420" w:firstLineChars="200"/>
        <w:rPr>
          <w:rFonts w:hint="eastAsia" w:ascii="宋体" w:hAnsi="宋体"/>
          <w:color w:val="000000"/>
          <w:szCs w:val="21"/>
        </w:rPr>
      </w:pPr>
      <w:r>
        <w:rPr>
          <w:rFonts w:hint="eastAsia" w:ascii="宋体" w:hAnsi="宋体"/>
          <w:color w:val="000000"/>
          <w:szCs w:val="21"/>
        </w:rPr>
        <w:t>6．第3栏“折算率或换算比”：反映精矿销售额折算为原矿销售额或者原矿销售额换算为精矿销售额的比值。除煤炭折算率由纳税人所在省、自治区、直辖市财税部门或其授权地市级财税部门确定外，其他应税产品的折算率或换算比由当地省级财税部门确定。</w:t>
      </w:r>
    </w:p>
    <w:p>
      <w:pPr>
        <w:spacing w:line="340" w:lineRule="exact"/>
        <w:ind w:firstLine="420" w:firstLineChars="200"/>
        <w:rPr>
          <w:rFonts w:hint="eastAsia" w:ascii="宋体" w:hAnsi="宋体"/>
          <w:color w:val="000000"/>
          <w:szCs w:val="21"/>
        </w:rPr>
      </w:pPr>
      <w:r>
        <w:rPr>
          <w:rFonts w:hint="eastAsia" w:ascii="宋体" w:hAnsi="宋体"/>
          <w:color w:val="000000"/>
          <w:szCs w:val="21"/>
        </w:rPr>
        <w:t>7．第4栏“计量单位”：反映计税销售量的计量单位，如吨、立方米、千克等。</w:t>
      </w:r>
    </w:p>
    <w:p>
      <w:pPr>
        <w:spacing w:line="340" w:lineRule="exact"/>
        <w:ind w:firstLine="420" w:firstLineChars="200"/>
        <w:rPr>
          <w:rFonts w:hint="eastAsia" w:ascii="宋体" w:hAnsi="宋体"/>
          <w:color w:val="000000"/>
          <w:szCs w:val="21"/>
        </w:rPr>
      </w:pPr>
      <w:r>
        <w:rPr>
          <w:rFonts w:hint="eastAsia" w:ascii="宋体" w:hAnsi="宋体"/>
          <w:color w:val="000000"/>
          <w:szCs w:val="21"/>
        </w:rPr>
        <w:t>8．第5栏“计税销售量”：反映计征资源税的应税产品销售数量，包括应税产品实际销售和视同销售两部分。从价计征税目计税销售额对应的销售数量视为计税销售量自动导入到本栏。计税销售量即课税数量。</w:t>
      </w:r>
    </w:p>
    <w:p>
      <w:pPr>
        <w:spacing w:line="340" w:lineRule="exact"/>
        <w:ind w:firstLine="420" w:firstLineChars="200"/>
        <w:rPr>
          <w:rFonts w:hint="eastAsia" w:ascii="宋体" w:hAnsi="宋体"/>
          <w:color w:val="000000"/>
          <w:szCs w:val="21"/>
        </w:rPr>
      </w:pPr>
      <w:r>
        <w:rPr>
          <w:rFonts w:hint="eastAsia" w:ascii="宋体" w:hAnsi="宋体"/>
          <w:color w:val="000000"/>
          <w:szCs w:val="21"/>
        </w:rPr>
        <w:t>9．第6栏“计税销售额”：反映计征资源税的应税产品销售收入，包括应税产品实际销售和视同销售两部分。</w:t>
      </w:r>
    </w:p>
    <w:p>
      <w:pPr>
        <w:spacing w:line="340" w:lineRule="exact"/>
        <w:ind w:firstLine="420" w:firstLineChars="200"/>
        <w:rPr>
          <w:rFonts w:hint="eastAsia" w:ascii="宋体" w:hAnsi="宋体"/>
          <w:color w:val="000000"/>
          <w:szCs w:val="21"/>
        </w:rPr>
      </w:pPr>
      <w:r>
        <w:rPr>
          <w:rFonts w:hint="eastAsia" w:ascii="宋体" w:hAnsi="宋体"/>
          <w:color w:val="000000"/>
          <w:szCs w:val="21"/>
        </w:rPr>
        <w:t>10．第7栏“适用税率”：从价计征税目的适用税率为比例税率，如原油资源税率为6%，即填6%；从量计征税目的适用税率为定额税率，如某税目每立方米3元，即填3。</w:t>
      </w:r>
    </w:p>
    <w:p>
      <w:pPr>
        <w:spacing w:line="300" w:lineRule="exact"/>
        <w:ind w:firstLine="420" w:firstLineChars="200"/>
        <w:jc w:val="left"/>
        <w:rPr>
          <w:rFonts w:hint="eastAsia" w:ascii="宋体" w:hAnsi="宋体"/>
          <w:color w:val="000000"/>
          <w:szCs w:val="21"/>
        </w:rPr>
      </w:pPr>
      <w:r>
        <w:rPr>
          <w:rFonts w:hint="eastAsia" w:ascii="宋体" w:hAnsi="宋体"/>
          <w:color w:val="000000"/>
          <w:szCs w:val="21"/>
        </w:rPr>
        <w:t>11．第8栏“本期应纳税额”：反映本期按适用税率计算缴纳的应纳税额。从价计征税目应纳税额的计算公式为8①</w:t>
      </w:r>
      <w:r>
        <w:rPr>
          <w:rFonts w:ascii="宋体" w:hAnsi="宋体"/>
          <w:color w:val="000000"/>
          <w:szCs w:val="21"/>
        </w:rPr>
        <w:t>=</w:t>
      </w:r>
      <w:r>
        <w:rPr>
          <w:rFonts w:hint="eastAsia" w:ascii="宋体" w:hAnsi="宋体"/>
          <w:color w:val="000000"/>
          <w:szCs w:val="21"/>
        </w:rPr>
        <w:t>6</w:t>
      </w:r>
      <w:r>
        <w:rPr>
          <w:rFonts w:ascii="宋体" w:hAnsi="宋体"/>
          <w:color w:val="000000"/>
          <w:szCs w:val="21"/>
        </w:rPr>
        <w:t>×</w:t>
      </w:r>
      <w:r>
        <w:rPr>
          <w:rFonts w:hint="eastAsia" w:ascii="宋体" w:hAnsi="宋体"/>
          <w:color w:val="000000"/>
          <w:szCs w:val="21"/>
        </w:rPr>
        <w:t>7</w:t>
      </w:r>
      <w:r>
        <w:rPr>
          <w:rFonts w:ascii="宋体" w:hAnsi="宋体"/>
          <w:color w:val="000000"/>
          <w:szCs w:val="21"/>
        </w:rPr>
        <w:t>；</w:t>
      </w:r>
      <w:r>
        <w:rPr>
          <w:rFonts w:hint="eastAsia" w:ascii="宋体" w:hAnsi="宋体"/>
          <w:color w:val="000000"/>
          <w:szCs w:val="21"/>
        </w:rPr>
        <w:t>从量计征税目应纳税额的计算公式为8②</w:t>
      </w:r>
      <w:r>
        <w:rPr>
          <w:rFonts w:ascii="宋体" w:hAnsi="宋体"/>
          <w:color w:val="000000"/>
          <w:szCs w:val="21"/>
        </w:rPr>
        <w:t>=</w:t>
      </w:r>
      <w:r>
        <w:rPr>
          <w:rFonts w:hint="eastAsia" w:ascii="宋体" w:hAnsi="宋体"/>
          <w:color w:val="000000"/>
          <w:szCs w:val="21"/>
        </w:rPr>
        <w:t>5</w:t>
      </w:r>
      <w:r>
        <w:rPr>
          <w:rFonts w:ascii="宋体" w:hAnsi="宋体"/>
          <w:color w:val="000000"/>
          <w:szCs w:val="21"/>
        </w:rPr>
        <w:t>×</w:t>
      </w:r>
      <w:r>
        <w:rPr>
          <w:rFonts w:hint="eastAsia" w:ascii="宋体" w:hAnsi="宋体"/>
          <w:color w:val="000000"/>
          <w:szCs w:val="21"/>
        </w:rPr>
        <w:t>7。</w:t>
      </w:r>
    </w:p>
    <w:p>
      <w:pPr>
        <w:spacing w:line="300" w:lineRule="exact"/>
        <w:ind w:firstLine="420" w:firstLineChars="200"/>
        <w:rPr>
          <w:rFonts w:hint="eastAsia" w:ascii="宋体" w:hAnsi="宋体"/>
          <w:color w:val="000000"/>
          <w:szCs w:val="21"/>
        </w:rPr>
      </w:pPr>
      <w:r>
        <w:rPr>
          <w:rFonts w:hint="eastAsia" w:ascii="宋体" w:hAnsi="宋体"/>
          <w:color w:val="000000"/>
          <w:szCs w:val="21"/>
        </w:rPr>
        <w:t>12．第9栏“本期减免税额”：反映本期减免的资源税税额。如不涉及减免税事项，纳税人不需填写附表（三），系统会将其“本期减免税额”默认为0。</w:t>
      </w:r>
    </w:p>
    <w:p>
      <w:pPr>
        <w:spacing w:line="340" w:lineRule="exact"/>
        <w:ind w:firstLine="420" w:firstLineChars="200"/>
        <w:rPr>
          <w:rFonts w:hint="eastAsia" w:ascii="宋体" w:hAnsi="宋体"/>
          <w:color w:val="000000"/>
          <w:szCs w:val="21"/>
        </w:rPr>
      </w:pPr>
      <w:r>
        <w:rPr>
          <w:rFonts w:hint="eastAsia" w:ascii="宋体" w:hAnsi="宋体"/>
          <w:color w:val="000000"/>
          <w:szCs w:val="21"/>
        </w:rPr>
        <w:t>13．第10栏“本期增值税小规模纳税人减征额”：反映符合条件的小规模纳税人减征的资源税额，计算公式为10=（8-9）</w:t>
      </w:r>
      <w:r>
        <w:rPr>
          <w:rFonts w:ascii="宋体" w:hAnsi="宋体"/>
          <w:color w:val="000000"/>
          <w:szCs w:val="21"/>
        </w:rPr>
        <w:t>×</w:t>
      </w:r>
      <w:r>
        <w:rPr>
          <w:rFonts w:hint="eastAsia" w:ascii="宋体" w:hAnsi="宋体"/>
          <w:color w:val="000000"/>
          <w:szCs w:val="21"/>
        </w:rPr>
        <w:t>减征比例。</w:t>
      </w:r>
    </w:p>
    <w:p>
      <w:pPr>
        <w:spacing w:line="340" w:lineRule="exact"/>
        <w:ind w:firstLine="420" w:firstLineChars="200"/>
        <w:rPr>
          <w:rFonts w:hint="eastAsia" w:ascii="宋体" w:hAnsi="宋体"/>
          <w:color w:val="000000"/>
          <w:szCs w:val="21"/>
        </w:rPr>
      </w:pPr>
      <w:r>
        <w:rPr>
          <w:rFonts w:hint="eastAsia" w:ascii="宋体" w:hAnsi="宋体"/>
          <w:color w:val="000000"/>
          <w:szCs w:val="21"/>
        </w:rPr>
        <w:t>14. 第11栏“本期已缴税额”：填写本期应纳税额中已经缴纳的部分。</w:t>
      </w:r>
    </w:p>
    <w:p>
      <w:pPr>
        <w:spacing w:line="340" w:lineRule="exact"/>
        <w:ind w:firstLine="420" w:firstLineChars="200"/>
        <w:rPr>
          <w:rFonts w:hint="eastAsia" w:ascii="宋体" w:hAnsi="宋体"/>
          <w:color w:val="000000"/>
          <w:szCs w:val="21"/>
        </w:rPr>
      </w:pPr>
      <w:r>
        <w:rPr>
          <w:rFonts w:hint="eastAsia" w:ascii="宋体" w:hAnsi="宋体"/>
          <w:color w:val="000000"/>
          <w:szCs w:val="21"/>
        </w:rPr>
        <w:t>15．第12栏“本期应补（退）税额”：本期应补（退）税额=本期应纳税额-本期减免税额-增值税</w:t>
      </w:r>
      <w:r>
        <w:rPr>
          <w:rFonts w:hint="eastAsia" w:ascii="宋体" w:hAnsi="宋体" w:cs="宋体"/>
          <w:bCs/>
          <w:color w:val="000000"/>
          <w:szCs w:val="21"/>
        </w:rPr>
        <w:t>小规模纳税人减征额</w:t>
      </w:r>
      <w:r>
        <w:rPr>
          <w:rFonts w:hint="eastAsia" w:ascii="宋体" w:hAnsi="宋体" w:cs="宋体"/>
          <w:b/>
          <w:bCs/>
          <w:color w:val="000000"/>
          <w:szCs w:val="21"/>
        </w:rPr>
        <w:t>-</w:t>
      </w:r>
      <w:r>
        <w:rPr>
          <w:rFonts w:hint="eastAsia" w:ascii="宋体" w:hAnsi="宋体"/>
          <w:color w:val="000000"/>
          <w:szCs w:val="21"/>
        </w:rPr>
        <w:t>本期已缴税额。</w:t>
      </w:r>
    </w:p>
    <w:p>
      <w:pPr>
        <w:spacing w:line="340" w:lineRule="exact"/>
        <w:ind w:firstLine="420" w:firstLineChars="200"/>
        <w:rPr>
          <w:rFonts w:hint="eastAsia" w:ascii="宋体" w:hAnsi="宋体"/>
          <w:color w:val="000000"/>
          <w:szCs w:val="21"/>
        </w:rPr>
      </w:pPr>
      <w:r>
        <w:rPr>
          <w:rFonts w:hint="eastAsia" w:ascii="宋体" w:hAnsi="宋体"/>
          <w:color w:val="000000"/>
          <w:szCs w:val="21"/>
        </w:rPr>
        <w:t>16. 中外合作及海上自营油气田按照《国家税务总局关于发布&lt;中外合作及海上自营油气田资源税纳税申报表&gt;的公告》（国家税务总局公告2012年第3号）进行纳税申报。</w:t>
      </w:r>
    </w:p>
    <w:p>
      <w:pPr>
        <w:spacing w:line="340" w:lineRule="exact"/>
        <w:ind w:firstLine="420" w:firstLineChars="200"/>
        <w:rPr>
          <w:rFonts w:hint="eastAsia" w:ascii="宋体" w:hAnsi="宋体"/>
          <w:color w:val="000000"/>
          <w:szCs w:val="21"/>
        </w:rPr>
      </w:pPr>
      <w:r>
        <w:rPr>
          <w:rFonts w:hint="eastAsia" w:ascii="宋体" w:hAnsi="宋体"/>
          <w:color w:val="000000"/>
          <w:szCs w:val="21"/>
        </w:rPr>
        <w:t>17.</w:t>
      </w:r>
      <w:r>
        <w:rPr>
          <w:rFonts w:hint="eastAsia"/>
          <w:color w:val="000000"/>
        </w:rPr>
        <w:t xml:space="preserve"> </w:t>
      </w:r>
      <w:r>
        <w:rPr>
          <w:rFonts w:hint="eastAsia" w:ascii="宋体" w:hAnsi="宋体"/>
          <w:color w:val="000000"/>
          <w:szCs w:val="21"/>
        </w:rPr>
        <w:t>本表一式两份，一份纳税人留存，一份税务机关留存。</w:t>
      </w:r>
    </w:p>
    <w:p/>
    <w:sectPr>
      <w:footerReference r:id="rId4" w:type="default"/>
      <w:headerReference r:id="rId3" w:type="even"/>
      <w:footerReference r:id="rId5" w:type="even"/>
      <w:pgSz w:w="16840" w:h="11907" w:orient="landscape"/>
      <w:pgMar w:top="1588" w:right="1564" w:bottom="1474" w:left="1848" w:header="567" w:footer="1588" w:gutter="0"/>
      <w:pgNumType w:start="1"/>
      <w:cols w:space="425" w:num="1"/>
      <w:docGrid w:linePitch="613" w:charSpace="-183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jc w:val="right"/>
      <w:rPr>
        <w:rFonts w:hint="eastAsia"/>
        <w:sz w:val="24"/>
      </w:rPr>
    </w:pPr>
    <w:r>
      <w:rPr>
        <w:rStyle w:val="5"/>
        <w:rFonts w:hint="eastAsia"/>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page" w:x="1681" w:y="-72"/>
      <w:ind w:right="34" w:rightChars="16" w:firstLine="280" w:firstLineChars="100"/>
      <w:rPr>
        <w:rStyle w:val="5"/>
        <w:rFonts w:hint="eastAsia" w:ascii="宋体" w:hAnsi="宋体"/>
        <w:sz w:val="28"/>
        <w:szCs w:val="28"/>
      </w:rPr>
    </w:pPr>
    <w:r>
      <w:rPr>
        <w:rFonts w:hint="eastAsia" w:ascii="宋体" w:hAnsi="宋体"/>
        <w:sz w:val="28"/>
        <w:szCs w:val="28"/>
      </w:rPr>
      <w:t xml:space="preserve"> </w:t>
    </w:r>
  </w:p>
  <w:p>
    <w:pPr>
      <w:pStyle w:val="2"/>
      <w:ind w:right="360" w:firstLine="360"/>
    </w:pPr>
  </w:p>
  <w:p/>
  <w:p/>
  <w:p/>
  <w:p/>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
  <w:p/>
  <w:p/>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B5E2CE8"/>
    <w:rsid w:val="7B5E2C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overflowPunct w:val="0"/>
      <w:autoSpaceDE w:val="0"/>
      <w:autoSpaceDN w:val="0"/>
      <w:adjustRightInd w:val="0"/>
      <w:jc w:val="both"/>
      <w:textAlignment w:val="baseline"/>
    </w:pPr>
    <w:rPr>
      <w:rFonts w:ascii="Times New Roman" w:hAnsi="Times New Roman" w:eastAsia="宋体" w:cs="Times New Roman"/>
      <w:sz w:val="21"/>
      <w:lang w:val="en-US" w:eastAsia="zh-CN" w:bidi="ar-SA"/>
    </w:rPr>
  </w:style>
  <w:style w:type="character" w:default="1" w:styleId="3">
    <w:name w:val="Default Paragraph Font"/>
    <w:link w:val="4"/>
    <w:semiHidden/>
    <w:uiPriority w:val="0"/>
    <w:rPr>
      <w:rFonts w:ascii="Tahoma" w:hAnsi="Tahoma"/>
      <w:kern w:val="2"/>
      <w:sz w:val="24"/>
    </w:rPr>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pPr>
    <w:rPr>
      <w:sz w:val="20"/>
    </w:rPr>
  </w:style>
  <w:style w:type="paragraph" w:customStyle="1" w:styleId="4">
    <w:name w:val="Char Char Char"/>
    <w:basedOn w:val="1"/>
    <w:link w:val="3"/>
    <w:uiPriority w:val="0"/>
    <w:pPr>
      <w:widowControl w:val="0"/>
      <w:overflowPunct/>
      <w:autoSpaceDE/>
      <w:autoSpaceDN/>
      <w:adjustRightInd/>
      <w:textAlignment w:val="auto"/>
    </w:pPr>
    <w:rPr>
      <w:rFonts w:ascii="Tahoma" w:hAnsi="Tahoma"/>
      <w:kern w:val="2"/>
      <w:sz w:val="24"/>
    </w:rPr>
  </w:style>
  <w:style w:type="character" w:styleId="5">
    <w:name w:val="page number"/>
    <w:basedOn w:val="3"/>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普宁市地税局</Company>
  <Pages>1</Pages>
  <Words>0</Words>
  <Characters>0</Characters>
  <Lines>0</Lines>
  <Paragraphs>0</Paragraphs>
  <TotalTime>1</TotalTime>
  <ScaleCrop>false</ScaleCrop>
  <LinksUpToDate>false</LinksUpToDate>
  <CharactersWithSpaces>0</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2019-01-29T03:40:00Z</dcterms:created>
  <dc:creator>邱树文</dc:creator>
  <cp:lastModifiedBy>邱树文</cp:lastModifiedBy>
  <dcterms:modified xsi:type="dcterms:W3CDTF">2019-01-29T03:42:00Z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